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0001834025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QuantumScape Corp</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1730 TECHNOLOGY DRIVE</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SAN JOSE</w:t>
      </w:r>
    </w:p>
    <w:p>
      <w:pPr>
        <w:ind w:left="5"/>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jc w:val="both"/>
        <w:ind w:left="5" w:right="2260" w:hanging="5"/>
        <w:spacing w:after="0" w:line="295" w:lineRule="auto"/>
        <w:tabs>
          <w:tab w:leader="none" w:pos="527"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452-2000 Hettrich Kevin</w:t>
      </w:r>
    </w:p>
    <w:p>
      <w:pPr>
        <w:spacing w:after="0" w:line="1" w:lineRule="exact"/>
        <w:rPr>
          <w:sz w:val="24"/>
          <w:szCs w:val="24"/>
          <w:color w:val="auto"/>
        </w:rPr>
      </w:pPr>
    </w:p>
    <w:p>
      <w:pPr>
        <w:sectPr>
          <w:pgSz w:w="11900" w:h="16838" w:orient="portrait"/>
          <w:cols w:equalWidth="0" w:num="2">
            <w:col w:w="6915" w:space="720"/>
            <w:col w:w="36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 38th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30535</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225106.58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578338434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2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05/15/2026 RSU vesting</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53059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Kevin Hettrich</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02/18/2026 94378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674283.62</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Kevin Hettrich</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02/19/2026 22881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161901.38</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Kevin Hettrich</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02/23/2026 9800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66213.70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Kevin Hettrich</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02/25/2026 21790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153593.35</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Kevin Hettrich</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03/11/2026 9800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68126.66</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Kevin Hettrich</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04/02/2026 9800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60795.28</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7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The number of shares to be sold represents an estimate of the amount necessary to cover tax obligations on the</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release of restricted stock units.</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20" w:val="left"/>
        </w:tabs>
        <w:rPr>
          <w:sz w:val="20"/>
          <w:szCs w:val="20"/>
          <w:color w:val="auto"/>
        </w:rPr>
      </w:pPr>
      <w:r>
        <w:rPr>
          <w:rFonts w:ascii="Times New Roman" w:cs="Times New Roman" w:eastAsia="Times New Roman" w:hAnsi="Times New Roman"/>
          <w:sz w:val="22"/>
          <w:szCs w:val="22"/>
          <w:color w:val="auto"/>
        </w:rPr>
        <w:t>Signature</w:t>
        <w:tab/>
        <w:t>/s/ Kevin Hettrich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2026-05-18T19:25:42Z</dcterms:created>
  <dcterms:modified xsi:type="dcterms:W3CDTF">2026-05-18T19:25:42Z</dcterms:modified>
</cp:coreProperties>
</file>