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Singh Mohit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
        <w:spacing w:after="0" w:line="320" w:lineRule="auto"/>
        <w:rPr>
          <w:sz w:val="20"/>
          <w:szCs w:val="20"/>
          <w:color w:val="auto"/>
        </w:rPr>
      </w:pPr>
      <w:r>
        <w:rPr>
          <w:rFonts w:ascii="Times New Roman" w:cs="Times New Roman" w:eastAsia="Times New Roman" w:hAnsi="Times New Roman"/>
          <w:sz w:val="17"/>
          <w:szCs w:val="17"/>
          <w:color w:val="0000FF"/>
        </w:rPr>
        <w:t>C/O QUANTUMSCAPE CORPORATION 1730 TECHNOLOGY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QuantumScape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QS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05/18/2026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285"/>
        <w:spacing w:after="0"/>
        <w:rPr>
          <w:sz w:val="20"/>
          <w:szCs w:val="20"/>
          <w:color w:val="auto"/>
        </w:rPr>
      </w:pPr>
      <w:r>
        <w:rPr>
          <w:rFonts w:ascii="Times New Roman" w:cs="Times New Roman" w:eastAsia="Times New Roman" w:hAnsi="Times New Roman"/>
          <w:sz w:val="17"/>
          <w:szCs w:val="17"/>
          <w:color w:val="0000FF"/>
        </w:rPr>
        <w:t>CHIEF DEVELOPMENT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7"/>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SAN JOSE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95110</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05/18/2026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31,913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7.3211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1,771,122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sale to cover tax obligations on the release of restricted stock units ("RSUs").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$7.21 USD to $8.01 USD; the price reported above reflects the weighted average sale price.</w:t>
      </w:r>
    </w:p>
    <w:p>
      <w:pPr>
        <w:spacing w:after="0" w:line="50" w:lineRule="exact"/>
        <w:rPr>
          <w:rFonts w:ascii="Times New Roman" w:cs="Times New Roman" w:eastAsia="Times New Roman" w:hAnsi="Times New Roman"/>
          <w:sz w:val="13"/>
          <w:szCs w:val="13"/>
          <w:color w:val="008000"/>
        </w:rPr>
      </w:pPr>
    </w:p>
    <w:p>
      <w:pPr>
        <w:jc w:val="both"/>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1,547,064 shares represented by RSUs and performance restricted stock units ("PSUs"). Each RSU/PSU represents the Reporting Person's right to receive one share of Class A Common Stock of the Issuer. The RSUs vest each quarter and the PSUs vest upon achievement of certain performance milestones, in both cases subject to the Reporting Person's continued service as of each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/Michael O McCarthy III,</w:t>
            </w:r>
          </w:p>
        </w:tc>
        <w:tc>
          <w:tcPr>
            <w:tcW w:w="1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05/20/2026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34019" TargetMode="External"/><Relationship Id="rId14" Type="http://schemas.openxmlformats.org/officeDocument/2006/relationships/hyperlink" Target="http://www.sec.gov/cgi-bin/browse-edgar?action=getcompany&amp;CIK=00018114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2026-05-20T18:36:09Z</dcterms:created>
  <dcterms:modified xsi:type="dcterms:W3CDTF">2026-05-20T18:36:09Z</dcterms:modified>
</cp:coreProperties>
</file>