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1144905</wp:posOffset>
            </wp:positionH>
            <wp:positionV relativeFrom="page">
              <wp:posOffset>146685</wp:posOffset>
            </wp:positionV>
            <wp:extent cx="52590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59070" cy="6350"/>
                    </a:xfrm>
                    <a:prstGeom prst="rect">
                      <a:avLst/>
                    </a:prstGeom>
                    <a:noFill/>
                  </pic:spPr>
                </pic:pic>
              </a:graphicData>
            </a:graphic>
          </wp:anchor>
        </w:drawing>
        <w:drawing>
          <wp:anchor simplePos="0" relativeHeight="251657728" behindDoc="1" locked="0" layoutInCell="0" allowOverlap="1">
            <wp:simplePos x="0" y="0"/>
            <wp:positionH relativeFrom="page">
              <wp:posOffset>1144905</wp:posOffset>
            </wp:positionH>
            <wp:positionV relativeFrom="page">
              <wp:posOffset>179070</wp:posOffset>
            </wp:positionV>
            <wp:extent cx="5259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9070" cy="6350"/>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116840</wp:posOffset>
            </wp:positionV>
            <wp:extent cx="11087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128270</wp:posOffset>
            </wp:positionV>
            <wp:extent cx="1108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w:t>
      </w:r>
    </w:p>
    <w:p>
      <w:pPr>
        <w:jc w:val="center"/>
        <w:ind w:right="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November 25,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121920</wp:posOffset>
            </wp:positionV>
            <wp:extent cx="11087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QuantumScape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116205</wp:posOffset>
            </wp:positionV>
            <wp:extent cx="11087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69"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180" w:type="dxa"/>
            <w:vAlign w:val="bottom"/>
          </w:tcPr>
          <w:p>
            <w:pPr>
              <w:jc w:val="center"/>
              <w:ind w:right="901"/>
              <w:spacing w:after="0"/>
              <w:rPr>
                <w:sz w:val="20"/>
                <w:szCs w:val="20"/>
                <w:color w:val="auto"/>
              </w:rPr>
            </w:pPr>
            <w:r>
              <w:rPr>
                <w:rFonts w:ascii="Arial" w:cs="Arial" w:eastAsia="Arial" w:hAnsi="Arial"/>
                <w:sz w:val="14"/>
                <w:szCs w:val="14"/>
                <w:b w:val="1"/>
                <w:bCs w:val="1"/>
                <w:color w:val="auto"/>
                <w:w w:val="87"/>
              </w:rPr>
              <w:t>Delaware</w:t>
            </w:r>
          </w:p>
        </w:tc>
        <w:tc>
          <w:tcPr>
            <w:tcW w:w="2500" w:type="dxa"/>
            <w:vAlign w:val="bottom"/>
          </w:tcPr>
          <w:p>
            <w:pPr>
              <w:ind w:left="960"/>
              <w:spacing w:after="0"/>
              <w:rPr>
                <w:sz w:val="20"/>
                <w:szCs w:val="20"/>
                <w:color w:val="auto"/>
              </w:rPr>
            </w:pPr>
            <w:r>
              <w:rPr>
                <w:rFonts w:ascii="Arial" w:cs="Arial" w:eastAsia="Arial" w:hAnsi="Arial"/>
                <w:sz w:val="14"/>
                <w:szCs w:val="14"/>
                <w:b w:val="1"/>
                <w:bCs w:val="1"/>
                <w:color w:val="auto"/>
              </w:rPr>
              <w:t>001-39345</w:t>
            </w:r>
          </w:p>
        </w:tc>
        <w:tc>
          <w:tcPr>
            <w:tcW w:w="2020" w:type="dxa"/>
            <w:vAlign w:val="bottom"/>
          </w:tcPr>
          <w:p>
            <w:pPr>
              <w:jc w:val="center"/>
              <w:ind w:left="881"/>
              <w:spacing w:after="0"/>
              <w:rPr>
                <w:sz w:val="20"/>
                <w:szCs w:val="20"/>
                <w:color w:val="auto"/>
              </w:rPr>
            </w:pPr>
            <w:r>
              <w:rPr>
                <w:rFonts w:ascii="Arial" w:cs="Arial" w:eastAsia="Arial" w:hAnsi="Arial"/>
                <w:sz w:val="14"/>
                <w:szCs w:val="14"/>
                <w:b w:val="1"/>
                <w:bCs w:val="1"/>
                <w:color w:val="auto"/>
                <w:w w:val="85"/>
              </w:rPr>
              <w:t>85-0796578</w:t>
            </w:r>
          </w:p>
        </w:tc>
      </w:tr>
      <w:tr>
        <w:trPr>
          <w:trHeight w:val="112"/>
        </w:trPr>
        <w:tc>
          <w:tcPr>
            <w:tcW w:w="2180" w:type="dxa"/>
            <w:vAlign w:val="bottom"/>
          </w:tcPr>
          <w:p>
            <w:pPr>
              <w:jc w:val="center"/>
              <w:ind w:right="901"/>
              <w:spacing w:after="0" w:line="112" w:lineRule="exact"/>
              <w:rPr>
                <w:sz w:val="20"/>
                <w:szCs w:val="20"/>
                <w:color w:val="auto"/>
              </w:rPr>
            </w:pPr>
            <w:r>
              <w:rPr>
                <w:rFonts w:ascii="Arial" w:cs="Arial" w:eastAsia="Arial" w:hAnsi="Arial"/>
                <w:sz w:val="11"/>
                <w:szCs w:val="11"/>
                <w:b w:val="1"/>
                <w:bCs w:val="1"/>
                <w:color w:val="auto"/>
                <w:w w:val="88"/>
              </w:rPr>
              <w:t>(State or other jurisdiction</w:t>
            </w:r>
          </w:p>
        </w:tc>
        <w:tc>
          <w:tcPr>
            <w:tcW w:w="2500" w:type="dxa"/>
            <w:vAlign w:val="bottom"/>
          </w:tcPr>
          <w:p>
            <w:pPr>
              <w:ind w:left="940"/>
              <w:spacing w:after="0" w:line="112" w:lineRule="exact"/>
              <w:rPr>
                <w:sz w:val="20"/>
                <w:szCs w:val="20"/>
                <w:color w:val="auto"/>
              </w:rPr>
            </w:pPr>
            <w:r>
              <w:rPr>
                <w:rFonts w:ascii="Arial" w:cs="Arial" w:eastAsia="Arial" w:hAnsi="Arial"/>
                <w:sz w:val="11"/>
                <w:szCs w:val="11"/>
                <w:b w:val="1"/>
                <w:bCs w:val="1"/>
                <w:color w:val="auto"/>
              </w:rPr>
              <w:t>(Commission</w:t>
            </w:r>
          </w:p>
        </w:tc>
        <w:tc>
          <w:tcPr>
            <w:tcW w:w="2020" w:type="dxa"/>
            <w:vAlign w:val="bottom"/>
          </w:tcPr>
          <w:p>
            <w:pPr>
              <w:jc w:val="center"/>
              <w:ind w:left="881"/>
              <w:spacing w:after="0" w:line="112" w:lineRule="exact"/>
              <w:rPr>
                <w:sz w:val="20"/>
                <w:szCs w:val="20"/>
                <w:color w:val="auto"/>
              </w:rPr>
            </w:pPr>
            <w:r>
              <w:rPr>
                <w:rFonts w:ascii="Arial" w:cs="Arial" w:eastAsia="Arial" w:hAnsi="Arial"/>
                <w:sz w:val="11"/>
                <w:szCs w:val="11"/>
                <w:b w:val="1"/>
                <w:bCs w:val="1"/>
                <w:color w:val="auto"/>
                <w:w w:val="94"/>
              </w:rPr>
              <w:t>(I.R.S. Employer</w:t>
            </w:r>
          </w:p>
        </w:tc>
      </w:tr>
      <w:tr>
        <w:trPr>
          <w:trHeight w:val="140"/>
        </w:trPr>
        <w:tc>
          <w:tcPr>
            <w:tcW w:w="2180" w:type="dxa"/>
            <w:vAlign w:val="bottom"/>
          </w:tcPr>
          <w:p>
            <w:pPr>
              <w:jc w:val="center"/>
              <w:ind w:right="901"/>
              <w:spacing w:after="0"/>
              <w:rPr>
                <w:sz w:val="20"/>
                <w:szCs w:val="20"/>
                <w:color w:val="auto"/>
              </w:rPr>
            </w:pPr>
            <w:r>
              <w:rPr>
                <w:rFonts w:ascii="Arial" w:cs="Arial" w:eastAsia="Arial" w:hAnsi="Arial"/>
                <w:sz w:val="11"/>
                <w:szCs w:val="11"/>
                <w:b w:val="1"/>
                <w:bCs w:val="1"/>
                <w:color w:val="auto"/>
                <w:w w:val="88"/>
              </w:rPr>
              <w:t>of incorporation)</w:t>
            </w:r>
          </w:p>
        </w:tc>
        <w:tc>
          <w:tcPr>
            <w:tcW w:w="2500" w:type="dxa"/>
            <w:vAlign w:val="bottom"/>
          </w:tcPr>
          <w:p>
            <w:pPr>
              <w:ind w:left="940"/>
              <w:spacing w:after="0"/>
              <w:rPr>
                <w:sz w:val="20"/>
                <w:szCs w:val="20"/>
                <w:color w:val="auto"/>
              </w:rPr>
            </w:pPr>
            <w:r>
              <w:rPr>
                <w:rFonts w:ascii="Arial" w:cs="Arial" w:eastAsia="Arial" w:hAnsi="Arial"/>
                <w:sz w:val="11"/>
                <w:szCs w:val="11"/>
                <w:b w:val="1"/>
                <w:bCs w:val="1"/>
                <w:color w:val="auto"/>
              </w:rPr>
              <w:t>File Number)</w:t>
            </w:r>
          </w:p>
        </w:tc>
        <w:tc>
          <w:tcPr>
            <w:tcW w:w="2020" w:type="dxa"/>
            <w:vAlign w:val="bottom"/>
          </w:tcPr>
          <w:p>
            <w:pPr>
              <w:jc w:val="center"/>
              <w:ind w:left="881"/>
              <w:spacing w:after="0"/>
              <w:rPr>
                <w:sz w:val="20"/>
                <w:szCs w:val="20"/>
                <w:color w:val="auto"/>
              </w:rPr>
            </w:pPr>
            <w:r>
              <w:rPr>
                <w:rFonts w:ascii="Arial" w:cs="Arial" w:eastAsia="Arial" w:hAnsi="Arial"/>
                <w:sz w:val="11"/>
                <w:szCs w:val="11"/>
                <w:b w:val="1"/>
                <w:bCs w:val="1"/>
                <w:color w:val="auto"/>
                <w:w w:val="92"/>
              </w:rPr>
              <w:t>Identification Number)</w:t>
            </w:r>
          </w:p>
        </w:tc>
      </w:tr>
    </w:tbl>
    <w:p>
      <w:pPr>
        <w:spacing w:after="0" w:line="77" w:lineRule="exact"/>
        <w:rPr>
          <w:sz w:val="24"/>
          <w:szCs w:val="24"/>
          <w:color w:val="auto"/>
        </w:rPr>
      </w:pPr>
    </w:p>
    <w:p>
      <w:pPr>
        <w:sectPr>
          <w:pgSz w:w="11900" w:h="16838" w:orient="portrait"/>
          <w:cols w:equalWidth="0" w:num="1">
            <w:col w:w="9019"/>
          </w:cols>
          <w:pgMar w:left="1440" w:top="311" w:right="1440" w:bottom="1440" w:gutter="0" w:footer="0" w:header="0"/>
        </w:sectPr>
      </w:pPr>
    </w:p>
    <w:p>
      <w:pPr>
        <w:jc w:val="center"/>
        <w:ind w:right="820"/>
        <w:spacing w:after="0"/>
        <w:rPr>
          <w:sz w:val="20"/>
          <w:szCs w:val="20"/>
          <w:color w:val="auto"/>
        </w:rPr>
      </w:pPr>
      <w:r>
        <w:rPr>
          <w:rFonts w:ascii="Arial" w:cs="Arial" w:eastAsia="Arial" w:hAnsi="Arial"/>
          <w:sz w:val="12"/>
          <w:szCs w:val="12"/>
          <w:b w:val="1"/>
          <w:bCs w:val="1"/>
          <w:color w:val="auto"/>
        </w:rPr>
        <w:t>1730 Technology Drive</w:t>
      </w:r>
    </w:p>
    <w:p>
      <w:pPr>
        <w:spacing w:after="0" w:line="37"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95110</w:t>
      </w:r>
    </w:p>
    <w:p>
      <w:pPr>
        <w:spacing w:after="0" w:line="37" w:lineRule="exact"/>
        <w:rPr>
          <w:sz w:val="24"/>
          <w:szCs w:val="24"/>
          <w:color w:val="auto"/>
        </w:rPr>
      </w:pPr>
    </w:p>
    <w:p>
      <w:pPr>
        <w:sectPr>
          <w:pgSz w:w="11900" w:h="16838" w:orient="portrait"/>
          <w:cols w:equalWidth="0" w:num="2">
            <w:col w:w="5740" w:space="720"/>
            <w:col w:w="2559"/>
          </w:cols>
          <w:pgMar w:left="1440" w:top="311" w:right="1440" w:bottom="1440" w:gutter="0" w:footer="0" w:header="0"/>
          <w:type w:val="continuous"/>
        </w:sectPr>
      </w:pPr>
    </w:p>
    <w:p>
      <w:pPr>
        <w:ind w:left="156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66" w:lineRule="exact"/>
        <w:rPr>
          <w:sz w:val="24"/>
          <w:szCs w:val="24"/>
          <w:color w:val="auto"/>
        </w:rPr>
      </w:pPr>
    </w:p>
    <w:p>
      <w:pPr>
        <w:sectPr>
          <w:pgSz w:w="11900" w:h="16838" w:orient="portrait"/>
          <w:cols w:equalWidth="0" w:num="2">
            <w:col w:w="5680" w:space="720"/>
            <w:col w:w="2619"/>
          </w:cols>
          <w:pgMar w:left="1440" w:top="311" w:right="1440"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(408) 452-2000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Kensington Capital Acquisition Corp.</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1400 Old Country Road, Suite 301</w:t>
      </w:r>
    </w:p>
    <w:p>
      <w:pPr>
        <w:jc w:val="center"/>
        <w:ind w:right="19"/>
        <w:spacing w:after="0" w:line="237" w:lineRule="auto"/>
        <w:rPr>
          <w:sz w:val="20"/>
          <w:szCs w:val="20"/>
          <w:color w:val="auto"/>
        </w:rPr>
      </w:pPr>
      <w:r>
        <w:rPr>
          <w:rFonts w:ascii="Arial" w:cs="Arial" w:eastAsia="Arial" w:hAnsi="Arial"/>
          <w:sz w:val="14"/>
          <w:szCs w:val="14"/>
          <w:b w:val="1"/>
          <w:bCs w:val="1"/>
          <w:color w:val="auto"/>
        </w:rPr>
        <w:t>Westbury, New York</w:t>
      </w:r>
    </w:p>
    <w:p>
      <w:pPr>
        <w:jc w:val="center"/>
        <w:ind w:right="19"/>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2305685</wp:posOffset>
            </wp:positionH>
            <wp:positionV relativeFrom="paragraph">
              <wp:posOffset>109855</wp:posOffset>
            </wp:positionV>
            <wp:extent cx="11087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8710" cy="6350"/>
                    </a:xfrm>
                    <a:prstGeom prst="rect">
                      <a:avLst/>
                    </a:prstGeom>
                    <a:noFill/>
                  </pic:spPr>
                </pic:pic>
              </a:graphicData>
            </a:graphic>
          </wp:anchor>
        </w:drawing>
      </w:r>
    </w:p>
    <w:p>
      <w:pPr>
        <w:spacing w:after="0" w:line="233" w:lineRule="exact"/>
        <w:rPr>
          <w:sz w:val="24"/>
          <w:szCs w:val="24"/>
          <w:color w:val="auto"/>
        </w:rPr>
      </w:pPr>
    </w:p>
    <w:p>
      <w:pPr>
        <w:ind w:left="360" w:right="559" w:firstLine="331"/>
        <w:spacing w:after="0" w:line="259"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69" w:lineRule="exact"/>
        <w:rPr>
          <w:sz w:val="24"/>
          <w:szCs w:val="24"/>
          <w:color w:val="auto"/>
        </w:rPr>
      </w:pPr>
    </w:p>
    <w:p>
      <w:pPr>
        <w:ind w:left="680" w:hanging="317"/>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92" w:lineRule="exact"/>
        <w:rPr>
          <w:rFonts w:ascii="MS PGothic" w:cs="MS PGothic" w:eastAsia="MS PGothic" w:hAnsi="MS PGothic"/>
          <w:sz w:val="14"/>
          <w:szCs w:val="14"/>
          <w:color w:val="auto"/>
        </w:rPr>
      </w:pPr>
    </w:p>
    <w:p>
      <w:pPr>
        <w:ind w:left="680" w:hanging="317"/>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2" w:lineRule="exact"/>
        <w:rPr>
          <w:rFonts w:ascii="MS PGothic" w:cs="MS PGothic" w:eastAsia="MS PGothic" w:hAnsi="MS PGothic"/>
          <w:sz w:val="14"/>
          <w:szCs w:val="14"/>
          <w:color w:val="auto"/>
        </w:rPr>
      </w:pPr>
    </w:p>
    <w:p>
      <w:pPr>
        <w:ind w:left="680" w:hanging="317"/>
        <w:spacing w:after="0"/>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92" w:lineRule="exact"/>
        <w:rPr>
          <w:rFonts w:ascii="MS PGothic" w:cs="MS PGothic" w:eastAsia="MS PGothic" w:hAnsi="MS PGothic"/>
          <w:sz w:val="14"/>
          <w:szCs w:val="14"/>
          <w:color w:val="auto"/>
        </w:rPr>
      </w:pPr>
    </w:p>
    <w:p>
      <w:pPr>
        <w:ind w:left="360" w:right="2279" w:firstLine="3"/>
        <w:spacing w:after="0" w:line="365" w:lineRule="auto"/>
        <w:tabs>
          <w:tab w:leader="none" w:pos="68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60" w:type="dxa"/>
        <w:tblCellMar>
          <w:top w:w="0" w:type="dxa"/>
          <w:left w:w="0" w:type="dxa"/>
          <w:bottom w:w="0" w:type="dxa"/>
          <w:right w:w="0" w:type="dxa"/>
        </w:tblCellMar>
      </w:tblPr>
      <w:tr>
        <w:trPr>
          <w:trHeight w:val="113"/>
        </w:trPr>
        <w:tc>
          <w:tcPr>
            <w:tcW w:w="29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6"/>
              </w:rPr>
              <w:t>Title of each class</w:t>
            </w:r>
          </w:p>
        </w:tc>
        <w:tc>
          <w:tcPr>
            <w:tcW w:w="2740" w:type="dxa"/>
            <w:vAlign w:val="bottom"/>
            <w:gridSpan w:val="2"/>
          </w:tcPr>
          <w:p>
            <w:pPr>
              <w:jc w:val="center"/>
              <w:ind w:right="80"/>
              <w:spacing w:after="0" w:line="113" w:lineRule="exact"/>
              <w:rPr>
                <w:sz w:val="20"/>
                <w:szCs w:val="20"/>
                <w:color w:val="auto"/>
              </w:rPr>
            </w:pPr>
            <w:r>
              <w:rPr>
                <w:rFonts w:ascii="Arial" w:cs="Arial" w:eastAsia="Arial" w:hAnsi="Arial"/>
                <w:sz w:val="11"/>
                <w:szCs w:val="11"/>
                <w:b w:val="1"/>
                <w:bCs w:val="1"/>
                <w:color w:val="auto"/>
                <w:w w:val="94"/>
              </w:rPr>
              <w:t>Trading</w:t>
            </w:r>
          </w:p>
        </w:tc>
        <w:tc>
          <w:tcPr>
            <w:tcW w:w="264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9"/>
              </w:rPr>
              <w:t>Name of each</w:t>
            </w:r>
          </w:p>
        </w:tc>
        <w:tc>
          <w:tcPr>
            <w:tcW w:w="0" w:type="dxa"/>
            <w:vAlign w:val="bottom"/>
          </w:tcPr>
          <w:p>
            <w:pPr>
              <w:spacing w:after="0"/>
              <w:rPr>
                <w:sz w:val="1"/>
                <w:szCs w:val="1"/>
                <w:color w:val="auto"/>
              </w:rPr>
            </w:pPr>
          </w:p>
        </w:tc>
      </w:tr>
      <w:tr>
        <w:trPr>
          <w:trHeight w:val="139"/>
        </w:trPr>
        <w:tc>
          <w:tcPr>
            <w:tcW w:w="2900" w:type="dxa"/>
            <w:vAlign w:val="bottom"/>
            <w:gridSpan w:val="2"/>
            <w:vMerge w:val="continue"/>
          </w:tcPr>
          <w:p>
            <w:pPr>
              <w:spacing w:after="0"/>
              <w:rPr>
                <w:sz w:val="12"/>
                <w:szCs w:val="12"/>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Symbol(s)</w:t>
            </w:r>
          </w:p>
        </w:tc>
        <w:tc>
          <w:tcPr>
            <w:tcW w:w="2640" w:type="dxa"/>
            <w:vAlign w:val="bottom"/>
          </w:tcPr>
          <w:p>
            <w:pPr>
              <w:jc w:val="center"/>
              <w:spacing w:after="0"/>
              <w:rPr>
                <w:sz w:val="20"/>
                <w:szCs w:val="20"/>
                <w:color w:val="auto"/>
              </w:rPr>
            </w:pPr>
            <w:r>
              <w:rPr>
                <w:rFonts w:ascii="Arial" w:cs="Arial" w:eastAsia="Arial" w:hAnsi="Arial"/>
                <w:sz w:val="11"/>
                <w:szCs w:val="11"/>
                <w:b w:val="1"/>
                <w:bCs w:val="1"/>
                <w:color w:val="auto"/>
                <w:w w:val="86"/>
              </w:rPr>
              <w:t>exchange on which registered</w:t>
            </w:r>
          </w:p>
        </w:tc>
        <w:tc>
          <w:tcPr>
            <w:tcW w:w="0" w:type="dxa"/>
            <w:vAlign w:val="bottom"/>
          </w:tcPr>
          <w:p>
            <w:pPr>
              <w:spacing w:after="0"/>
              <w:rPr>
                <w:sz w:val="1"/>
                <w:szCs w:val="1"/>
                <w:color w:val="auto"/>
              </w:rPr>
            </w:pPr>
          </w:p>
        </w:tc>
      </w:tr>
      <w:tr>
        <w:trPr>
          <w:trHeight w:val="140"/>
        </w:trPr>
        <w:tc>
          <w:tcPr>
            <w:tcW w:w="282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6"/>
              </w:rPr>
              <w:t>Class A common stock, par value $0.0001 per</w:t>
            </w:r>
          </w:p>
        </w:tc>
        <w:tc>
          <w:tcPr>
            <w:tcW w:w="80" w:type="dxa"/>
            <w:vAlign w:val="bottom"/>
          </w:tcPr>
          <w:p>
            <w:pPr>
              <w:spacing w:after="0"/>
              <w:rPr>
                <w:sz w:val="12"/>
                <w:szCs w:val="12"/>
                <w:color w:val="auto"/>
              </w:rPr>
            </w:pPr>
          </w:p>
        </w:tc>
        <w:tc>
          <w:tcPr>
            <w:tcW w:w="26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8"/>
              </w:rPr>
              <w:t>QS</w:t>
            </w:r>
          </w:p>
        </w:tc>
        <w:tc>
          <w:tcPr>
            <w:tcW w:w="80" w:type="dxa"/>
            <w:vAlign w:val="bottom"/>
          </w:tcPr>
          <w:p>
            <w:pPr>
              <w:spacing w:after="0"/>
              <w:rPr>
                <w:sz w:val="12"/>
                <w:szCs w:val="12"/>
                <w:color w:val="auto"/>
              </w:rPr>
            </w:pPr>
          </w:p>
        </w:tc>
        <w:tc>
          <w:tcPr>
            <w:tcW w:w="264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7"/>
              </w:rPr>
              <w:t>The New York Stock Exchange</w:t>
            </w:r>
          </w:p>
        </w:tc>
        <w:tc>
          <w:tcPr>
            <w:tcW w:w="0" w:type="dxa"/>
            <w:vAlign w:val="bottom"/>
          </w:tcPr>
          <w:p>
            <w:pPr>
              <w:spacing w:after="0"/>
              <w:rPr>
                <w:sz w:val="1"/>
                <w:szCs w:val="1"/>
                <w:color w:val="auto"/>
              </w:rPr>
            </w:pPr>
          </w:p>
        </w:tc>
      </w:tr>
      <w:tr>
        <w:trPr>
          <w:trHeight w:val="162"/>
        </w:trPr>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0"/>
              </w:rPr>
              <w:t>share</w:t>
            </w: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Redeemable warrants, each whole warrant</w:t>
            </w:r>
          </w:p>
        </w:tc>
        <w:tc>
          <w:tcPr>
            <w:tcW w:w="2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QS.W</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7"/>
              </w:rPr>
              <w:t>The New York Stock Exchange</w:t>
            </w:r>
          </w:p>
        </w:tc>
        <w:tc>
          <w:tcPr>
            <w:tcW w:w="0" w:type="dxa"/>
            <w:vAlign w:val="bottom"/>
          </w:tcPr>
          <w:p>
            <w:pPr>
              <w:spacing w:after="0"/>
              <w:rPr>
                <w:sz w:val="1"/>
                <w:szCs w:val="1"/>
                <w:color w:val="auto"/>
              </w:rPr>
            </w:pPr>
          </w:p>
        </w:tc>
      </w:tr>
      <w:tr>
        <w:trPr>
          <w:trHeight w:val="162"/>
        </w:trPr>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exercisable for one share of Class A common</w:t>
            </w: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stock at an exercise price of $11.50</w:t>
            </w:r>
          </w:p>
        </w:tc>
        <w:tc>
          <w:tcPr>
            <w:tcW w:w="2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ind w:left="360" w:right="739"/>
        <w:spacing w:after="0" w:line="259"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or Rule 12b-2 of the Securities Exchange Act of 1934 (§ 240.12b-2).</w:t>
      </w:r>
    </w:p>
    <w:p>
      <w:pPr>
        <w:spacing w:after="0" w:line="33"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8" w:lineRule="exact"/>
        <w:rPr>
          <w:sz w:val="24"/>
          <w:szCs w:val="24"/>
          <w:color w:val="auto"/>
        </w:rPr>
      </w:pPr>
    </w:p>
    <w:p>
      <w:pPr>
        <w:ind w:left="360" w:right="59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230505</wp:posOffset>
            </wp:positionH>
            <wp:positionV relativeFrom="paragraph">
              <wp:posOffset>100330</wp:posOffset>
            </wp:positionV>
            <wp:extent cx="5259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9070" cy="635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132715</wp:posOffset>
            </wp:positionV>
            <wp:extent cx="525907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59070" cy="6350"/>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INTRODUCTORY NOTE</w:t>
      </w:r>
    </w:p>
    <w:p>
      <w:pPr>
        <w:spacing w:after="0" w:line="166" w:lineRule="exact"/>
        <w:rPr>
          <w:sz w:val="20"/>
          <w:szCs w:val="20"/>
          <w:color w:val="auto"/>
        </w:rPr>
      </w:pPr>
    </w:p>
    <w:p>
      <w:pPr>
        <w:ind w:left="360" w:right="419" w:firstLine="745"/>
        <w:spacing w:after="0" w:line="246" w:lineRule="auto"/>
        <w:rPr>
          <w:sz w:val="20"/>
          <w:szCs w:val="20"/>
          <w:color w:val="auto"/>
        </w:rPr>
      </w:pPr>
      <w:r>
        <w:rPr>
          <w:rFonts w:ascii="Arial" w:cs="Arial" w:eastAsia="Arial" w:hAnsi="Arial"/>
          <w:sz w:val="14"/>
          <w:szCs w:val="14"/>
          <w:color w:val="auto"/>
        </w:rPr>
        <w:t>On November 25, 2020 (the “</w:t>
      </w:r>
      <w:r>
        <w:rPr>
          <w:rFonts w:ascii="Arial" w:cs="Arial" w:eastAsia="Arial" w:hAnsi="Arial"/>
          <w:sz w:val="14"/>
          <w:szCs w:val="14"/>
          <w:u w:val="single" w:color="auto"/>
          <w:color w:val="auto"/>
        </w:rPr>
        <w:t>Closing Date</w:t>
      </w:r>
      <w:r>
        <w:rPr>
          <w:rFonts w:ascii="Arial" w:cs="Arial" w:eastAsia="Arial" w:hAnsi="Arial"/>
          <w:sz w:val="14"/>
          <w:szCs w:val="14"/>
          <w:color w:val="auto"/>
        </w:rPr>
        <w:t>”), QuantumScape Corporation, a Delaware corporation (f/k/a Kensington Capital Acquisition Corp. (“</w:t>
      </w:r>
      <w:r>
        <w:rPr>
          <w:rFonts w:ascii="Arial" w:cs="Arial" w:eastAsia="Arial" w:hAnsi="Arial"/>
          <w:sz w:val="14"/>
          <w:szCs w:val="14"/>
          <w:u w:val="single" w:color="auto"/>
          <w:color w:val="auto"/>
        </w:rPr>
        <w:t>KCAC</w:t>
      </w:r>
      <w:r>
        <w:rPr>
          <w:rFonts w:ascii="Arial" w:cs="Arial" w:eastAsia="Arial" w:hAnsi="Arial"/>
          <w:sz w:val="14"/>
          <w:szCs w:val="14"/>
          <w:color w:val="auto"/>
        </w:rPr>
        <w:t>”)) (the “</w:t>
      </w:r>
      <w:r>
        <w:rPr>
          <w:rFonts w:ascii="Arial" w:cs="Arial" w:eastAsia="Arial" w:hAnsi="Arial"/>
          <w:sz w:val="14"/>
          <w:szCs w:val="14"/>
          <w:u w:val="single" w:color="auto"/>
          <w:color w:val="auto"/>
        </w:rPr>
        <w:t>Company</w:t>
      </w:r>
      <w:r>
        <w:rPr>
          <w:rFonts w:ascii="Arial" w:cs="Arial" w:eastAsia="Arial" w:hAnsi="Arial"/>
          <w:sz w:val="14"/>
          <w:szCs w:val="14"/>
          <w:color w:val="auto"/>
        </w:rPr>
        <w:t>”), consummated the previously announced merger pursuant to that certain Business Combination Agreement, dated September 2, 2020 (the “</w:t>
      </w:r>
      <w:r>
        <w:rPr>
          <w:rFonts w:ascii="Arial" w:cs="Arial" w:eastAsia="Arial" w:hAnsi="Arial"/>
          <w:sz w:val="14"/>
          <w:szCs w:val="14"/>
          <w:u w:val="single" w:color="auto"/>
          <w:color w:val="auto"/>
        </w:rPr>
        <w:t>Business Combination Agreement</w:t>
      </w:r>
      <w:r>
        <w:rPr>
          <w:rFonts w:ascii="Arial" w:cs="Arial" w:eastAsia="Arial" w:hAnsi="Arial"/>
          <w:sz w:val="14"/>
          <w:szCs w:val="14"/>
          <w:color w:val="auto"/>
        </w:rPr>
        <w:t>”), by and among KCAC, Kensington Merger Sub Corp., a Delaware corporation and wholly owned subsidiary of KCAC (“</w:t>
      </w:r>
      <w:r>
        <w:rPr>
          <w:rFonts w:ascii="Arial" w:cs="Arial" w:eastAsia="Arial" w:hAnsi="Arial"/>
          <w:sz w:val="14"/>
          <w:szCs w:val="14"/>
          <w:u w:val="single" w:color="auto"/>
          <w:color w:val="auto"/>
        </w:rPr>
        <w:t>Merger Sub</w:t>
      </w:r>
      <w:r>
        <w:rPr>
          <w:rFonts w:ascii="Arial" w:cs="Arial" w:eastAsia="Arial" w:hAnsi="Arial"/>
          <w:sz w:val="14"/>
          <w:szCs w:val="14"/>
          <w:color w:val="auto"/>
        </w:rPr>
        <w:t>”), and QuantumScape Subsidiary, Inc., a Delaware corporation (f/k/a QuantumScape Corporation) (“</w:t>
      </w:r>
      <w:r>
        <w:rPr>
          <w:rFonts w:ascii="Arial" w:cs="Arial" w:eastAsia="Arial" w:hAnsi="Arial"/>
          <w:sz w:val="14"/>
          <w:szCs w:val="14"/>
          <w:u w:val="single" w:color="auto"/>
          <w:color w:val="auto"/>
        </w:rPr>
        <w:t>Legacy</w:t>
      </w:r>
      <w:r>
        <w:rPr>
          <w:rFonts w:ascii="Arial" w:cs="Arial" w:eastAsia="Arial" w:hAnsi="Arial"/>
          <w:sz w:val="14"/>
          <w:szCs w:val="14"/>
          <w:color w:val="auto"/>
        </w:rPr>
        <w:t xml:space="preserve"> </w:t>
      </w:r>
      <w:r>
        <w:rPr>
          <w:rFonts w:ascii="Arial" w:cs="Arial" w:eastAsia="Arial" w:hAnsi="Arial"/>
          <w:sz w:val="14"/>
          <w:szCs w:val="14"/>
          <w:u w:val="single" w:color="auto"/>
          <w:color w:val="auto"/>
        </w:rPr>
        <w:t>QuantumScape</w:t>
      </w:r>
      <w:r>
        <w:rPr>
          <w:rFonts w:ascii="Arial" w:cs="Arial" w:eastAsia="Arial" w:hAnsi="Arial"/>
          <w:sz w:val="14"/>
          <w:szCs w:val="14"/>
          <w:color w:val="auto"/>
        </w:rPr>
        <w:t>”).</w:t>
      </w:r>
    </w:p>
    <w:p>
      <w:pPr>
        <w:spacing w:after="0" w:line="149" w:lineRule="exact"/>
        <w:rPr>
          <w:sz w:val="20"/>
          <w:szCs w:val="20"/>
          <w:color w:val="auto"/>
        </w:rPr>
      </w:pPr>
    </w:p>
    <w:p>
      <w:pPr>
        <w:ind w:left="360" w:right="439" w:firstLine="745"/>
        <w:spacing w:after="0" w:line="246" w:lineRule="auto"/>
        <w:rPr>
          <w:sz w:val="20"/>
          <w:szCs w:val="20"/>
          <w:color w:val="auto"/>
        </w:rPr>
      </w:pPr>
      <w:r>
        <w:rPr>
          <w:rFonts w:ascii="Arial" w:cs="Arial" w:eastAsia="Arial" w:hAnsi="Arial"/>
          <w:sz w:val="14"/>
          <w:szCs w:val="14"/>
          <w:color w:val="auto"/>
        </w:rPr>
        <w:t>Pursuant to the terms of the Business Combination Agreement, a business combination between the Company and Legacy QuantumScape was effected through the merger of Merger Sub with and into Legacy QuantumScape, with Legacy QuantumScape surviving as the surviving company and as a wholly-owned subsidiary of KCAC (the “</w:t>
      </w:r>
      <w:r>
        <w:rPr>
          <w:rFonts w:ascii="Arial" w:cs="Arial" w:eastAsia="Arial" w:hAnsi="Arial"/>
          <w:sz w:val="14"/>
          <w:szCs w:val="14"/>
          <w:u w:val="single" w:color="auto"/>
          <w:color w:val="auto"/>
        </w:rPr>
        <w:t>Merger</w:t>
      </w:r>
      <w:r>
        <w:rPr>
          <w:rFonts w:ascii="Arial" w:cs="Arial" w:eastAsia="Arial" w:hAnsi="Arial"/>
          <w:sz w:val="14"/>
          <w:szCs w:val="14"/>
          <w:color w:val="auto"/>
        </w:rPr>
        <w:t>” and, collectively with the other transactions described in the Business Combination Agreement, the “</w:t>
      </w:r>
      <w:r>
        <w:rPr>
          <w:rFonts w:ascii="Arial" w:cs="Arial" w:eastAsia="Arial" w:hAnsi="Arial"/>
          <w:sz w:val="14"/>
          <w:szCs w:val="14"/>
          <w:u w:val="single" w:color="auto"/>
          <w:color w:val="auto"/>
        </w:rPr>
        <w:t>Business Combination</w:t>
      </w:r>
      <w:r>
        <w:rPr>
          <w:rFonts w:ascii="Arial" w:cs="Arial" w:eastAsia="Arial" w:hAnsi="Arial"/>
          <w:sz w:val="14"/>
          <w:szCs w:val="14"/>
          <w:color w:val="auto"/>
        </w:rPr>
        <w:t>”). On the Closing Date, the registrant changed its name from Kensington Capital Acquisition Corp. to QuantumScape Corporation.</w:t>
      </w:r>
    </w:p>
    <w:p>
      <w:pPr>
        <w:spacing w:after="0" w:line="149" w:lineRule="exact"/>
        <w:rPr>
          <w:sz w:val="20"/>
          <w:szCs w:val="20"/>
          <w:color w:val="auto"/>
        </w:rPr>
      </w:pPr>
    </w:p>
    <w:p>
      <w:pPr>
        <w:ind w:left="360" w:right="379" w:firstLine="331"/>
        <w:spacing w:after="0" w:line="291" w:lineRule="auto"/>
        <w:rPr>
          <w:sz w:val="20"/>
          <w:szCs w:val="20"/>
          <w:color w:val="auto"/>
        </w:rPr>
      </w:pPr>
      <w:r>
        <w:rPr>
          <w:rFonts w:ascii="Arial" w:cs="Arial" w:eastAsia="Arial" w:hAnsi="Arial"/>
          <w:sz w:val="12"/>
          <w:szCs w:val="12"/>
          <w:color w:val="auto"/>
        </w:rPr>
        <w:t>At the effective time of the Merger (the “</w:t>
      </w:r>
      <w:r>
        <w:rPr>
          <w:rFonts w:ascii="Arial" w:cs="Arial" w:eastAsia="Arial" w:hAnsi="Arial"/>
          <w:sz w:val="12"/>
          <w:szCs w:val="12"/>
          <w:u w:val="single" w:color="auto"/>
          <w:color w:val="auto"/>
        </w:rPr>
        <w:t>Effective Time</w:t>
      </w:r>
      <w:r>
        <w:rPr>
          <w:rFonts w:ascii="Arial" w:cs="Arial" w:eastAsia="Arial" w:hAnsi="Arial"/>
          <w:sz w:val="12"/>
          <w:szCs w:val="12"/>
          <w:color w:val="auto"/>
        </w:rPr>
        <w:t>”), and subject to the terms and conditions of the Business Combination Agreement, each share of Legacy QuantumScape Class A common stock, par value $0.0001 per share, and each share of the Legacy QuantumScape Preferred Stock that was convertible into a share of Legacy QuantumScape Class A common stock, was canceled and converted into the right to receive the number of shares of the Company’s Class A Common Stock, $0.0001 par value per share (the “</w:t>
      </w:r>
      <w:r>
        <w:rPr>
          <w:rFonts w:ascii="Arial" w:cs="Arial" w:eastAsia="Arial" w:hAnsi="Arial"/>
          <w:sz w:val="12"/>
          <w:szCs w:val="12"/>
          <w:u w:val="single" w:color="auto"/>
          <w:color w:val="auto"/>
        </w:rPr>
        <w:t>Class A Common Stock</w:t>
      </w:r>
      <w:r>
        <w:rPr>
          <w:rFonts w:ascii="Arial" w:cs="Arial" w:eastAsia="Arial" w:hAnsi="Arial"/>
          <w:sz w:val="12"/>
          <w:szCs w:val="12"/>
          <w:color w:val="auto"/>
        </w:rPr>
        <w:t>”) equal to 4.02175014920 (the “</w:t>
      </w:r>
      <w:r>
        <w:rPr>
          <w:rFonts w:ascii="Arial" w:cs="Arial" w:eastAsia="Arial" w:hAnsi="Arial"/>
          <w:sz w:val="12"/>
          <w:szCs w:val="12"/>
          <w:u w:val="single" w:color="auto"/>
          <w:color w:val="auto"/>
        </w:rPr>
        <w:t>Exchange</w:t>
      </w:r>
      <w:r>
        <w:rPr>
          <w:rFonts w:ascii="Arial" w:cs="Arial" w:eastAsia="Arial" w:hAnsi="Arial"/>
          <w:sz w:val="12"/>
          <w:szCs w:val="12"/>
          <w:color w:val="auto"/>
        </w:rPr>
        <w:t xml:space="preserve"> </w:t>
      </w:r>
      <w:r>
        <w:rPr>
          <w:rFonts w:ascii="Arial" w:cs="Arial" w:eastAsia="Arial" w:hAnsi="Arial"/>
          <w:sz w:val="12"/>
          <w:szCs w:val="12"/>
          <w:u w:val="single" w:color="auto"/>
          <w:color w:val="auto"/>
        </w:rPr>
        <w:t>Ratio</w:t>
      </w:r>
      <w:r>
        <w:rPr>
          <w:rFonts w:ascii="Arial" w:cs="Arial" w:eastAsia="Arial" w:hAnsi="Arial"/>
          <w:sz w:val="12"/>
          <w:szCs w:val="12"/>
          <w:color w:val="auto"/>
        </w:rPr>
        <w:t>”), and each share of Legacy QuantumScape Class B Common Stock, par value $0.0001 per share, and each share of the Legacy QuantumScape Preferred Stock that was convertible into a share of Legacy QuantumScape Class B common stock was canceled and converted into the right to receive the number of shares the Company’s Class B Common Stock, $0.0001 par value per share (the “</w:t>
      </w:r>
      <w:r>
        <w:rPr>
          <w:rFonts w:ascii="Arial" w:cs="Arial" w:eastAsia="Arial" w:hAnsi="Arial"/>
          <w:sz w:val="12"/>
          <w:szCs w:val="12"/>
          <w:u w:val="single" w:color="auto"/>
          <w:color w:val="auto"/>
        </w:rPr>
        <w:t>Class B Common Stock</w:t>
      </w:r>
      <w:r>
        <w:rPr>
          <w:rFonts w:ascii="Arial" w:cs="Arial" w:eastAsia="Arial" w:hAnsi="Arial"/>
          <w:sz w:val="12"/>
          <w:szCs w:val="12"/>
          <w:color w:val="auto"/>
        </w:rPr>
        <w:t>,” and, together with the Class A Common Stock, the “</w:t>
      </w:r>
      <w:r>
        <w:rPr>
          <w:rFonts w:ascii="Arial" w:cs="Arial" w:eastAsia="Arial" w:hAnsi="Arial"/>
          <w:sz w:val="12"/>
          <w:szCs w:val="12"/>
          <w:u w:val="single" w:color="auto"/>
          <w:color w:val="auto"/>
        </w:rPr>
        <w:t>Common Stock</w:t>
      </w:r>
      <w:r>
        <w:rPr>
          <w:rFonts w:ascii="Arial" w:cs="Arial" w:eastAsia="Arial" w:hAnsi="Arial"/>
          <w:sz w:val="12"/>
          <w:szCs w:val="12"/>
          <w:color w:val="auto"/>
        </w:rPr>
        <w:t>”) equal to the Exchange Ratio.</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At the Effective Time, each outstanding and unexercised warrant (“</w:t>
      </w:r>
      <w:r>
        <w:rPr>
          <w:rFonts w:ascii="Arial" w:cs="Arial" w:eastAsia="Arial" w:hAnsi="Arial"/>
          <w:sz w:val="12"/>
          <w:szCs w:val="12"/>
          <w:u w:val="single" w:color="auto"/>
          <w:color w:val="auto"/>
        </w:rPr>
        <w:t>Legacy QuantumScape Warrant</w:t>
      </w:r>
      <w:r>
        <w:rPr>
          <w:rFonts w:ascii="Arial" w:cs="Arial" w:eastAsia="Arial" w:hAnsi="Arial"/>
          <w:sz w:val="12"/>
          <w:szCs w:val="12"/>
          <w:color w:val="auto"/>
        </w:rPr>
        <w:t>”) to purchase shares of Legacy QuantumScape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capital stock was automatically converted into a warrant to purchase a number of shares of the applicable class of Common Stock (such warrant, the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Exchanged Warrant</w:t>
      </w:r>
      <w:r>
        <w:rPr>
          <w:rFonts w:ascii="Arial" w:cs="Arial" w:eastAsia="Arial" w:hAnsi="Arial"/>
          <w:sz w:val="12"/>
          <w:szCs w:val="12"/>
          <w:color w:val="auto"/>
        </w:rPr>
        <w:t>”) equal to the product (rounded down to the nearest whole number) of (i) the number of shares of Legacy QuantumScape common</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stock subject to such Legacy QuantumScape Warrant immediately prior to the Effective Time multiplied by (ii) the Exchange Ratio, at an exercise price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per share (rounded up to the nearest whole cent) equal to (A) the exercise price per share of such Legacy QuantumScape Warrant immediately prior to</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Effective Time divided by (B) the Exchange Ratio. Except as specifically provided above, following the Effective Time, each Exchanged Warrant</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continued to be governed by the same terms and conditions (including vesting and exercisability terms) as were applicable to the corresponding former</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Legacy QuantumScape Warrant immediately prior to the Effective Time.</w:t>
      </w:r>
    </w:p>
    <w:p>
      <w:pPr>
        <w:spacing w:after="0" w:line="154" w:lineRule="exact"/>
        <w:rPr>
          <w:sz w:val="20"/>
          <w:szCs w:val="20"/>
          <w:color w:val="auto"/>
        </w:rPr>
      </w:pPr>
    </w:p>
    <w:p>
      <w:pPr>
        <w:ind w:left="360" w:right="379" w:firstLine="745"/>
        <w:spacing w:after="0" w:line="289" w:lineRule="auto"/>
        <w:rPr>
          <w:sz w:val="20"/>
          <w:szCs w:val="20"/>
          <w:color w:val="auto"/>
        </w:rPr>
      </w:pPr>
      <w:r>
        <w:rPr>
          <w:rFonts w:ascii="Arial" w:cs="Arial" w:eastAsia="Arial" w:hAnsi="Arial"/>
          <w:sz w:val="12"/>
          <w:szCs w:val="12"/>
          <w:color w:val="auto"/>
        </w:rPr>
        <w:t>Each option to purchase shares of Legacy QuantumScape common stock (a “</w:t>
      </w:r>
      <w:r>
        <w:rPr>
          <w:rFonts w:ascii="Arial" w:cs="Arial" w:eastAsia="Arial" w:hAnsi="Arial"/>
          <w:sz w:val="12"/>
          <w:szCs w:val="12"/>
          <w:u w:val="single" w:color="auto"/>
          <w:color w:val="auto"/>
        </w:rPr>
        <w:t>Legacy QuantumScape Option</w:t>
      </w:r>
      <w:r>
        <w:rPr>
          <w:rFonts w:ascii="Arial" w:cs="Arial" w:eastAsia="Arial" w:hAnsi="Arial"/>
          <w:sz w:val="12"/>
          <w:szCs w:val="12"/>
          <w:color w:val="auto"/>
        </w:rPr>
        <w:t>”) that was outstanding immediately prior to the Effective Time, whether vested or unvested, was converted into an option to purchase a number of shares of the applicable class of Common Stock that the Legacy QuantumScape Option covered (such option, an “</w:t>
      </w:r>
      <w:r>
        <w:rPr>
          <w:rFonts w:ascii="Arial" w:cs="Arial" w:eastAsia="Arial" w:hAnsi="Arial"/>
          <w:sz w:val="12"/>
          <w:szCs w:val="12"/>
          <w:u w:val="single" w:color="auto"/>
          <w:color w:val="auto"/>
        </w:rPr>
        <w:t>Exchanged Option</w:t>
      </w:r>
      <w:r>
        <w:rPr>
          <w:rFonts w:ascii="Arial" w:cs="Arial" w:eastAsia="Arial" w:hAnsi="Arial"/>
          <w:sz w:val="12"/>
          <w:szCs w:val="12"/>
          <w:color w:val="auto"/>
        </w:rPr>
        <w:t>”) equal to the product (rounded down to the nearest whole number) of (i) the number of shares of Legacy QuantumScape Common Stock subject to such Legacy QuantumScape Option immediately prior to the Effective Time and (ii) the Exchange Ratio, at an exercise price per share (rounded up to the nearest whole cent) equal to (A) the exercise price per share of such Legacy QuantumScape Option immediately prior to the Effective Time, divided by (B) the Exchange Ratio. Except as specifically provided in the Business Combination Agreement, following the Effective Time, each Exchanged Option continued to be governed by the same terms and conditions (including vesting and exercisability terms) as were applicable to the corresponding former Legacy QuantumScape Option immediately prior to the Effective Time.</w:t>
      </w:r>
    </w:p>
    <w:p>
      <w:pPr>
        <w:spacing w:after="0" w:line="128" w:lineRule="exact"/>
        <w:rPr>
          <w:sz w:val="20"/>
          <w:szCs w:val="20"/>
          <w:color w:val="auto"/>
        </w:rPr>
      </w:pPr>
    </w:p>
    <w:p>
      <w:pPr>
        <w:ind w:left="360" w:right="479" w:firstLine="745"/>
        <w:spacing w:after="0" w:line="291" w:lineRule="auto"/>
        <w:rPr>
          <w:sz w:val="20"/>
          <w:szCs w:val="20"/>
          <w:color w:val="auto"/>
        </w:rPr>
      </w:pPr>
      <w:r>
        <w:rPr>
          <w:rFonts w:ascii="Arial" w:cs="Arial" w:eastAsia="Arial" w:hAnsi="Arial"/>
          <w:sz w:val="12"/>
          <w:szCs w:val="12"/>
          <w:color w:val="auto"/>
        </w:rPr>
        <w:t>Each share of restricted stock granted under Legacy QuantumScape’s option plans or acquired via the early exercise of Legacy QuantumScape’s options, immediately prior to the Closing (“Legacy QuantumScape Restricted Stock”) that was outstanding immediately prior to the Effective Time was converted into restricted shares of the applicable class of Common Stock that the pre-conversion Legacy QuantumScape Restricted Stock covered (such share of restricted Common Stock, an “Exchanged Restricted Stock”) equal to the product (rounded down to the nearest whole number) of (i) the number of shares subject to a Legacy QuantumScape Restricted Stock immediately prior to the Effective Time multiplied by (ii) the Exchange Ratio. Except as specifically provided above, following the Effective Time, each Exchanged Restricted Stock continued be governed by the same terms and conditions (including transfer restrictions and repurchase right terms) as were applicable to the corresponding former Legacy QuantumScape Restricted Stock immediately prior to the Effective Time.</w:t>
      </w:r>
    </w:p>
    <w:p>
      <w:pPr>
        <w:spacing w:after="0" w:line="123" w:lineRule="exact"/>
        <w:rPr>
          <w:sz w:val="20"/>
          <w:szCs w:val="20"/>
          <w:color w:val="auto"/>
        </w:rPr>
      </w:pPr>
    </w:p>
    <w:p>
      <w:pPr>
        <w:ind w:left="360" w:right="379" w:firstLine="745"/>
        <w:spacing w:after="0" w:line="292" w:lineRule="auto"/>
        <w:rPr>
          <w:sz w:val="20"/>
          <w:szCs w:val="20"/>
          <w:color w:val="auto"/>
        </w:rPr>
      </w:pPr>
      <w:r>
        <w:rPr>
          <w:rFonts w:ascii="Arial" w:cs="Arial" w:eastAsia="Arial" w:hAnsi="Arial"/>
          <w:sz w:val="12"/>
          <w:szCs w:val="12"/>
          <w:color w:val="auto"/>
        </w:rPr>
        <w:t>Each outstanding restricted stock unit granted by Legacy QuantumScape, immediately prior to the Closing under Legacy QuantumScape option plans or otherwise (“Legacy QuantumScape RSU”) that was outstanding immediately prior to the Effective Time was converted into a restricted stock unit of the applicable class of Common Stock that the pre-conversion Legacy QuantumScape RSU covered (such restricted stock unit award covering Common Stock, an “Exchanged RSU”) equal to the product (rounded down to the nearest whole number) of (i) the number of shares of Legacy QuantumScape RSU immediately prior to the Effective Time multiplied by (ii) the Exchange Ratio. Except as specifically provided above, following the Effective Time, each Exchanged RSU continued to be governed by the same terms and conditions (including transfer restrictions and repurchase right terms) as were applicable to the corresponding former Legacy QuantumScape RSU immediately prior to the Effective Time.</w:t>
      </w:r>
    </w:p>
    <w:p>
      <w:pPr>
        <w:spacing w:after="0" w:line="124" w:lineRule="exact"/>
        <w:rPr>
          <w:sz w:val="20"/>
          <w:szCs w:val="20"/>
          <w:color w:val="auto"/>
        </w:rPr>
      </w:pPr>
    </w:p>
    <w:p>
      <w:pPr>
        <w:ind w:left="360" w:right="419" w:firstLine="745"/>
        <w:spacing w:after="0" w:line="297" w:lineRule="auto"/>
        <w:rPr>
          <w:sz w:val="20"/>
          <w:szCs w:val="20"/>
          <w:color w:val="auto"/>
        </w:rPr>
      </w:pPr>
      <w:r>
        <w:rPr>
          <w:rFonts w:ascii="Arial" w:cs="Arial" w:eastAsia="Arial" w:hAnsi="Arial"/>
          <w:sz w:val="12"/>
          <w:szCs w:val="12"/>
          <w:color w:val="auto"/>
        </w:rPr>
        <w:t>Immediately prior to the Effective Time, the obligation to purchase shares of Legacy QuantumScape’s Series F Preferred Stock, par value $0.0001 per share (“Legacy QuantumScape Series F Preferred Stock”), upon satisfaction of certain milestones, if still outstanding, became an obligation to purchase, upon satisfaction of the milestones, shares of Class A Common Stock equal in number to the shares of Class A Common Stock that would have been issued in the Merger in exchange for such shares of Legacy QuantumScape Series F Preferred Stock if such shares of Legacy QuantumScape Series F Preferred Stock had been outstanding prior to the Merger.</w:t>
      </w:r>
    </w:p>
    <w:p>
      <w:pPr>
        <w:spacing w:after="0" w:line="120" w:lineRule="exact"/>
        <w:rPr>
          <w:sz w:val="20"/>
          <w:szCs w:val="20"/>
          <w:color w:val="auto"/>
        </w:rPr>
      </w:pPr>
    </w:p>
    <w:p>
      <w:pPr>
        <w:ind w:left="360" w:right="739" w:firstLine="745"/>
        <w:spacing w:after="0" w:line="259" w:lineRule="auto"/>
        <w:rPr>
          <w:sz w:val="20"/>
          <w:szCs w:val="20"/>
          <w:color w:val="auto"/>
        </w:rPr>
      </w:pPr>
      <w:r>
        <w:rPr>
          <w:rFonts w:ascii="Arial" w:cs="Arial" w:eastAsia="Arial" w:hAnsi="Arial"/>
          <w:sz w:val="14"/>
          <w:szCs w:val="14"/>
          <w:color w:val="auto"/>
        </w:rPr>
        <w:t>As of the open of trading on November 27, 2020, the Common Stock and warrants of QuantumScape Corporation, formerly those of KCAC, began trading on The New York Stock Exchange (“</w:t>
      </w:r>
      <w:r>
        <w:rPr>
          <w:rFonts w:ascii="Arial" w:cs="Arial" w:eastAsia="Arial" w:hAnsi="Arial"/>
          <w:sz w:val="14"/>
          <w:szCs w:val="14"/>
          <w:u w:val="single" w:color="auto"/>
          <w:color w:val="auto"/>
        </w:rPr>
        <w:t>NYSE</w:t>
      </w:r>
      <w:r>
        <w:rPr>
          <w:rFonts w:ascii="Arial" w:cs="Arial" w:eastAsia="Arial" w:hAnsi="Arial"/>
          <w:sz w:val="14"/>
          <w:szCs w:val="14"/>
          <w:color w:val="auto"/>
        </w:rPr>
        <w:t>”) as “QS” and “QS.W”, respectively.</w:t>
      </w:r>
    </w:p>
    <w:p>
      <w:pPr>
        <w:spacing w:after="0" w:line="140" w:lineRule="exact"/>
        <w:rPr>
          <w:sz w:val="20"/>
          <w:szCs w:val="20"/>
          <w:color w:val="auto"/>
        </w:rPr>
      </w:pPr>
    </w:p>
    <w:p>
      <w:pPr>
        <w:ind w:left="360" w:right="399" w:firstLine="745"/>
        <w:spacing w:after="0" w:line="250" w:lineRule="auto"/>
        <w:rPr>
          <w:sz w:val="20"/>
          <w:szCs w:val="20"/>
          <w:color w:val="auto"/>
        </w:rPr>
      </w:pPr>
      <w:r>
        <w:rPr>
          <w:rFonts w:ascii="Arial" w:cs="Arial" w:eastAsia="Arial" w:hAnsi="Arial"/>
          <w:sz w:val="14"/>
          <w:szCs w:val="14"/>
          <w:color w:val="auto"/>
        </w:rPr>
        <w:t>As used in this Current Report on Form 8-K henceforward, unless otherwise stated or the context clearly indicates otherwise, the terms the “Company,” “Registrant,” “we,” “us” and “our” refer to the parent entity formerly named Kensington Capital Acquisition Corp., after giving effect to the Business Combination, and as renamed QuantumScape Corporation.</w:t>
      </w:r>
    </w:p>
    <w:p>
      <w:pPr>
        <w:spacing w:after="0" w:line="146" w:lineRule="exact"/>
        <w:rPr>
          <w:sz w:val="20"/>
          <w:szCs w:val="20"/>
          <w:color w:val="auto"/>
        </w:rPr>
      </w:pPr>
    </w:p>
    <w:p>
      <w:pPr>
        <w:ind w:left="360" w:right="419" w:firstLine="745"/>
        <w:spacing w:after="0" w:line="247" w:lineRule="auto"/>
        <w:rPr>
          <w:rFonts w:ascii="Arial" w:cs="Arial" w:eastAsia="Arial" w:hAnsi="Arial"/>
          <w:sz w:val="14"/>
          <w:szCs w:val="14"/>
          <w:color w:val="auto"/>
        </w:rPr>
      </w:pPr>
      <w:r>
        <w:rPr>
          <w:rFonts w:ascii="Arial" w:cs="Arial" w:eastAsia="Arial" w:hAnsi="Arial"/>
          <w:sz w:val="14"/>
          <w:szCs w:val="14"/>
          <w:color w:val="auto"/>
        </w:rPr>
        <w:t>A description of the Business Combination and the terms of the Business Combination Agreement are included in the proxy statement/prospectus/information statement filed with the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on November 12, 2020 (the “</w:t>
      </w:r>
      <w:r>
        <w:rPr>
          <w:rFonts w:ascii="Arial" w:cs="Arial" w:eastAsia="Arial" w:hAnsi="Arial"/>
          <w:sz w:val="14"/>
          <w:szCs w:val="14"/>
          <w:u w:val="single" w:color="auto"/>
          <w:color w:val="auto"/>
        </w:rPr>
        <w:t>Proxy</w:t>
      </w:r>
      <w:r>
        <w:rPr>
          <w:rFonts w:ascii="Arial" w:cs="Arial" w:eastAsia="Arial" w:hAnsi="Arial"/>
          <w:sz w:val="14"/>
          <w:szCs w:val="14"/>
          <w:color w:val="auto"/>
        </w:rPr>
        <w:t xml:space="preserve"> </w:t>
      </w:r>
      <w:r>
        <w:rPr>
          <w:rFonts w:ascii="Arial" w:cs="Arial" w:eastAsia="Arial" w:hAnsi="Arial"/>
          <w:sz w:val="14"/>
          <w:szCs w:val="14"/>
          <w:u w:val="single" w:color="auto"/>
          <w:color w:val="auto"/>
        </w:rPr>
        <w:t>Statement</w:t>
      </w:r>
      <w:r>
        <w:rPr>
          <w:rFonts w:ascii="Arial" w:cs="Arial" w:eastAsia="Arial" w:hAnsi="Arial"/>
          <w:sz w:val="14"/>
          <w:szCs w:val="14"/>
          <w:color w:val="auto"/>
        </w:rPr>
        <w:t>”) in the sections entitled “</w:t>
      </w:r>
      <w:hyperlink r:id="rId18">
        <w:r>
          <w:rPr>
            <w:rFonts w:ascii="Arial" w:cs="Arial" w:eastAsia="Arial" w:hAnsi="Arial"/>
            <w:sz w:val="14"/>
            <w:szCs w:val="14"/>
            <w:u w:val="single" w:color="auto"/>
            <w:color w:val="0000EE"/>
          </w:rPr>
          <w:t>The Business Combination</w:t>
        </w:r>
      </w:hyperlink>
      <w:r>
        <w:rPr>
          <w:rFonts w:ascii="Arial" w:cs="Arial" w:eastAsia="Arial" w:hAnsi="Arial"/>
          <w:sz w:val="14"/>
          <w:szCs w:val="14"/>
          <w:color w:val="auto"/>
        </w:rPr>
        <w:t>” beginning on page 93 and “</w:t>
      </w:r>
      <w:hyperlink r:id="rId19">
        <w:r>
          <w:rPr>
            <w:rFonts w:ascii="Arial" w:cs="Arial" w:eastAsia="Arial" w:hAnsi="Arial"/>
            <w:sz w:val="14"/>
            <w:szCs w:val="14"/>
            <w:u w:val="single" w:color="auto"/>
            <w:color w:val="0000EE"/>
          </w:rPr>
          <w:t>The Business Combination Agreement</w:t>
        </w:r>
      </w:hyperlink>
      <w:r>
        <w:rPr>
          <w:rFonts w:ascii="Arial" w:cs="Arial" w:eastAsia="Arial" w:hAnsi="Arial"/>
          <w:sz w:val="14"/>
          <w:szCs w:val="14"/>
          <w:color w:val="auto"/>
        </w:rPr>
        <w:t>” beginning on page 107 of the Proxy Statement.</w:t>
      </w:r>
    </w:p>
    <w:p>
      <w:pPr>
        <w:spacing w:after="0" w:line="149" w:lineRule="exact"/>
        <w:rPr>
          <w:sz w:val="20"/>
          <w:szCs w:val="20"/>
          <w:color w:val="auto"/>
        </w:rPr>
      </w:pPr>
    </w:p>
    <w:p>
      <w:pPr>
        <w:ind w:left="360" w:right="399" w:firstLine="745"/>
        <w:spacing w:after="0" w:line="297" w:lineRule="auto"/>
        <w:rPr>
          <w:sz w:val="20"/>
          <w:szCs w:val="20"/>
          <w:color w:val="auto"/>
        </w:rPr>
      </w:pPr>
      <w:r>
        <w:rPr>
          <w:rFonts w:ascii="Arial" w:cs="Arial" w:eastAsia="Arial" w:hAnsi="Arial"/>
          <w:sz w:val="12"/>
          <w:szCs w:val="12"/>
          <w:color w:val="auto"/>
        </w:rPr>
        <w:t>On November 25, 2020, a number of purchasers (each, a “</w:t>
      </w:r>
      <w:r>
        <w:rPr>
          <w:rFonts w:ascii="Arial" w:cs="Arial" w:eastAsia="Arial" w:hAnsi="Arial"/>
          <w:sz w:val="12"/>
          <w:szCs w:val="12"/>
          <w:u w:val="single" w:color="auto"/>
          <w:color w:val="auto"/>
        </w:rPr>
        <w:t>Subscriber</w:t>
      </w:r>
      <w:r>
        <w:rPr>
          <w:rFonts w:ascii="Arial" w:cs="Arial" w:eastAsia="Arial" w:hAnsi="Arial"/>
          <w:sz w:val="12"/>
          <w:szCs w:val="12"/>
          <w:color w:val="auto"/>
        </w:rPr>
        <w:t>”) purchased from the Company an aggregate of 50,000,000 shares of Class A Common Stock (the “</w:t>
      </w:r>
      <w:r>
        <w:rPr>
          <w:rFonts w:ascii="Arial" w:cs="Arial" w:eastAsia="Arial" w:hAnsi="Arial"/>
          <w:sz w:val="12"/>
          <w:szCs w:val="12"/>
          <w:u w:val="single" w:color="auto"/>
          <w:color w:val="auto"/>
        </w:rPr>
        <w:t>PIPE</w:t>
      </w:r>
      <w:r>
        <w:rPr>
          <w:rFonts w:ascii="Arial" w:cs="Arial" w:eastAsia="Arial" w:hAnsi="Arial"/>
          <w:sz w:val="12"/>
          <w:szCs w:val="12"/>
          <w:color w:val="auto"/>
        </w:rPr>
        <w:t>”), for a purchase price of $10.00 per share and an aggregate purchase price of $500.0 million (the “</w:t>
      </w:r>
      <w:r>
        <w:rPr>
          <w:rFonts w:ascii="Arial" w:cs="Arial" w:eastAsia="Arial" w:hAnsi="Arial"/>
          <w:sz w:val="12"/>
          <w:szCs w:val="12"/>
          <w:u w:val="single" w:color="auto"/>
          <w:color w:val="auto"/>
        </w:rPr>
        <w:t>PIPE Shares</w:t>
      </w:r>
      <w:r>
        <w:rPr>
          <w:rFonts w:ascii="Arial" w:cs="Arial" w:eastAsia="Arial" w:hAnsi="Arial"/>
          <w:sz w:val="12"/>
          <w:szCs w:val="12"/>
          <w:color w:val="auto"/>
        </w:rPr>
        <w:t>”), pursuant to separate subscription agreements (each, a “</w:t>
      </w:r>
      <w:r>
        <w:rPr>
          <w:rFonts w:ascii="Arial" w:cs="Arial" w:eastAsia="Arial" w:hAnsi="Arial"/>
          <w:sz w:val="12"/>
          <w:szCs w:val="12"/>
          <w:u w:val="single" w:color="auto"/>
          <w:color w:val="auto"/>
        </w:rPr>
        <w:t>Subscription Agreement</w:t>
      </w:r>
      <w:r>
        <w:rPr>
          <w:rFonts w:ascii="Arial" w:cs="Arial" w:eastAsia="Arial" w:hAnsi="Arial"/>
          <w:sz w:val="12"/>
          <w:szCs w:val="12"/>
          <w:color w:val="auto"/>
        </w:rPr>
        <w:t>”) entered into effective as of September 2, 2020. Pursuant to the Subscription Agreements, the Company gave certain registration rights to the Subscribers with respect to the PIPE Shares. The sale of PIPE Shares was consummated concurrently with the closing of the Business Combination (the “</w:t>
      </w:r>
      <w:r>
        <w:rPr>
          <w:rFonts w:ascii="Arial" w:cs="Arial" w:eastAsia="Arial" w:hAnsi="Arial"/>
          <w:sz w:val="12"/>
          <w:szCs w:val="12"/>
          <w:u w:val="single" w:color="auto"/>
          <w:color w:val="auto"/>
        </w:rPr>
        <w:t>Closing</w:t>
      </w:r>
      <w:r>
        <w:rPr>
          <w:rFonts w:ascii="Arial" w:cs="Arial" w:eastAsia="Arial" w:hAnsi="Arial"/>
          <w:sz w:val="12"/>
          <w:szCs w:val="12"/>
          <w:color w:val="auto"/>
        </w:rPr>
        <w:t>”).</w:t>
      </w:r>
    </w:p>
    <w:p>
      <w:pPr>
        <w:sectPr>
          <w:pgSz w:w="11900" w:h="16838" w:orient="portrait"/>
          <w:cols w:equalWidth="0" w:num="1">
            <w:col w:w="9019"/>
          </w:cols>
          <w:pgMar w:left="1440" w:top="238" w:right="1440" w:bottom="1440" w:gutter="0" w:footer="0" w:header="0"/>
        </w:sectPr>
      </w:pPr>
    </w:p>
    <w:p>
      <w:pPr>
        <w:spacing w:after="0" w:line="7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9019"/>
          </w:cols>
          <w:pgMar w:left="1440" w:top="238" w:right="1440" w:bottom="1440" w:gutter="0" w:footer="0" w:header="0"/>
          <w:type w:val="continuous"/>
        </w:sectPr>
      </w:pPr>
    </w:p>
    <w:bookmarkStart w:id="2" w:name="page3"/>
    <w:bookmarkEnd w:id="2"/>
    <w:p>
      <w:pPr>
        <w:ind w:left="360" w:right="379" w:firstLine="745"/>
        <w:spacing w:after="0" w:line="259" w:lineRule="auto"/>
        <w:rPr>
          <w:rFonts w:ascii="Arial" w:cs="Arial" w:eastAsia="Arial" w:hAnsi="Arial"/>
          <w:sz w:val="14"/>
          <w:szCs w:val="14"/>
          <w:color w:val="0000EE"/>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9310" cy="19050"/>
                    </a:xfrm>
                    <a:prstGeom prst="rect">
                      <a:avLst/>
                    </a:prstGeom>
                    <a:noFill/>
                  </pic:spPr>
                </pic:pic>
              </a:graphicData>
            </a:graphic>
          </wp:anchor>
        </w:drawing>
      </w:r>
      <w:hyperlink r:id="rId21">
        <w:r>
          <w:rPr>
            <w:rFonts w:ascii="Arial" w:cs="Arial" w:eastAsia="Arial" w:hAnsi="Arial"/>
            <w:sz w:val="14"/>
            <w:szCs w:val="14"/>
            <w:color w:val="auto"/>
          </w:rPr>
          <w:t>A description of the Subscription Agreements is included in the Proxy Statement in the section entitled “</w:t>
        </w:r>
        <w:r>
          <w:rPr>
            <w:rFonts w:ascii="Arial" w:cs="Arial" w:eastAsia="Arial" w:hAnsi="Arial"/>
            <w:sz w:val="14"/>
            <w:szCs w:val="14"/>
            <w:u w:val="single" w:color="auto"/>
            <w:color w:val="0000EE"/>
          </w:rPr>
          <w:t>Certain Agreements Related to the</w:t>
        </w:r>
      </w:hyperlink>
      <w:r>
        <w:rPr>
          <w:rFonts w:ascii="Arial" w:cs="Arial" w:eastAsia="Arial" w:hAnsi="Arial"/>
          <w:sz w:val="14"/>
          <w:szCs w:val="14"/>
          <w:color w:val="auto"/>
        </w:rPr>
        <w:t xml:space="preserve"> </w:t>
      </w:r>
      <w:hyperlink r:id="rId21">
        <w:r>
          <w:rPr>
            <w:rFonts w:ascii="Arial" w:cs="Arial" w:eastAsia="Arial" w:hAnsi="Arial"/>
            <w:sz w:val="14"/>
            <w:szCs w:val="14"/>
            <w:u w:val="single" w:color="auto"/>
            <w:color w:val="0000EE"/>
          </w:rPr>
          <w:t>Business Combination—Subscription Agreements</w:t>
        </w:r>
        <w:r>
          <w:rPr>
            <w:rFonts w:ascii="Arial" w:cs="Arial" w:eastAsia="Arial" w:hAnsi="Arial"/>
            <w:sz w:val="14"/>
            <w:szCs w:val="14"/>
            <w:color w:val="000000"/>
          </w:rPr>
          <w:t>” on page 123 of the Proxy Statement.</w:t>
        </w:r>
      </w:hyperlink>
    </w:p>
    <w:p>
      <w:pPr>
        <w:spacing w:after="0" w:line="140" w:lineRule="exact"/>
        <w:rPr>
          <w:sz w:val="20"/>
          <w:szCs w:val="20"/>
          <w:color w:val="auto"/>
        </w:rPr>
      </w:pPr>
    </w:p>
    <w:p>
      <w:pPr>
        <w:jc w:val="both"/>
        <w:ind w:left="360" w:right="579" w:firstLine="745"/>
        <w:spacing w:after="0" w:line="312" w:lineRule="auto"/>
        <w:rPr>
          <w:sz w:val="20"/>
          <w:szCs w:val="20"/>
          <w:color w:val="auto"/>
        </w:rPr>
      </w:pPr>
      <w:r>
        <w:rPr>
          <w:rFonts w:ascii="Arial" w:cs="Arial" w:eastAsia="Arial" w:hAnsi="Arial"/>
          <w:sz w:val="12"/>
          <w:szCs w:val="12"/>
          <w:color w:val="auto"/>
        </w:rPr>
        <w:t>The foregoing descriptions of each of the Business Combination Agreement and the Subscription Agreements is a summary only and is qualified in their entirety by the full text of the Business Combination Agreement, a copy of which is attached hereto as Exhibit 2.1 and incorporated herein by reference, and the Subscription Agreements, a copy of which is attached hereto as Exhibit 10.4 and incorporated herein by reference.</w:t>
      </w:r>
    </w:p>
    <w:p>
      <w:pPr>
        <w:spacing w:after="0" w:line="111" w:lineRule="exact"/>
        <w:rPr>
          <w:sz w:val="20"/>
          <w:szCs w:val="20"/>
          <w:color w:val="auto"/>
        </w:rPr>
      </w:pPr>
    </w:p>
    <w:p>
      <w:pPr>
        <w:jc w:val="both"/>
        <w:ind w:left="360" w:right="579" w:firstLine="745"/>
        <w:spacing w:after="0" w:line="259" w:lineRule="auto"/>
        <w:rPr>
          <w:sz w:val="20"/>
          <w:szCs w:val="20"/>
          <w:color w:val="auto"/>
        </w:rPr>
      </w:pPr>
      <w:r>
        <w:rPr>
          <w:rFonts w:ascii="Arial" w:cs="Arial" w:eastAsia="Arial" w:hAnsi="Arial"/>
          <w:sz w:val="14"/>
          <w:szCs w:val="14"/>
          <w:color w:val="auto"/>
        </w:rPr>
        <w:t>As of November 25, 2020, there were approximately 189,469,223 shares of Class A Common Stock and 158,271,287 shares of Class B Common Stock issued and outstanding.</w:t>
      </w:r>
    </w:p>
    <w:p>
      <w:pPr>
        <w:spacing w:after="0" w:line="140" w:lineRule="exact"/>
        <w:rPr>
          <w:sz w:val="20"/>
          <w:szCs w:val="20"/>
          <w:color w:val="auto"/>
        </w:rPr>
      </w:pPr>
    </w:p>
    <w:p>
      <w:pPr>
        <w:ind w:left="360" w:right="559" w:firstLine="745"/>
        <w:spacing w:after="0" w:line="247" w:lineRule="auto"/>
        <w:rPr>
          <w:sz w:val="20"/>
          <w:szCs w:val="20"/>
          <w:color w:val="auto"/>
        </w:rPr>
      </w:pPr>
      <w:r>
        <w:rPr>
          <w:rFonts w:ascii="Arial" w:cs="Arial" w:eastAsia="Arial" w:hAnsi="Arial"/>
          <w:sz w:val="14"/>
          <w:szCs w:val="14"/>
          <w:color w:val="auto"/>
        </w:rPr>
        <w:t>The foregoing description of the Business Combination does not take into account the sale and issuance on December 1, 2020 of 15,221,334 shares of Class A Common Stock to Volkswagen Group of America Investments, LLC (“VGA”) for an aggregate purchase price of $100 million, and 15,221,334 shares of Class A Common Stock that are issuable to VGA for $100 million by the end of the first quarter of 2021, subject to completion of a certain technical milestone.</w:t>
      </w:r>
    </w:p>
    <w:p>
      <w:pPr>
        <w:spacing w:after="0" w:line="259"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4"/>
          <w:szCs w:val="14"/>
          <w:b w:val="1"/>
          <w:bCs w:val="1"/>
          <w:color w:val="auto"/>
        </w:rPr>
        <w:t>Item 1.01</w:t>
      </w:r>
      <w:r>
        <w:rPr>
          <w:sz w:val="20"/>
          <w:szCs w:val="20"/>
          <w:color w:val="auto"/>
        </w:rPr>
        <w:tab/>
      </w:r>
      <w:r>
        <w:rPr>
          <w:rFonts w:ascii="Arial" w:cs="Arial" w:eastAsia="Arial" w:hAnsi="Arial"/>
          <w:sz w:val="12"/>
          <w:szCs w:val="12"/>
          <w:b w:val="1"/>
          <w:bCs w:val="1"/>
          <w:color w:val="auto"/>
        </w:rPr>
        <w:t>Entry into a Material Definitive Agreement.</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Stockholder Lock-Up Agreements</w:t>
      </w:r>
    </w:p>
    <w:p>
      <w:pPr>
        <w:spacing w:after="0" w:line="85" w:lineRule="exact"/>
        <w:rPr>
          <w:sz w:val="20"/>
          <w:szCs w:val="20"/>
          <w:color w:val="auto"/>
        </w:rPr>
      </w:pPr>
    </w:p>
    <w:p>
      <w:pPr>
        <w:ind w:left="360" w:right="439" w:firstLine="745"/>
        <w:spacing w:after="0" w:line="312" w:lineRule="auto"/>
        <w:rPr>
          <w:sz w:val="20"/>
          <w:szCs w:val="20"/>
          <w:color w:val="auto"/>
        </w:rPr>
      </w:pPr>
      <w:r>
        <w:rPr>
          <w:rFonts w:ascii="Arial" w:cs="Arial" w:eastAsia="Arial" w:hAnsi="Arial"/>
          <w:sz w:val="12"/>
          <w:szCs w:val="12"/>
          <w:color w:val="auto"/>
        </w:rPr>
        <w:t>In connection with the transactions contemplated by the Business Combination Agreement (the “</w:t>
      </w:r>
      <w:r>
        <w:rPr>
          <w:rFonts w:ascii="Arial" w:cs="Arial" w:eastAsia="Arial" w:hAnsi="Arial"/>
          <w:sz w:val="12"/>
          <w:szCs w:val="12"/>
          <w:u w:val="single" w:color="auto"/>
          <w:color w:val="auto"/>
        </w:rPr>
        <w:t>Transactions</w:t>
      </w:r>
      <w:r>
        <w:rPr>
          <w:rFonts w:ascii="Arial" w:cs="Arial" w:eastAsia="Arial" w:hAnsi="Arial"/>
          <w:sz w:val="12"/>
          <w:szCs w:val="12"/>
          <w:color w:val="auto"/>
        </w:rPr>
        <w:t>”), on November 25, 2020, the Company and certain stockholders of Legacy QuantumScape entered into a lock-up agreement, pursuant to which they agreed, subject to customary exceptions, not to transfer shares of Common Stock for a period of 180 days after the Closing Date.</w:t>
      </w:r>
    </w:p>
    <w:p>
      <w:pPr>
        <w:spacing w:after="0" w:line="111" w:lineRule="exact"/>
        <w:rPr>
          <w:sz w:val="20"/>
          <w:szCs w:val="20"/>
          <w:color w:val="auto"/>
        </w:rPr>
      </w:pPr>
    </w:p>
    <w:p>
      <w:pPr>
        <w:ind w:left="360" w:right="499" w:firstLine="745"/>
        <w:spacing w:after="0" w:line="259" w:lineRule="auto"/>
        <w:rPr>
          <w:sz w:val="20"/>
          <w:szCs w:val="20"/>
          <w:color w:val="auto"/>
        </w:rPr>
      </w:pPr>
      <w:r>
        <w:rPr>
          <w:rFonts w:ascii="Arial" w:cs="Arial" w:eastAsia="Arial" w:hAnsi="Arial"/>
          <w:sz w:val="14"/>
          <w:szCs w:val="14"/>
          <w:color w:val="auto"/>
        </w:rPr>
        <w:t>The foregoing description of the lock-up agreement is qualified in its entirety by the full text of the form of lock-up agreement, a copy of which is attached hereto as Exhibit 10.3 and incorporated herein by reference.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3" w:name="page4"/>
    <w:bookmarkEnd w:id="3"/>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Indemnification Agreements</w:t>
      </w:r>
    </w:p>
    <w:p>
      <w:pPr>
        <w:spacing w:after="0" w:line="85" w:lineRule="exact"/>
        <w:rPr>
          <w:sz w:val="20"/>
          <w:szCs w:val="20"/>
          <w:color w:val="auto"/>
        </w:rPr>
      </w:pPr>
    </w:p>
    <w:p>
      <w:pPr>
        <w:ind w:left="360" w:right="679" w:firstLine="745"/>
        <w:spacing w:after="0" w:line="297" w:lineRule="auto"/>
        <w:rPr>
          <w:sz w:val="20"/>
          <w:szCs w:val="20"/>
          <w:color w:val="auto"/>
        </w:rPr>
      </w:pPr>
      <w:r>
        <w:rPr>
          <w:rFonts w:ascii="Arial" w:cs="Arial" w:eastAsia="Arial" w:hAnsi="Arial"/>
          <w:sz w:val="12"/>
          <w:szCs w:val="12"/>
          <w:color w:val="auto"/>
        </w:rPr>
        <w:t>In connection with the Transactions, on November 25, 2020, the Company entered into indemnification agreements with each of its directors and executive officers. These indemnification agreements provide the directors and executive officers with contractual rights to indemnification and advancement for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20" w:lineRule="exact"/>
        <w:rPr>
          <w:sz w:val="20"/>
          <w:szCs w:val="20"/>
          <w:color w:val="auto"/>
        </w:rPr>
      </w:pPr>
    </w:p>
    <w:p>
      <w:pPr>
        <w:ind w:left="360" w:right="719" w:firstLine="745"/>
        <w:spacing w:after="0" w:line="259" w:lineRule="auto"/>
        <w:rPr>
          <w:sz w:val="20"/>
          <w:szCs w:val="20"/>
          <w:color w:val="auto"/>
        </w:rPr>
      </w:pPr>
      <w:r>
        <w:rPr>
          <w:rFonts w:ascii="Arial" w:cs="Arial" w:eastAsia="Arial" w:hAnsi="Arial"/>
          <w:sz w:val="14"/>
          <w:szCs w:val="14"/>
          <w:color w:val="auto"/>
        </w:rPr>
        <w:t>The foregoing description of the indemnification agreements is qualified in its entirety by the full text of the form of indemnification agreement, which is attached hereto as Exhibit 10.7 and incorporated herein by reference.</w:t>
      </w:r>
    </w:p>
    <w:p>
      <w:pPr>
        <w:spacing w:after="0" w:line="249"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4"/>
          <w:szCs w:val="14"/>
          <w:b w:val="1"/>
          <w:bCs w:val="1"/>
          <w:color w:val="auto"/>
        </w:rPr>
        <w:t>Item 2.01</w:t>
      </w:r>
      <w:r>
        <w:rPr>
          <w:sz w:val="20"/>
          <w:szCs w:val="20"/>
          <w:color w:val="auto"/>
        </w:rPr>
        <w:tab/>
      </w:r>
      <w:r>
        <w:rPr>
          <w:rFonts w:ascii="Arial" w:cs="Arial" w:eastAsia="Arial" w:hAnsi="Arial"/>
          <w:sz w:val="11"/>
          <w:szCs w:val="11"/>
          <w:b w:val="1"/>
          <w:bCs w:val="1"/>
          <w:color w:val="auto"/>
        </w:rPr>
        <w:t>Completion of Acquisition or Disposition of Assets.</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disclosure set forth in the “Introductory Note” above is incorporated by reference into this Item 2.01.</w:t>
      </w:r>
    </w:p>
    <w:p>
      <w:pPr>
        <w:spacing w:after="0" w:line="164" w:lineRule="exact"/>
        <w:rPr>
          <w:sz w:val="20"/>
          <w:szCs w:val="20"/>
          <w:color w:val="auto"/>
        </w:rPr>
      </w:pPr>
    </w:p>
    <w:p>
      <w:pPr>
        <w:ind w:left="360" w:right="419" w:firstLine="745"/>
        <w:spacing w:after="0" w:line="342" w:lineRule="auto"/>
        <w:rPr>
          <w:sz w:val="20"/>
          <w:szCs w:val="20"/>
          <w:color w:val="auto"/>
        </w:rPr>
      </w:pPr>
      <w:r>
        <w:rPr>
          <w:rFonts w:ascii="Arial" w:cs="Arial" w:eastAsia="Arial" w:hAnsi="Arial"/>
          <w:sz w:val="12"/>
          <w:szCs w:val="12"/>
          <w:color w:val="auto"/>
        </w:rPr>
        <w:t>At a special meeting of the Company’s stockholders held on November 25, 2020 (the “</w:t>
      </w:r>
      <w:r>
        <w:rPr>
          <w:rFonts w:ascii="Arial" w:cs="Arial" w:eastAsia="Arial" w:hAnsi="Arial"/>
          <w:sz w:val="12"/>
          <w:szCs w:val="12"/>
          <w:u w:val="single" w:color="auto"/>
          <w:color w:val="auto"/>
        </w:rPr>
        <w:t>Special Meeting</w:t>
      </w:r>
      <w:r>
        <w:rPr>
          <w:rFonts w:ascii="Arial" w:cs="Arial" w:eastAsia="Arial" w:hAnsi="Arial"/>
          <w:sz w:val="12"/>
          <w:szCs w:val="12"/>
          <w:color w:val="auto"/>
        </w:rPr>
        <w:t>”), the Company’s stockholders approved the Business Combination. On November 25, 2020, the parties to the Business Combination Agreement completed the Business Combination.</w:t>
      </w: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Immediately after giving effect to the completion of the Business Combination and the issuance of the PIPE Shares, there were</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outstanding:</w:t>
      </w:r>
    </w:p>
    <w:p>
      <w:pPr>
        <w:spacing w:after="0" w:line="83" w:lineRule="exact"/>
        <w:rPr>
          <w:sz w:val="20"/>
          <w:szCs w:val="20"/>
          <w:color w:val="auto"/>
        </w:rPr>
      </w:pPr>
    </w:p>
    <w:p>
      <w:pPr>
        <w:ind w:left="1920" w:hanging="400"/>
        <w:spacing w:after="0"/>
        <w:tabs>
          <w:tab w:leader="none" w:pos="1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approximately 189,469,223 shares of Class A Common Stock;</w:t>
      </w:r>
    </w:p>
    <w:p>
      <w:pPr>
        <w:spacing w:after="0" w:line="92" w:lineRule="exact"/>
        <w:rPr>
          <w:rFonts w:ascii="Arial" w:cs="Arial" w:eastAsia="Arial" w:hAnsi="Arial"/>
          <w:sz w:val="14"/>
          <w:szCs w:val="14"/>
          <w:color w:val="auto"/>
        </w:rPr>
      </w:pPr>
    </w:p>
    <w:p>
      <w:pPr>
        <w:ind w:left="1920" w:hanging="400"/>
        <w:spacing w:after="0"/>
        <w:tabs>
          <w:tab w:leader="none" w:pos="1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approximately 158,271,287 shares of Class B Common Stock;</w:t>
      </w:r>
    </w:p>
    <w:p>
      <w:pPr>
        <w:spacing w:after="0" w:line="92" w:lineRule="exact"/>
        <w:rPr>
          <w:rFonts w:ascii="Arial" w:cs="Arial" w:eastAsia="Arial" w:hAnsi="Arial"/>
          <w:sz w:val="14"/>
          <w:szCs w:val="14"/>
          <w:color w:val="auto"/>
        </w:rPr>
      </w:pPr>
    </w:p>
    <w:p>
      <w:pPr>
        <w:ind w:left="1920" w:right="719" w:hanging="400"/>
        <w:spacing w:after="0" w:line="259" w:lineRule="auto"/>
        <w:tabs>
          <w:tab w:leader="none" w:pos="1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approximately 18,149,989 warrants, each exercisable for one share of Class A Common Stock at a price of $11.50 per share;</w:t>
      </w:r>
    </w:p>
    <w:p>
      <w:pPr>
        <w:spacing w:after="0" w:line="68" w:lineRule="exact"/>
        <w:rPr>
          <w:rFonts w:ascii="Arial" w:cs="Arial" w:eastAsia="Arial" w:hAnsi="Arial"/>
          <w:sz w:val="14"/>
          <w:szCs w:val="14"/>
          <w:color w:val="auto"/>
        </w:rPr>
      </w:pPr>
    </w:p>
    <w:p>
      <w:pPr>
        <w:ind w:left="1920" w:right="459" w:hanging="400"/>
        <w:spacing w:after="0" w:line="259" w:lineRule="auto"/>
        <w:tabs>
          <w:tab w:leader="none" w:pos="1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approximately 521,693 warrants, each exercisable for one share of Class A Common Stock at a price of $2.5877 per share; and</w:t>
      </w:r>
    </w:p>
    <w:p>
      <w:pPr>
        <w:spacing w:after="0" w:line="68" w:lineRule="exact"/>
        <w:rPr>
          <w:rFonts w:ascii="Arial" w:cs="Arial" w:eastAsia="Arial" w:hAnsi="Arial"/>
          <w:sz w:val="14"/>
          <w:szCs w:val="14"/>
          <w:color w:val="auto"/>
        </w:rPr>
      </w:pPr>
    </w:p>
    <w:p>
      <w:pPr>
        <w:ind w:left="1920" w:hanging="400"/>
        <w:spacing w:after="0"/>
        <w:tabs>
          <w:tab w:leader="none" w:pos="1920" w:val="left"/>
        </w:tabs>
        <w:numPr>
          <w:ilvl w:val="0"/>
          <w:numId w:val="2"/>
        </w:numPr>
        <w:rPr>
          <w:rFonts w:ascii="Arial" w:cs="Arial" w:eastAsia="Arial" w:hAnsi="Arial"/>
          <w:sz w:val="12"/>
          <w:szCs w:val="12"/>
          <w:color w:val="auto"/>
        </w:rPr>
      </w:pPr>
      <w:r>
        <w:rPr>
          <w:rFonts w:ascii="Arial" w:cs="Arial" w:eastAsia="Arial" w:hAnsi="Arial"/>
          <w:sz w:val="12"/>
          <w:szCs w:val="12"/>
          <w:color w:val="auto"/>
        </w:rPr>
        <w:t>approximately 501,047 warrants, each exercisable for one share of Class B Common Stock at a price of $0.5473 per share.</w:t>
      </w:r>
    </w:p>
    <w:p>
      <w:pPr>
        <w:spacing w:after="0" w:line="187" w:lineRule="exact"/>
        <w:rPr>
          <w:sz w:val="20"/>
          <w:szCs w:val="20"/>
          <w:color w:val="auto"/>
        </w:rPr>
      </w:pPr>
    </w:p>
    <w:p>
      <w:pPr>
        <w:ind w:left="360" w:right="759" w:firstLine="745"/>
        <w:spacing w:after="0" w:line="259" w:lineRule="auto"/>
        <w:rPr>
          <w:rFonts w:ascii="Arial" w:cs="Arial" w:eastAsia="Arial" w:hAnsi="Arial"/>
          <w:sz w:val="14"/>
          <w:szCs w:val="14"/>
          <w:color w:val="0000EE"/>
        </w:rPr>
      </w:pPr>
      <w:hyperlink r:id="rId19">
        <w:r>
          <w:rPr>
            <w:rFonts w:ascii="Arial" w:cs="Arial" w:eastAsia="Arial" w:hAnsi="Arial"/>
            <w:sz w:val="14"/>
            <w:szCs w:val="14"/>
            <w:color w:val="auto"/>
          </w:rPr>
          <w:t>The material terms and conditions of the Business Combination Agreement are described in the section “</w:t>
        </w:r>
        <w:r>
          <w:rPr>
            <w:rFonts w:ascii="Arial" w:cs="Arial" w:eastAsia="Arial" w:hAnsi="Arial"/>
            <w:sz w:val="14"/>
            <w:szCs w:val="14"/>
            <w:u w:val="single" w:color="auto"/>
            <w:color w:val="0000EE"/>
          </w:rPr>
          <w:t>The Business Combination</w:t>
        </w:r>
      </w:hyperlink>
      <w:r>
        <w:rPr>
          <w:rFonts w:ascii="Arial" w:cs="Arial" w:eastAsia="Arial" w:hAnsi="Arial"/>
          <w:sz w:val="14"/>
          <w:szCs w:val="14"/>
          <w:color w:val="auto"/>
        </w:rPr>
        <w:t xml:space="preserve"> </w:t>
      </w:r>
      <w:hyperlink r:id="rId19">
        <w:r>
          <w:rPr>
            <w:rFonts w:ascii="Arial" w:cs="Arial" w:eastAsia="Arial" w:hAnsi="Arial"/>
            <w:sz w:val="14"/>
            <w:szCs w:val="14"/>
            <w:u w:val="single" w:color="auto"/>
            <w:color w:val="0000EE"/>
          </w:rPr>
          <w:t>Agreement</w:t>
        </w:r>
        <w:r>
          <w:rPr>
            <w:rFonts w:ascii="Arial" w:cs="Arial" w:eastAsia="Arial" w:hAnsi="Arial"/>
            <w:sz w:val="14"/>
            <w:szCs w:val="14"/>
            <w:color w:val="000000"/>
          </w:rPr>
          <w:t>” beginning on page 107 of the Proxy Statement, which are incorporated herein by reference.</w:t>
        </w:r>
      </w:hyperlink>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10 INFORMATION</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85" w:lineRule="exact"/>
        <w:rPr>
          <w:sz w:val="20"/>
          <w:szCs w:val="20"/>
          <w:color w:val="auto"/>
        </w:rPr>
      </w:pPr>
    </w:p>
    <w:p>
      <w:pPr>
        <w:ind w:left="360" w:right="379" w:firstLine="745"/>
        <w:spacing w:after="0" w:line="289" w:lineRule="auto"/>
        <w:rPr>
          <w:sz w:val="20"/>
          <w:szCs w:val="20"/>
          <w:color w:val="auto"/>
        </w:rPr>
      </w:pPr>
      <w:r>
        <w:rPr>
          <w:rFonts w:ascii="Arial" w:cs="Arial" w:eastAsia="Arial" w:hAnsi="Arial"/>
          <w:sz w:val="12"/>
          <w:szCs w:val="12"/>
          <w:color w:val="auto"/>
        </w:rPr>
        <w:t>The Company makes forward-looking statements in this Current Report on Form 8-K and in documents incorporated herein by reference. All statements, other than statements of present or historical fact included in or incorporated by reference in this Current Report on Form 8-K, regarding the Company’s future financial performance, as well as the Company’s strategy, future operations, financial position, estimated revenues, and losses, projected costs, prospects, plans and objectives of management are forward-looking statements. When used in this Current Report on Form 8-K,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w:t>
      </w:r>
    </w:p>
    <w:p>
      <w:pPr>
        <w:spacing w:after="0" w:line="125" w:lineRule="exact"/>
        <w:rPr>
          <w:sz w:val="20"/>
          <w:szCs w:val="20"/>
          <w:color w:val="auto"/>
        </w:rPr>
      </w:pPr>
    </w:p>
    <w:p>
      <w:pPr>
        <w:jc w:val="both"/>
        <w:ind w:left="360" w:right="759" w:firstLine="745"/>
        <w:spacing w:after="0" w:line="250" w:lineRule="auto"/>
        <w:rPr>
          <w:sz w:val="20"/>
          <w:szCs w:val="20"/>
          <w:color w:val="auto"/>
        </w:rPr>
      </w:pPr>
      <w:r>
        <w:rPr>
          <w:rFonts w:ascii="Arial" w:cs="Arial" w:eastAsia="Arial" w:hAnsi="Arial"/>
          <w:sz w:val="14"/>
          <w:szCs w:val="14"/>
          <w:color w:val="auto"/>
        </w:rPr>
        <w:t>These forward-looking statements are based on information available as of the date of this Current Report on Form 8-K, and current expectations, forecasts and assumptions, and involve a number of risks and uncertainties. Accordingly, forward-looking statements in this Current Report on Form 8-K and in any document incorporated herein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38" w:right="1440" w:bottom="1440" w:gutter="0" w:footer="0" w:header="0"/>
        </w:sectPr>
      </w:pPr>
    </w:p>
    <w:bookmarkStart w:id="4" w:name="page5"/>
    <w:bookmarkEnd w:id="4"/>
    <w:p>
      <w:pPr>
        <w:ind w:left="360" w:right="37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6" w:lineRule="exact"/>
        <w:rPr>
          <w:sz w:val="20"/>
          <w:szCs w:val="20"/>
          <w:color w:val="auto"/>
        </w:rPr>
      </w:pPr>
    </w:p>
    <w:p>
      <w:pPr>
        <w:ind w:left="360" w:right="579" w:firstLine="745"/>
        <w:spacing w:after="0" w:line="342" w:lineRule="auto"/>
        <w:rPr>
          <w:sz w:val="20"/>
          <w:szCs w:val="20"/>
          <w:color w:val="auto"/>
        </w:rPr>
      </w:pPr>
      <w:r>
        <w:rPr>
          <w:rFonts w:ascii="Arial" w:cs="Arial" w:eastAsia="Arial" w:hAnsi="Arial"/>
          <w:sz w:val="12"/>
          <w:szCs w:val="12"/>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23" w:lineRule="exact"/>
        <w:rPr>
          <w:sz w:val="20"/>
          <w:szCs w:val="20"/>
          <w:color w:val="auto"/>
        </w:rPr>
      </w:pPr>
    </w:p>
    <w:p>
      <w:pPr>
        <w:ind w:left="1100" w:right="539" w:hanging="331"/>
        <w:spacing w:after="0" w:line="342" w:lineRule="auto"/>
        <w:tabs>
          <w:tab w:leader="none" w:pos="11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Company’s ability to recognize the anticipated benefits of the Business Combination, which may be affected by, among other things, competition and the ability of the Company to grow and manage growth profitably following the Closing;</w:t>
      </w:r>
    </w:p>
    <w:p>
      <w:pPr>
        <w:spacing w:after="0" w:line="22" w:lineRule="exact"/>
        <w:rPr>
          <w:rFonts w:ascii="Arial" w:cs="Arial" w:eastAsia="Arial" w:hAnsi="Arial"/>
          <w:sz w:val="12"/>
          <w:szCs w:val="12"/>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costs related to the Business Combination;</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applicable laws or regulations;</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 of the COVID-19 pandemic on the Company’s business;</w:t>
      </w:r>
    </w:p>
    <w:p>
      <w:pPr>
        <w:spacing w:after="0" w:line="92" w:lineRule="exact"/>
        <w:rPr>
          <w:rFonts w:ascii="Arial" w:cs="Arial" w:eastAsia="Arial" w:hAnsi="Arial"/>
          <w:sz w:val="14"/>
          <w:szCs w:val="14"/>
          <w:color w:val="auto"/>
        </w:rPr>
      </w:pPr>
    </w:p>
    <w:p>
      <w:pPr>
        <w:ind w:left="1100" w:right="699" w:hanging="331"/>
        <w:spacing w:after="0" w:line="259" w:lineRule="auto"/>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financial and business performance following the Business Combination, including financial projections and business metrics;</w:t>
      </w:r>
    </w:p>
    <w:p>
      <w:pPr>
        <w:spacing w:after="0" w:line="68" w:lineRule="exact"/>
        <w:rPr>
          <w:rFonts w:ascii="Arial" w:cs="Arial" w:eastAsia="Arial" w:hAnsi="Arial"/>
          <w:sz w:val="14"/>
          <w:szCs w:val="14"/>
          <w:color w:val="auto"/>
        </w:rPr>
      </w:pPr>
    </w:p>
    <w:p>
      <w:pPr>
        <w:ind w:left="1100" w:right="679" w:hanging="331"/>
        <w:spacing w:after="0" w:line="259" w:lineRule="auto"/>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the Company’s strategy, future operations, financial position, estimated revenues and losses, projected costs, prospects and plans;</w:t>
      </w:r>
    </w:p>
    <w:p>
      <w:pPr>
        <w:spacing w:after="0" w:line="68"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implementation, market acceptance and success of the Company’s business model;</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ability to scale in a cost-effective manner;</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ability to raise capital;</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developments and projections relating to the Company’s competitors and industry;</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outcome of any known and unknown litigation and regulatory proceedings;</w:t>
      </w:r>
    </w:p>
    <w:p>
      <w:pPr>
        <w:spacing w:after="0" w:line="92" w:lineRule="exact"/>
        <w:rPr>
          <w:rFonts w:ascii="Arial" w:cs="Arial" w:eastAsia="Arial" w:hAnsi="Arial"/>
          <w:sz w:val="14"/>
          <w:szCs w:val="14"/>
          <w:color w:val="auto"/>
        </w:rPr>
      </w:pPr>
    </w:p>
    <w:p>
      <w:pPr>
        <w:ind w:left="1100" w:right="959" w:hanging="331"/>
        <w:spacing w:after="0" w:line="259" w:lineRule="auto"/>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Company’s relationship with VGA and certain of its affiliates (“</w:t>
      </w:r>
      <w:r>
        <w:rPr>
          <w:rFonts w:ascii="Arial" w:cs="Arial" w:eastAsia="Arial" w:hAnsi="Arial"/>
          <w:sz w:val="14"/>
          <w:szCs w:val="14"/>
          <w:u w:val="single" w:color="auto"/>
          <w:color w:val="auto"/>
        </w:rPr>
        <w:t>Volkswagen</w:t>
      </w:r>
      <w:r>
        <w:rPr>
          <w:rFonts w:ascii="Arial" w:cs="Arial" w:eastAsia="Arial" w:hAnsi="Arial"/>
          <w:sz w:val="14"/>
          <w:szCs w:val="14"/>
          <w:color w:val="auto"/>
        </w:rPr>
        <w:t>”), including the development of its joint venture arrangements with Volkswagen and as a potential customer.</w:t>
      </w:r>
    </w:p>
    <w:p>
      <w:pPr>
        <w:spacing w:after="0" w:line="68" w:lineRule="exact"/>
        <w:rPr>
          <w:rFonts w:ascii="Arial" w:cs="Arial" w:eastAsia="Arial" w:hAnsi="Arial"/>
          <w:sz w:val="14"/>
          <w:szCs w:val="14"/>
          <w:color w:val="auto"/>
        </w:rPr>
      </w:pPr>
    </w:p>
    <w:p>
      <w:pPr>
        <w:ind w:left="1100" w:right="719" w:hanging="331"/>
        <w:spacing w:after="0" w:line="259" w:lineRule="auto"/>
        <w:tabs>
          <w:tab w:leader="none" w:pos="11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risks and uncertainties set forth in the Proxy Statement in the section entitled “</w:t>
      </w:r>
      <w:hyperlink r:id="rId24">
        <w:r>
          <w:rPr>
            <w:rFonts w:ascii="Arial" w:cs="Arial" w:eastAsia="Arial" w:hAnsi="Arial"/>
            <w:sz w:val="14"/>
            <w:szCs w:val="14"/>
            <w:u w:val="single" w:color="auto"/>
            <w:color w:val="0000EE"/>
          </w:rPr>
          <w:t>Risk Factors</w:t>
        </w:r>
      </w:hyperlink>
      <w:r>
        <w:rPr>
          <w:rFonts w:ascii="Arial" w:cs="Arial" w:eastAsia="Arial" w:hAnsi="Arial"/>
          <w:sz w:val="14"/>
          <w:szCs w:val="14"/>
          <w:color w:val="auto"/>
        </w:rPr>
        <w:t>” beginning on page 41 of the Proxy Statement, which is incorporated herein by reference.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Business and Properties</w:t>
      </w:r>
    </w:p>
    <w:p>
      <w:pPr>
        <w:spacing w:after="0" w:line="85" w:lineRule="exact"/>
        <w:rPr>
          <w:sz w:val="20"/>
          <w:szCs w:val="20"/>
          <w:color w:val="auto"/>
        </w:rPr>
      </w:pPr>
    </w:p>
    <w:p>
      <w:pPr>
        <w:jc w:val="both"/>
        <w:ind w:left="360" w:right="419" w:firstLine="745"/>
        <w:spacing w:after="0" w:line="250" w:lineRule="auto"/>
        <w:rPr>
          <w:rFonts w:ascii="Arial" w:cs="Arial" w:eastAsia="Arial" w:hAnsi="Arial"/>
          <w:sz w:val="14"/>
          <w:szCs w:val="14"/>
          <w:color w:val="auto"/>
        </w:rPr>
      </w:pPr>
      <w:r>
        <w:rPr>
          <w:rFonts w:ascii="Arial" w:cs="Arial" w:eastAsia="Arial" w:hAnsi="Arial"/>
          <w:sz w:val="14"/>
          <w:szCs w:val="14"/>
          <w:color w:val="auto"/>
        </w:rPr>
        <w:t>The business and properties of KCAC and Legacy QuantumScape prior to the Business Combination are described in the Proxy Statement in the sections entitled “</w:t>
      </w:r>
      <w:hyperlink r:id="rId25">
        <w:r>
          <w:rPr>
            <w:rFonts w:ascii="Arial" w:cs="Arial" w:eastAsia="Arial" w:hAnsi="Arial"/>
            <w:sz w:val="14"/>
            <w:szCs w:val="14"/>
            <w:u w:val="single" w:color="auto"/>
            <w:color w:val="0000EE"/>
          </w:rPr>
          <w:t>Information About Kensington</w:t>
        </w:r>
      </w:hyperlink>
      <w:r>
        <w:rPr>
          <w:rFonts w:ascii="Arial" w:cs="Arial" w:eastAsia="Arial" w:hAnsi="Arial"/>
          <w:sz w:val="14"/>
          <w:szCs w:val="14"/>
          <w:color w:val="auto"/>
        </w:rPr>
        <w:t>” beginning on page 197 and “</w:t>
      </w:r>
      <w:hyperlink r:id="rId26">
        <w:r>
          <w:rPr>
            <w:rFonts w:ascii="Arial" w:cs="Arial" w:eastAsia="Arial" w:hAnsi="Arial"/>
            <w:sz w:val="14"/>
            <w:szCs w:val="14"/>
            <w:u w:val="single" w:color="auto"/>
            <w:color w:val="0000EE"/>
          </w:rPr>
          <w:t>Information About QuantumScape</w:t>
        </w:r>
      </w:hyperlink>
      <w:r>
        <w:rPr>
          <w:rFonts w:ascii="Arial" w:cs="Arial" w:eastAsia="Arial" w:hAnsi="Arial"/>
          <w:sz w:val="14"/>
          <w:szCs w:val="14"/>
          <w:color w:val="auto"/>
        </w:rPr>
        <w:t>” beginning on page 156 of the Proxy Statement, which are incorporated herein by reference.</w:t>
      </w:r>
    </w:p>
    <w:p>
      <w:pPr>
        <w:spacing w:after="0" w:line="146" w:lineRule="exact"/>
        <w:rPr>
          <w:sz w:val="20"/>
          <w:szCs w:val="20"/>
          <w:color w:val="auto"/>
        </w:rPr>
      </w:pPr>
    </w:p>
    <w:p>
      <w:pPr>
        <w:ind w:left="360" w:right="519" w:firstLine="745"/>
        <w:spacing w:after="0" w:line="292" w:lineRule="auto"/>
        <w:rPr>
          <w:sz w:val="20"/>
          <w:szCs w:val="20"/>
          <w:color w:val="auto"/>
        </w:rPr>
      </w:pPr>
      <w:r>
        <w:rPr>
          <w:rFonts w:ascii="Arial" w:cs="Arial" w:eastAsia="Arial" w:hAnsi="Arial"/>
          <w:sz w:val="12"/>
          <w:szCs w:val="12"/>
          <w:color w:val="auto"/>
        </w:rPr>
        <w:t>The Company’s investor relations website is located at https://ir.quantumscape.com. The Company uses its investor relations website to post important information for investors, including news releases, analyst presentations, and supplemental financial information, and as a means of disclosing material non-public information and for complying with its disclosure obligations under Regulation FD. Accordingly, investors should monitor the Company’s investor relations website, in addition to following press releases, SEC filings and public conference calls and webcasts. The Company also makes available, free of charge, on its investor relations website under “Financials—SEC Filings,” its Annual Reports on Form 10-K, Quarterly Reports on Form 10-Q, Current Reports on Form 8-K and amendments to these reports as soon as reasonably practicable after electronically filing or furnishing those reports to the SEC.</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Risk Factors</w:t>
      </w:r>
    </w:p>
    <w:p>
      <w:pPr>
        <w:spacing w:after="0" w:line="85" w:lineRule="exact"/>
        <w:rPr>
          <w:sz w:val="20"/>
          <w:szCs w:val="20"/>
          <w:color w:val="auto"/>
        </w:rPr>
      </w:pPr>
    </w:p>
    <w:p>
      <w:pPr>
        <w:ind w:left="360" w:right="419" w:firstLine="745"/>
        <w:spacing w:after="0" w:line="259" w:lineRule="auto"/>
        <w:rPr>
          <w:rFonts w:ascii="Arial" w:cs="Arial" w:eastAsia="Arial" w:hAnsi="Arial"/>
          <w:sz w:val="14"/>
          <w:szCs w:val="14"/>
          <w:color w:val="auto"/>
        </w:rPr>
      </w:pPr>
      <w:r>
        <w:rPr>
          <w:rFonts w:ascii="Arial" w:cs="Arial" w:eastAsia="Arial" w:hAnsi="Arial"/>
          <w:sz w:val="14"/>
          <w:szCs w:val="14"/>
          <w:color w:val="auto"/>
        </w:rPr>
        <w:t>The risks associated with the Company’s business are described in the Proxy Statement in the section entitled “</w:t>
      </w:r>
      <w:hyperlink r:id="rId24">
        <w:r>
          <w:rPr>
            <w:rFonts w:ascii="Arial" w:cs="Arial" w:eastAsia="Arial" w:hAnsi="Arial"/>
            <w:sz w:val="14"/>
            <w:szCs w:val="14"/>
            <w:u w:val="single" w:color="auto"/>
            <w:color w:val="0000EE"/>
          </w:rPr>
          <w:t>Risk Factors</w:t>
        </w:r>
      </w:hyperlink>
      <w:r>
        <w:rPr>
          <w:rFonts w:ascii="Arial" w:cs="Arial" w:eastAsia="Arial" w:hAnsi="Arial"/>
          <w:sz w:val="14"/>
          <w:szCs w:val="14"/>
          <w:color w:val="auto"/>
        </w:rPr>
        <w:t>” beginning on page 41 of the Proxy Statement, which is incorporated herein by reference.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Selected Historical Financial Information</w:t>
      </w:r>
    </w:p>
    <w:p>
      <w:pPr>
        <w:spacing w:after="0" w:line="85" w:lineRule="exact"/>
        <w:rPr>
          <w:sz w:val="20"/>
          <w:szCs w:val="20"/>
          <w:color w:val="auto"/>
        </w:rPr>
      </w:pPr>
    </w:p>
    <w:p>
      <w:pPr>
        <w:ind w:left="360" w:right="519" w:firstLine="745"/>
        <w:spacing w:after="0" w:line="302" w:lineRule="auto"/>
        <w:rPr>
          <w:rFonts w:ascii="Arial" w:cs="Arial" w:eastAsia="Arial" w:hAnsi="Arial"/>
          <w:sz w:val="12"/>
          <w:szCs w:val="12"/>
          <w:color w:val="auto"/>
        </w:rPr>
      </w:pPr>
      <w:r>
        <w:rPr>
          <w:rFonts w:ascii="Arial" w:cs="Arial" w:eastAsia="Arial" w:hAnsi="Arial"/>
          <w:sz w:val="12"/>
          <w:szCs w:val="12"/>
          <w:color w:val="auto"/>
        </w:rPr>
        <w:t>The selected historical consolidated financial information and other data for the six months ended June 30, 2020 and 2019 and the years ended December 31, 2019 and 2018, and the selected consolidated balance sheet as of June 30, 2020 December 31, 2019 and 2018 for Legacy QuantumScape are included in the Proxy Statement in the section entitled “</w:t>
      </w:r>
      <w:hyperlink r:id="rId27">
        <w:r>
          <w:rPr>
            <w:rFonts w:ascii="Arial" w:cs="Arial" w:eastAsia="Arial" w:hAnsi="Arial"/>
            <w:sz w:val="12"/>
            <w:szCs w:val="12"/>
            <w:u w:val="single" w:color="auto"/>
            <w:color w:val="0000EE"/>
          </w:rPr>
          <w:t>Selected Historical Consolidated Financial Information of QuantumScape</w:t>
        </w:r>
      </w:hyperlink>
      <w:r>
        <w:rPr>
          <w:rFonts w:ascii="Arial" w:cs="Arial" w:eastAsia="Arial" w:hAnsi="Arial"/>
          <w:sz w:val="12"/>
          <w:szCs w:val="12"/>
          <w:color w:val="auto"/>
        </w:rPr>
        <w:t>” beginning on page 34 of the Proxy Statement, which is incorporated herein by reference.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Unaudited Consolidated Financial Statements</w:t>
      </w:r>
    </w:p>
    <w:p>
      <w:pPr>
        <w:spacing w:after="0" w:line="85" w:lineRule="exact"/>
        <w:rPr>
          <w:sz w:val="20"/>
          <w:szCs w:val="20"/>
          <w:color w:val="auto"/>
        </w:rPr>
      </w:pPr>
    </w:p>
    <w:p>
      <w:pPr>
        <w:ind w:left="360" w:right="479" w:firstLine="745"/>
        <w:spacing w:after="0" w:line="250" w:lineRule="auto"/>
        <w:rPr>
          <w:sz w:val="20"/>
          <w:szCs w:val="20"/>
          <w:color w:val="auto"/>
        </w:rPr>
      </w:pPr>
      <w:r>
        <w:rPr>
          <w:rFonts w:ascii="Arial" w:cs="Arial" w:eastAsia="Arial" w:hAnsi="Arial"/>
          <w:sz w:val="14"/>
          <w:szCs w:val="14"/>
          <w:color w:val="auto"/>
        </w:rPr>
        <w:t>The unaudited consolidated financial statements as of and for the nine months ended September 30, 2020 of Legacy QuantumScape set forth in Exhibit 99.1 hereto have been prepared in accordance with U.S. generally accepted accounting principles and pursuant to the regulations of the SEC. The unaudited financial information reflects, in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5" w:name="page6"/>
    <w:bookmarkEnd w:id="5"/>
    <w:p>
      <w:pPr>
        <w:ind w:left="360" w:right="51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opinion of management, all adjustments, consisting of normal recurring adjustments, considered necessary for a fair statement of Legacy QuantumScape’s financial position, results of operations and cash flows for the periods indicated. The results reported for the interim period presented are not necessarily indicative of results that may be expected for the full year.</w:t>
      </w:r>
    </w:p>
    <w:p>
      <w:pPr>
        <w:spacing w:after="0" w:line="146" w:lineRule="exact"/>
        <w:rPr>
          <w:sz w:val="20"/>
          <w:szCs w:val="20"/>
          <w:color w:val="auto"/>
        </w:rPr>
      </w:pPr>
    </w:p>
    <w:p>
      <w:pPr>
        <w:ind w:left="360" w:right="399" w:firstLine="745"/>
        <w:spacing w:after="0" w:line="246" w:lineRule="auto"/>
        <w:rPr>
          <w:rFonts w:ascii="Arial" w:cs="Arial" w:eastAsia="Arial" w:hAnsi="Arial"/>
          <w:sz w:val="14"/>
          <w:szCs w:val="14"/>
          <w:color w:val="auto"/>
        </w:rPr>
      </w:pPr>
      <w:r>
        <w:rPr>
          <w:rFonts w:ascii="Arial" w:cs="Arial" w:eastAsia="Arial" w:hAnsi="Arial"/>
          <w:sz w:val="14"/>
          <w:szCs w:val="14"/>
          <w:color w:val="auto"/>
        </w:rPr>
        <w:t>These unaudited consolidated financial statements should be read in conjunction with the historical audited consolidated financial statements of Legacy QuantumScape as of and for the years ended December 31, 2019 and 2018 and the related notes included in the Proxy Statement, the section entitled “</w:t>
      </w:r>
      <w:hyperlink r:id="rId29">
        <w:r>
          <w:rPr>
            <w:rFonts w:ascii="Arial" w:cs="Arial" w:eastAsia="Arial" w:hAnsi="Arial"/>
            <w:sz w:val="14"/>
            <w:szCs w:val="14"/>
            <w:u w:val="single" w:color="auto"/>
            <w:color w:val="0000EE"/>
          </w:rPr>
          <w:t>QuantumScape’s Management’s Discussion and Analysis of Financial Condition and Results of Operations</w:t>
        </w:r>
      </w:hyperlink>
      <w:r>
        <w:rPr>
          <w:rFonts w:ascii="Arial" w:cs="Arial" w:eastAsia="Arial" w:hAnsi="Arial"/>
          <w:sz w:val="14"/>
          <w:szCs w:val="14"/>
          <w:color w:val="auto"/>
        </w:rPr>
        <w:t>” beginning on page 179 of the Proxy Statement and the section entitled “Management’s Discussion and Analysis of Financial Condition and Results of Operations” included herein.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Unaudited Pro Forma Condensed Consolidated Combined Financial Information</w:t>
      </w:r>
    </w:p>
    <w:p>
      <w:pPr>
        <w:spacing w:after="0" w:line="85" w:lineRule="exact"/>
        <w:rPr>
          <w:sz w:val="20"/>
          <w:szCs w:val="20"/>
          <w:color w:val="auto"/>
        </w:rPr>
      </w:pPr>
    </w:p>
    <w:p>
      <w:pPr>
        <w:ind w:left="360" w:right="379" w:firstLine="745"/>
        <w:spacing w:after="0" w:line="312" w:lineRule="auto"/>
        <w:rPr>
          <w:rFonts w:ascii="Arial" w:cs="Arial" w:eastAsia="Arial" w:hAnsi="Arial"/>
          <w:sz w:val="12"/>
          <w:szCs w:val="12"/>
          <w:color w:val="0000EE"/>
        </w:rPr>
      </w:pPr>
      <w:r>
        <w:rPr>
          <w:rFonts w:ascii="Arial" w:cs="Arial" w:eastAsia="Arial" w:hAnsi="Arial"/>
          <w:sz w:val="12"/>
          <w:szCs w:val="12"/>
          <w:color w:val="auto"/>
        </w:rPr>
        <w:t xml:space="preserve">The unaudited pro forma condensed combined financial information of the Company as of June 30, 2020 for the six months ended June </w:t>
      </w:r>
      <w:hyperlink r:id="rId30">
        <w:r>
          <w:rPr>
            <w:rFonts w:ascii="Arial" w:cs="Arial" w:eastAsia="Arial" w:hAnsi="Arial"/>
            <w:sz w:val="12"/>
            <w:szCs w:val="12"/>
            <w:color w:val="auto"/>
          </w:rPr>
          <w:t>30, 2020 and, the year ended December 31, 2019 is included in the Proxy Statement in the section entitled “</w:t>
        </w:r>
        <w:r>
          <w:rPr>
            <w:rFonts w:ascii="Arial" w:cs="Arial" w:eastAsia="Arial" w:hAnsi="Arial"/>
            <w:sz w:val="12"/>
            <w:szCs w:val="12"/>
            <w:u w:val="single" w:color="auto"/>
            <w:color w:val="0000EE"/>
          </w:rPr>
          <w:t>Unaudited Pro Forma Condensed Combined</w:t>
        </w:r>
      </w:hyperlink>
      <w:r>
        <w:rPr>
          <w:rFonts w:ascii="Arial" w:cs="Arial" w:eastAsia="Arial" w:hAnsi="Arial"/>
          <w:sz w:val="12"/>
          <w:szCs w:val="12"/>
          <w:color w:val="auto"/>
        </w:rPr>
        <w:t xml:space="preserve"> </w:t>
      </w:r>
      <w:hyperlink r:id="rId30">
        <w:r>
          <w:rPr>
            <w:rFonts w:ascii="Arial" w:cs="Arial" w:eastAsia="Arial" w:hAnsi="Arial"/>
            <w:sz w:val="12"/>
            <w:szCs w:val="12"/>
            <w:u w:val="single" w:color="auto"/>
            <w:color w:val="0000EE"/>
          </w:rPr>
          <w:t>Financial Information</w:t>
        </w:r>
        <w:r>
          <w:rPr>
            <w:rFonts w:ascii="Arial" w:cs="Arial" w:eastAsia="Arial" w:hAnsi="Arial"/>
            <w:sz w:val="12"/>
            <w:szCs w:val="12"/>
            <w:color w:val="000000"/>
          </w:rPr>
          <w:t>” beginning on page 73 of the Proxy Statement, which is incorporated herein by reference.</w:t>
        </w:r>
      </w:hyperlink>
    </w:p>
    <w:p>
      <w:pPr>
        <w:spacing w:after="0" w:line="111" w:lineRule="exact"/>
        <w:rPr>
          <w:sz w:val="20"/>
          <w:szCs w:val="20"/>
          <w:color w:val="auto"/>
        </w:rPr>
      </w:pPr>
    </w:p>
    <w:p>
      <w:pPr>
        <w:ind w:left="360" w:right="519" w:firstLine="745"/>
        <w:spacing w:after="0" w:line="259" w:lineRule="auto"/>
        <w:rPr>
          <w:sz w:val="20"/>
          <w:szCs w:val="20"/>
          <w:color w:val="auto"/>
        </w:rPr>
      </w:pPr>
      <w:r>
        <w:rPr>
          <w:rFonts w:ascii="Arial" w:cs="Arial" w:eastAsia="Arial" w:hAnsi="Arial"/>
          <w:sz w:val="14"/>
          <w:szCs w:val="14"/>
          <w:color w:val="auto"/>
        </w:rPr>
        <w:t>The unaudited pro forma condensed combined financial information of the Company as of and for the nine months ended September 30, 2020 is set forth in Exhibit 99.2 hereto and is incorporated herein by reference.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85" w:lineRule="exact"/>
        <w:rPr>
          <w:sz w:val="20"/>
          <w:szCs w:val="20"/>
          <w:color w:val="auto"/>
        </w:rPr>
      </w:pPr>
    </w:p>
    <w:p>
      <w:pPr>
        <w:ind w:left="360" w:right="539" w:firstLine="745"/>
        <w:spacing w:after="0" w:line="312" w:lineRule="auto"/>
        <w:rPr>
          <w:rFonts w:ascii="Arial" w:cs="Arial" w:eastAsia="Arial" w:hAnsi="Arial"/>
          <w:sz w:val="12"/>
          <w:szCs w:val="12"/>
          <w:color w:val="0000EE"/>
        </w:rPr>
      </w:pPr>
      <w:r>
        <w:rPr>
          <w:rFonts w:ascii="Arial" w:cs="Arial" w:eastAsia="Arial" w:hAnsi="Arial"/>
          <w:sz w:val="12"/>
          <w:szCs w:val="12"/>
          <w:color w:val="auto"/>
        </w:rPr>
        <w:t xml:space="preserve">Management’s discussion and analysis of the financial condition and results of operations of Legacy QuantumScape for prior to the </w:t>
      </w:r>
      <w:hyperlink r:id="rId29">
        <w:r>
          <w:rPr>
            <w:rFonts w:ascii="Arial" w:cs="Arial" w:eastAsia="Arial" w:hAnsi="Arial"/>
            <w:sz w:val="12"/>
            <w:szCs w:val="12"/>
            <w:color w:val="auto"/>
          </w:rPr>
          <w:t>Business Combination is included in the Proxy Statement in the section entitled “</w:t>
        </w:r>
        <w:r>
          <w:rPr>
            <w:rFonts w:ascii="Arial" w:cs="Arial" w:eastAsia="Arial" w:hAnsi="Arial"/>
            <w:sz w:val="12"/>
            <w:szCs w:val="12"/>
            <w:u w:val="single" w:color="auto"/>
            <w:color w:val="0000EE"/>
          </w:rPr>
          <w:t>QuantumScape Management’s Discussion and Analysis of Financial</w:t>
        </w:r>
      </w:hyperlink>
      <w:r>
        <w:rPr>
          <w:rFonts w:ascii="Arial" w:cs="Arial" w:eastAsia="Arial" w:hAnsi="Arial"/>
          <w:sz w:val="12"/>
          <w:szCs w:val="12"/>
          <w:color w:val="auto"/>
        </w:rPr>
        <w:t xml:space="preserve"> </w:t>
      </w:r>
      <w:hyperlink r:id="rId29">
        <w:r>
          <w:rPr>
            <w:rFonts w:ascii="Arial" w:cs="Arial" w:eastAsia="Arial" w:hAnsi="Arial"/>
            <w:sz w:val="12"/>
            <w:szCs w:val="12"/>
            <w:u w:val="single" w:color="auto"/>
            <w:color w:val="0000EE"/>
          </w:rPr>
          <w:t>Condition and Results of Operations</w:t>
        </w:r>
        <w:r>
          <w:rPr>
            <w:rFonts w:ascii="Arial" w:cs="Arial" w:eastAsia="Arial" w:hAnsi="Arial"/>
            <w:sz w:val="12"/>
            <w:szCs w:val="12"/>
            <w:color w:val="000000"/>
          </w:rPr>
          <w:t>” beginning on page 179 of the Proxy Statement, which is incorporated herein by reference.</w:t>
        </w:r>
      </w:hyperlink>
    </w:p>
    <w:p>
      <w:pPr>
        <w:spacing w:after="0" w:line="111" w:lineRule="exact"/>
        <w:rPr>
          <w:sz w:val="20"/>
          <w:szCs w:val="20"/>
          <w:color w:val="auto"/>
        </w:rPr>
      </w:pPr>
    </w:p>
    <w:p>
      <w:pPr>
        <w:ind w:left="360" w:right="439" w:firstLine="745"/>
        <w:spacing w:after="0" w:line="259" w:lineRule="auto"/>
        <w:rPr>
          <w:sz w:val="20"/>
          <w:szCs w:val="20"/>
          <w:color w:val="auto"/>
        </w:rPr>
      </w:pPr>
      <w:r>
        <w:rPr>
          <w:rFonts w:ascii="Arial" w:cs="Arial" w:eastAsia="Arial" w:hAnsi="Arial"/>
          <w:sz w:val="14"/>
          <w:szCs w:val="14"/>
          <w:color w:val="auto"/>
        </w:rPr>
        <w:t>Management’s discussion and analysis of the financial condition and results of operations of Legacy QuantumScape as of and for the nine months ended September 30, 2020 is set forth below.</w:t>
      </w:r>
    </w:p>
    <w:p>
      <w:pPr>
        <w:spacing w:after="0" w:line="140" w:lineRule="exact"/>
        <w:rPr>
          <w:sz w:val="20"/>
          <w:szCs w:val="20"/>
          <w:color w:val="auto"/>
        </w:rPr>
      </w:pPr>
    </w:p>
    <w:p>
      <w:pPr>
        <w:ind w:left="360" w:right="379" w:firstLine="745"/>
        <w:spacing w:after="0" w:line="289" w:lineRule="auto"/>
        <w:rPr>
          <w:rFonts w:ascii="Arial" w:cs="Arial" w:eastAsia="Arial" w:hAnsi="Arial"/>
          <w:sz w:val="12"/>
          <w:szCs w:val="12"/>
          <w:color w:val="auto"/>
        </w:rPr>
      </w:pPr>
      <w:r>
        <w:rPr>
          <w:rFonts w:ascii="Arial" w:cs="Arial" w:eastAsia="Arial" w:hAnsi="Arial"/>
          <w:sz w:val="12"/>
          <w:szCs w:val="12"/>
          <w:color w:val="auto"/>
        </w:rPr>
        <w:t>The following discussion and analysis provides information that the Company’s management believes is relevant to an assessment and understanding of the Company’s consolidated results of operations and financial condition. The discussion should be read together with the historical consolidated financial statements and related notes and unaudited pro forma condensed financial information that are included elsewhere or incorporated by reference in this Current Report on Form 8-K. This discussion may contain forward-looking statements based upon current expectations that involve risks and uncertainties. The Company’s actual results may differ materially from those anticipated in these forward-looking statements as a result of various factors, including those set forth in the Proxy Statement in the section entitled “</w:t>
      </w:r>
      <w:hyperlink r:id="rId24">
        <w:r>
          <w:rPr>
            <w:rFonts w:ascii="Arial" w:cs="Arial" w:eastAsia="Arial" w:hAnsi="Arial"/>
            <w:sz w:val="12"/>
            <w:szCs w:val="12"/>
            <w:u w:val="single" w:color="auto"/>
            <w:color w:val="0000EE"/>
          </w:rPr>
          <w:t>Risk Factors</w:t>
        </w:r>
      </w:hyperlink>
      <w:r>
        <w:rPr>
          <w:rFonts w:ascii="Arial" w:cs="Arial" w:eastAsia="Arial" w:hAnsi="Arial"/>
          <w:sz w:val="12"/>
          <w:szCs w:val="12"/>
          <w:color w:val="auto"/>
        </w:rPr>
        <w:t>” beginning on page 41 of the Proxy Statement or in other parts of this Current Report on Form 8-K. Unless the context otherwise requires, references in this “Management’s Discussion and Analysis of Financial Condition and Results of Operations” to “Legacy QuantumScape”, “the Company”, “we”, “us” and “our” refer to the business and operations of Legacy QuantumScape and its consolidated subsidiaries prior to the Business Combination and to QuantumScape, Corparation and its consolidated subsidiaries, following the Closing.</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Overview</w:t>
      </w:r>
    </w:p>
    <w:p>
      <w:pPr>
        <w:spacing w:after="0" w:line="85" w:lineRule="exact"/>
        <w:rPr>
          <w:sz w:val="20"/>
          <w:szCs w:val="20"/>
          <w:color w:val="auto"/>
        </w:rPr>
      </w:pPr>
    </w:p>
    <w:p>
      <w:pPr>
        <w:ind w:left="360" w:right="499" w:firstLine="745"/>
        <w:spacing w:after="0" w:line="247" w:lineRule="auto"/>
        <w:rPr>
          <w:sz w:val="20"/>
          <w:szCs w:val="20"/>
          <w:color w:val="auto"/>
        </w:rPr>
      </w:pPr>
      <w:r>
        <w:rPr>
          <w:rFonts w:ascii="Arial" w:cs="Arial" w:eastAsia="Arial" w:hAnsi="Arial"/>
          <w:sz w:val="14"/>
          <w:szCs w:val="14"/>
          <w:color w:val="auto"/>
        </w:rPr>
        <w:t>Legacy QuantumScape is developing next generation battery technology for electric vehicles (“</w:t>
      </w:r>
      <w:r>
        <w:rPr>
          <w:rFonts w:ascii="Arial" w:cs="Arial" w:eastAsia="Arial" w:hAnsi="Arial"/>
          <w:sz w:val="14"/>
          <w:szCs w:val="14"/>
          <w:u w:val="single" w:color="auto"/>
          <w:color w:val="auto"/>
        </w:rPr>
        <w:t>EVs</w:t>
      </w:r>
      <w:r>
        <w:rPr>
          <w:rFonts w:ascii="Arial" w:cs="Arial" w:eastAsia="Arial" w:hAnsi="Arial"/>
          <w:sz w:val="14"/>
          <w:szCs w:val="14"/>
          <w:color w:val="auto"/>
        </w:rPr>
        <w:t>”) and other applications. It believes that its technology will enable a new category of battery that meets the requirements for broader market adoption. The lithium-metal solid-state battery technology that Legacy QuantumScape is developing is being designed to offer greater energy density, longer life, faster charging, and greater safety when compared to today’s conventional lithium-ion batteries.</w:t>
      </w:r>
    </w:p>
    <w:p>
      <w:pPr>
        <w:spacing w:after="0" w:line="149" w:lineRule="exact"/>
        <w:rPr>
          <w:sz w:val="20"/>
          <w:szCs w:val="20"/>
          <w:color w:val="auto"/>
        </w:rPr>
      </w:pPr>
    </w:p>
    <w:p>
      <w:pPr>
        <w:ind w:left="360" w:right="719" w:firstLine="745"/>
        <w:spacing w:after="0" w:line="250" w:lineRule="auto"/>
        <w:rPr>
          <w:sz w:val="20"/>
          <w:szCs w:val="20"/>
          <w:color w:val="auto"/>
        </w:rPr>
      </w:pPr>
      <w:r>
        <w:rPr>
          <w:rFonts w:ascii="Arial" w:cs="Arial" w:eastAsia="Arial" w:hAnsi="Arial"/>
          <w:sz w:val="14"/>
          <w:szCs w:val="14"/>
          <w:color w:val="auto"/>
        </w:rPr>
        <w:t>Legacy QuantumScape is a development stage company with no revenue to date that has incurred a net loss of approximately $405.2 million for the nine months ended September 30, 2020 and an accumulated deficit of approximately $701.1 million from its inception through September 30, 2020.</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The Business Combination</w:t>
      </w:r>
    </w:p>
    <w:p>
      <w:pPr>
        <w:spacing w:after="0" w:line="85" w:lineRule="exact"/>
        <w:rPr>
          <w:sz w:val="20"/>
          <w:szCs w:val="20"/>
          <w:color w:val="auto"/>
        </w:rPr>
      </w:pPr>
    </w:p>
    <w:p>
      <w:pPr>
        <w:ind w:left="360" w:right="539" w:firstLine="745"/>
        <w:spacing w:after="0" w:line="259" w:lineRule="auto"/>
        <w:rPr>
          <w:sz w:val="20"/>
          <w:szCs w:val="20"/>
          <w:color w:val="auto"/>
        </w:rPr>
      </w:pPr>
      <w:r>
        <w:rPr>
          <w:rFonts w:ascii="Arial" w:cs="Arial" w:eastAsia="Arial" w:hAnsi="Arial"/>
          <w:sz w:val="14"/>
          <w:szCs w:val="14"/>
          <w:color w:val="auto"/>
        </w:rPr>
        <w:t>The disclosure set forth in the “Introductory Note” above with respect to the completion of the Business Combination is incorporated by reference into this Item 2.01.</w:t>
      </w:r>
    </w:p>
    <w:p>
      <w:pPr>
        <w:spacing w:after="0" w:line="140" w:lineRule="exact"/>
        <w:rPr>
          <w:sz w:val="20"/>
          <w:szCs w:val="20"/>
          <w:color w:val="auto"/>
        </w:rPr>
      </w:pPr>
    </w:p>
    <w:p>
      <w:pPr>
        <w:ind w:left="360" w:right="379" w:firstLine="745"/>
        <w:spacing w:after="0" w:line="250" w:lineRule="auto"/>
        <w:rPr>
          <w:sz w:val="20"/>
          <w:szCs w:val="20"/>
          <w:color w:val="auto"/>
        </w:rPr>
      </w:pPr>
      <w:r>
        <w:rPr>
          <w:rFonts w:ascii="Arial" w:cs="Arial" w:eastAsia="Arial" w:hAnsi="Arial"/>
          <w:sz w:val="14"/>
          <w:szCs w:val="14"/>
          <w:color w:val="auto"/>
        </w:rPr>
        <w:t>The Business Combination is accounted for as a reverse recapitalization. Legacy QuantumScape is deemed the accounting predecessor and the combined entity will be the successor SEC registrant, meaning that Legacy QuantumScape’s financial statements for previous periods will be disclosed in the registrant’s future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6" w:name="page7"/>
    <w:bookmarkEnd w:id="6"/>
    <w:p>
      <w:pPr>
        <w:ind w:left="360" w:right="379"/>
        <w:spacing w:after="0" w:line="28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periodic reports filed with the SEC. Under this method of accounting, KCAC is treated as the acquired company for financial statement reporting purposes. The most significant change in the successor’s future reported financial position and results are expected to be an estimated $957 million net increase in cash and cash equivalents (as compared to Legacy QuantumScape’s consolidated balance sheet at September 30, 2020) and an estimated $1.7 billion net increase in total stockholders’ equity (as compared to Legacy QuantumScape’s consolidated balance sheet at September 30, 2020) – both of which include, $230 million cash in KCAC’s trust account, $500 million in gross proceeds from the issuance of PIPE, Shares and $288 million in gross proceeds from the sale of Legacy QuantumScape Series F Preferred Stock on November 25, 2020 and the sale of the Class A Common Stock to VGA on December 1, 2020. Total transaction costs are estimated at approximately $52 million. See the section entitled “Unaudited Pro Forma Condensed Combined Financial Information” in this Current Report on Form 8-K. The foregoing description of the Business Combination does not take into account the equity investment by VGA of $100 million that is subject to completion of a certain technical milestone by the end of the first quarter of 2021.</w:t>
      </w:r>
    </w:p>
    <w:p>
      <w:pPr>
        <w:spacing w:after="0" w:line="291" w:lineRule="exact"/>
        <w:rPr>
          <w:sz w:val="20"/>
          <w:szCs w:val="20"/>
          <w:color w:val="auto"/>
        </w:rPr>
      </w:pPr>
    </w:p>
    <w:p>
      <w:pPr>
        <w:ind w:left="360" w:right="539" w:firstLine="745"/>
        <w:spacing w:after="0" w:line="297" w:lineRule="auto"/>
        <w:rPr>
          <w:sz w:val="20"/>
          <w:szCs w:val="20"/>
          <w:color w:val="auto"/>
        </w:rPr>
      </w:pPr>
      <w:r>
        <w:rPr>
          <w:rFonts w:ascii="Arial" w:cs="Arial" w:eastAsia="Arial" w:hAnsi="Arial"/>
          <w:sz w:val="12"/>
          <w:szCs w:val="12"/>
          <w:color w:val="auto"/>
        </w:rPr>
        <w:t>As a result of the Business Combination Legacy, QuantumScape will become the successor to an SEC-registered and NYSE-listed company, which will require Legacy QuantumScape to hire additional personnel and implement procedures and processes to address public company regulatory requirements and customary practices. Legacy QuantumScape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Litigation Relating to the Business Combination</w:t>
      </w:r>
    </w:p>
    <w:p>
      <w:pPr>
        <w:spacing w:after="0" w:line="85" w:lineRule="exact"/>
        <w:rPr>
          <w:sz w:val="20"/>
          <w:szCs w:val="20"/>
          <w:color w:val="auto"/>
        </w:rPr>
      </w:pPr>
    </w:p>
    <w:p>
      <w:pPr>
        <w:ind w:left="360" w:right="499" w:firstLine="745"/>
        <w:spacing w:after="0" w:line="297" w:lineRule="auto"/>
        <w:rPr>
          <w:sz w:val="20"/>
          <w:szCs w:val="20"/>
          <w:color w:val="auto"/>
        </w:rPr>
      </w:pPr>
      <w:r>
        <w:rPr>
          <w:rFonts w:ascii="Arial" w:cs="Arial" w:eastAsia="Arial" w:hAnsi="Arial"/>
          <w:sz w:val="12"/>
          <w:szCs w:val="12"/>
          <w:color w:val="auto"/>
        </w:rPr>
        <w:t>On October 2, 2020, a putative class action lawsuit was filed in the Supreme Court of the State of New York by a purported KCAC stockholder in connection with the Business Combination: Sanchez v. Kensington Capital Acquisition Corp., et al., Index No. 654941/2020 (Sup. Ct. N.Y. Cnty.). The complaint names KCAC and certain current and former members of KCAC’s board of directors as defendants. The complaint alleges, among other things, breach of fiduciary duty claims against KCAC’s board of directors in connection with the Business Combination. Legacy QuantumScape as the surviving company will inherit the litigation after the Closing.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Key Trends, Opportunities and Uncertainties</w:t>
      </w:r>
    </w:p>
    <w:p>
      <w:pPr>
        <w:spacing w:after="0" w:line="85" w:lineRule="exact"/>
        <w:rPr>
          <w:sz w:val="20"/>
          <w:szCs w:val="20"/>
          <w:color w:val="auto"/>
        </w:rPr>
      </w:pPr>
    </w:p>
    <w:p>
      <w:pPr>
        <w:ind w:left="360" w:right="399" w:firstLine="745"/>
        <w:spacing w:after="0" w:line="312" w:lineRule="auto"/>
        <w:rPr>
          <w:rFonts w:ascii="Arial" w:cs="Arial" w:eastAsia="Arial" w:hAnsi="Arial"/>
          <w:sz w:val="12"/>
          <w:szCs w:val="12"/>
          <w:color w:val="auto"/>
        </w:rPr>
      </w:pPr>
      <w:r>
        <w:rPr>
          <w:rFonts w:ascii="Arial" w:cs="Arial" w:eastAsia="Arial" w:hAnsi="Arial"/>
          <w:sz w:val="12"/>
          <w:szCs w:val="12"/>
          <w:color w:val="auto"/>
        </w:rPr>
        <w:t>We are pre-revenue company; we believe that our performance and future success depend on several factors that present significant opportunities for us but also pose risks and challenges, including those discussed below and in the Proxy Statement in the section entitled “</w:t>
      </w:r>
      <w:hyperlink r:id="rId24">
        <w:r>
          <w:rPr>
            <w:rFonts w:ascii="Arial" w:cs="Arial" w:eastAsia="Arial" w:hAnsi="Arial"/>
            <w:sz w:val="12"/>
            <w:szCs w:val="12"/>
            <w:u w:val="single" w:color="auto"/>
            <w:color w:val="0000EE"/>
          </w:rPr>
          <w:t>Risk Factors</w:t>
        </w:r>
      </w:hyperlink>
      <w:r>
        <w:rPr>
          <w:rFonts w:ascii="Arial" w:cs="Arial" w:eastAsia="Arial" w:hAnsi="Arial"/>
          <w:sz w:val="12"/>
          <w:szCs w:val="12"/>
          <w:color w:val="auto"/>
        </w:rPr>
        <w:t>” beginning on page 41 of the Proxy Statement, which is incorporated herein by reference.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Product Development</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Major remaining development activities include, but are not limited to:</w:t>
      </w:r>
    </w:p>
    <w:p>
      <w:pPr>
        <w:spacing w:after="0" w:line="93" w:lineRule="exact"/>
        <w:rPr>
          <w:sz w:val="20"/>
          <w:szCs w:val="20"/>
          <w:color w:val="auto"/>
        </w:rPr>
      </w:pPr>
    </w:p>
    <w:p>
      <w:pPr>
        <w:ind w:left="1420" w:right="479" w:hanging="235"/>
        <w:spacing w:after="0" w:line="247" w:lineRule="auto"/>
        <w:tabs>
          <w:tab w:leader="none" w:pos="14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Multi-layering. </w:t>
      </w:r>
      <w:r>
        <w:rPr>
          <w:rFonts w:ascii="Arial" w:cs="Arial" w:eastAsia="Arial" w:hAnsi="Arial"/>
          <w:sz w:val="14"/>
          <w:szCs w:val="14"/>
          <w:color w:val="auto"/>
        </w:rPr>
        <w:t>To date, we have only produced single-layer solid-state battery cells at the commercially required size. In order to</w:t>
      </w:r>
      <w:r>
        <w:rPr>
          <w:rFonts w:ascii="Arial" w:cs="Arial" w:eastAsia="Arial" w:hAnsi="Arial"/>
          <w:sz w:val="14"/>
          <w:szCs w:val="14"/>
          <w:i w:val="1"/>
          <w:iCs w:val="1"/>
          <w:color w:val="auto"/>
        </w:rPr>
        <w:t xml:space="preserve"> </w:t>
      </w:r>
      <w:r>
        <w:rPr>
          <w:rFonts w:ascii="Arial" w:cs="Arial" w:eastAsia="Arial" w:hAnsi="Arial"/>
          <w:sz w:val="14"/>
          <w:szCs w:val="14"/>
          <w:color w:val="auto"/>
        </w:rPr>
        <w:t>produce commercially-viable solid-state battery cells, we must produce battery cells consisting of over one hundred layers. We will need to overcome the developmental challenges to stack these layers and implement the appropriate cell design for our solid-state battery cell.</w:t>
      </w:r>
    </w:p>
    <w:p>
      <w:pPr>
        <w:spacing w:after="0" w:line="78" w:lineRule="exact"/>
        <w:rPr>
          <w:rFonts w:ascii="Arial" w:cs="Arial" w:eastAsia="Arial" w:hAnsi="Arial"/>
          <w:sz w:val="14"/>
          <w:szCs w:val="14"/>
          <w:color w:val="auto"/>
        </w:rPr>
      </w:pPr>
    </w:p>
    <w:p>
      <w:pPr>
        <w:ind w:left="1420" w:right="599" w:hanging="235"/>
        <w:spacing w:after="0" w:line="259" w:lineRule="auto"/>
        <w:tabs>
          <w:tab w:leader="none" w:pos="14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Continued improvement in the solid-state separator. </w:t>
      </w:r>
      <w:r>
        <w:rPr>
          <w:rFonts w:ascii="Arial" w:cs="Arial" w:eastAsia="Arial" w:hAnsi="Arial"/>
          <w:sz w:val="14"/>
          <w:szCs w:val="14"/>
          <w:color w:val="auto"/>
        </w:rPr>
        <w:t>We are working to improve the reliability and performance of our solid-state</w:t>
      </w:r>
      <w:r>
        <w:rPr>
          <w:rFonts w:ascii="Arial" w:cs="Arial" w:eastAsia="Arial" w:hAnsi="Arial"/>
          <w:sz w:val="14"/>
          <w:szCs w:val="14"/>
          <w:i w:val="1"/>
          <w:iCs w:val="1"/>
          <w:color w:val="auto"/>
        </w:rPr>
        <w:t xml:space="preserve"> </w:t>
      </w:r>
      <w:r>
        <w:rPr>
          <w:rFonts w:ascii="Arial" w:cs="Arial" w:eastAsia="Arial" w:hAnsi="Arial"/>
          <w:sz w:val="14"/>
          <w:szCs w:val="14"/>
          <w:color w:val="auto"/>
        </w:rPr>
        <w:t>separator, including decreasing the thickness.</w:t>
      </w:r>
    </w:p>
    <w:p>
      <w:pPr>
        <w:spacing w:after="0" w:line="68" w:lineRule="exact"/>
        <w:rPr>
          <w:rFonts w:ascii="Arial" w:cs="Arial" w:eastAsia="Arial" w:hAnsi="Arial"/>
          <w:sz w:val="14"/>
          <w:szCs w:val="14"/>
          <w:color w:val="auto"/>
        </w:rPr>
      </w:pPr>
    </w:p>
    <w:p>
      <w:pPr>
        <w:ind w:left="1420" w:right="579" w:hanging="235"/>
        <w:spacing w:after="0" w:line="250" w:lineRule="auto"/>
        <w:tabs>
          <w:tab w:leader="none" w:pos="14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 xml:space="preserve">Integration of advanced cathode materials. </w:t>
      </w:r>
      <w:r>
        <w:rPr>
          <w:rFonts w:ascii="Arial" w:cs="Arial" w:eastAsia="Arial" w:hAnsi="Arial"/>
          <w:sz w:val="14"/>
          <w:szCs w:val="14"/>
          <w:color w:val="auto"/>
        </w:rPr>
        <w:t>We benefit from industry cathode chemistry improvements and/or cost reduction. Our</w:t>
      </w:r>
      <w:r>
        <w:rPr>
          <w:rFonts w:ascii="Arial" w:cs="Arial" w:eastAsia="Arial" w:hAnsi="Arial"/>
          <w:sz w:val="14"/>
          <w:szCs w:val="14"/>
          <w:i w:val="1"/>
          <w:iCs w:val="1"/>
          <w:color w:val="auto"/>
        </w:rPr>
        <w:t xml:space="preserve"> </w:t>
      </w:r>
      <w:r>
        <w:rPr>
          <w:rFonts w:ascii="Arial" w:cs="Arial" w:eastAsia="Arial" w:hAnsi="Arial"/>
          <w:sz w:val="14"/>
          <w:szCs w:val="14"/>
          <w:color w:val="auto"/>
        </w:rPr>
        <w:t>solid-state separator platform is being designed to enable some of the most promising next-generation cathode technologies, including high voltage or high capacity cathode active materials.</w:t>
      </w:r>
    </w:p>
    <w:p>
      <w:pPr>
        <w:spacing w:after="0" w:line="146" w:lineRule="exact"/>
        <w:rPr>
          <w:sz w:val="20"/>
          <w:szCs w:val="20"/>
          <w:color w:val="auto"/>
        </w:rPr>
      </w:pPr>
    </w:p>
    <w:p>
      <w:pPr>
        <w:ind w:left="360" w:right="399" w:firstLine="331"/>
        <w:spacing w:after="0" w:line="297" w:lineRule="auto"/>
        <w:rPr>
          <w:sz w:val="20"/>
          <w:szCs w:val="20"/>
          <w:color w:val="auto"/>
        </w:rPr>
      </w:pPr>
      <w:r>
        <w:rPr>
          <w:rFonts w:ascii="Arial" w:cs="Arial" w:eastAsia="Arial" w:hAnsi="Arial"/>
          <w:sz w:val="12"/>
          <w:szCs w:val="12"/>
          <w:color w:val="auto"/>
        </w:rPr>
        <w:t>Our team of over 250 scientists, engineers, technicians, and other staff is highly motivated and committed to solving these challenges ahead. However, any delays in the completion of these tasks will require additional cash use and delay market entry. For reference, we are forecasted to spend approximately $20 million in the fourth quarter of 2020 on research and development and general and administrative expenses; accordingly, a six-month delay at this rate of spending would utilize approximately $40 million. As we grow our team, size of engineering pilot line, and materials consumption, the rate of cash utilization as a function of time will also increase significantly.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7" w:name="page8"/>
    <w:bookmarkEnd w:id="7"/>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Process Development</w:t>
      </w:r>
    </w:p>
    <w:p>
      <w:pPr>
        <w:spacing w:after="0" w:line="83" w:lineRule="exact"/>
        <w:rPr>
          <w:sz w:val="20"/>
          <w:szCs w:val="20"/>
          <w:color w:val="auto"/>
        </w:rPr>
      </w:pPr>
    </w:p>
    <w:p>
      <w:pPr>
        <w:ind w:left="360" w:right="479" w:firstLine="331"/>
        <w:spacing w:after="0" w:line="342" w:lineRule="auto"/>
        <w:rPr>
          <w:sz w:val="20"/>
          <w:szCs w:val="20"/>
          <w:color w:val="auto"/>
        </w:rPr>
      </w:pPr>
      <w:r>
        <w:rPr>
          <w:rFonts w:ascii="Arial" w:cs="Arial" w:eastAsia="Arial" w:hAnsi="Arial"/>
          <w:sz w:val="12"/>
          <w:szCs w:val="12"/>
          <w:color w:val="auto"/>
        </w:rPr>
        <w:t>Our architecture depends on our proprietary solid-state ceramic separator which we will manufacture ourselves. Though our separator’s design is unique, its manufacturing relies on well-established, high-volume production processes currently deployed globally in other industries at large scale.</w:t>
      </w:r>
    </w:p>
    <w:p>
      <w:pPr>
        <w:spacing w:after="0" w:line="94" w:lineRule="exact"/>
        <w:rPr>
          <w:sz w:val="20"/>
          <w:szCs w:val="20"/>
          <w:color w:val="auto"/>
        </w:rPr>
      </w:pPr>
    </w:p>
    <w:p>
      <w:pPr>
        <w:ind w:left="360" w:right="459" w:firstLine="331"/>
        <w:spacing w:after="0" w:line="297" w:lineRule="auto"/>
        <w:rPr>
          <w:sz w:val="20"/>
          <w:szCs w:val="20"/>
          <w:color w:val="auto"/>
        </w:rPr>
      </w:pPr>
      <w:r>
        <w:rPr>
          <w:rFonts w:ascii="Arial" w:cs="Arial" w:eastAsia="Arial" w:hAnsi="Arial"/>
          <w:sz w:val="12"/>
          <w:szCs w:val="12"/>
          <w:color w:val="auto"/>
        </w:rPr>
        <w:t>The solid-state separator is being designed to enable our ‘anode-free’ architecture. As manufactured, the cell has no anode; the lithium-metal anode is formed during the first charge of the cell; 100% of the lithium that forms the anode comes from the cathode material we purchase. Eliminating the anode bill of materials and associated manufacturing costs found in conventional lithium-ion cells could result in a meaningful cost of goods sold advantage for us. In addition, our solid-state battery cell is being designed to reduce the time and capital-intensity of the formation process step as compared to conventional lithium-ion manufacturing.</w:t>
      </w:r>
    </w:p>
    <w:p>
      <w:pPr>
        <w:spacing w:after="0" w:line="120" w:lineRule="exact"/>
        <w:rPr>
          <w:sz w:val="20"/>
          <w:szCs w:val="20"/>
          <w:color w:val="auto"/>
        </w:rPr>
      </w:pPr>
    </w:p>
    <w:p>
      <w:pPr>
        <w:ind w:left="360" w:right="659" w:firstLine="331"/>
        <w:spacing w:after="0" w:line="259" w:lineRule="auto"/>
        <w:rPr>
          <w:sz w:val="20"/>
          <w:szCs w:val="20"/>
          <w:color w:val="auto"/>
        </w:rPr>
      </w:pPr>
      <w:r>
        <w:rPr>
          <w:rFonts w:ascii="Arial" w:cs="Arial" w:eastAsia="Arial" w:hAnsi="Arial"/>
          <w:sz w:val="14"/>
          <w:szCs w:val="14"/>
          <w:color w:val="auto"/>
        </w:rPr>
        <w:t>We are focused on both the continued expansion of the throughput and capability of our San Jose engineering line as well as the planning and execution of our initial 1GWh pilot facility (the “</w:t>
      </w:r>
      <w:r>
        <w:rPr>
          <w:rFonts w:ascii="Arial" w:cs="Arial" w:eastAsia="Arial" w:hAnsi="Arial"/>
          <w:sz w:val="14"/>
          <w:szCs w:val="14"/>
          <w:u w:val="single" w:color="auto"/>
          <w:color w:val="auto"/>
        </w:rPr>
        <w:t>Pilot Facility</w:t>
      </w:r>
      <w:r>
        <w:rPr>
          <w:rFonts w:ascii="Arial" w:cs="Arial" w:eastAsia="Arial" w:hAnsi="Arial"/>
          <w:sz w:val="14"/>
          <w:szCs w:val="14"/>
          <w:color w:val="auto"/>
        </w:rPr>
        <w:t>,”) our first commercial manufacturing facility.</w:t>
      </w:r>
    </w:p>
    <w:p>
      <w:pPr>
        <w:spacing w:after="0" w:line="140" w:lineRule="exact"/>
        <w:rPr>
          <w:sz w:val="20"/>
          <w:szCs w:val="20"/>
          <w:color w:val="auto"/>
        </w:rPr>
      </w:pPr>
    </w:p>
    <w:p>
      <w:pPr>
        <w:ind w:left="360" w:right="459" w:firstLine="331"/>
        <w:spacing w:after="0" w:line="302" w:lineRule="auto"/>
        <w:rPr>
          <w:sz w:val="20"/>
          <w:szCs w:val="20"/>
          <w:color w:val="auto"/>
        </w:rPr>
      </w:pPr>
      <w:r>
        <w:rPr>
          <w:rFonts w:ascii="Arial" w:cs="Arial" w:eastAsia="Arial" w:hAnsi="Arial"/>
          <w:sz w:val="12"/>
          <w:szCs w:val="12"/>
          <w:color w:val="auto"/>
        </w:rPr>
        <w:t>Continued expansion of the throughput and capability of our San Jose engineering line serves two purposes. First, the engineering line provides a sufficient quantity of solid-state separators and cells for internal development and for customer sampling. And second, our San Jose engineering line provides the basis for continued manufacturing process development and helps inform tool selection and specifications for equipment for our Pilot Facility. Delays in the successful buildout of our San Jose engineering line may impact both our development and the Pilot Facility timelines.</w:t>
      </w:r>
    </w:p>
    <w:p>
      <w:pPr>
        <w:spacing w:after="0" w:line="117" w:lineRule="exact"/>
        <w:rPr>
          <w:sz w:val="20"/>
          <w:szCs w:val="20"/>
          <w:color w:val="auto"/>
        </w:rPr>
      </w:pPr>
    </w:p>
    <w:p>
      <w:pPr>
        <w:ind w:left="360" w:right="399" w:firstLine="331"/>
        <w:spacing w:after="0" w:line="292" w:lineRule="auto"/>
        <w:rPr>
          <w:sz w:val="20"/>
          <w:szCs w:val="20"/>
          <w:color w:val="auto"/>
        </w:rPr>
      </w:pPr>
      <w:r>
        <w:rPr>
          <w:rFonts w:ascii="Arial" w:cs="Arial" w:eastAsia="Arial" w:hAnsi="Arial"/>
          <w:sz w:val="12"/>
          <w:szCs w:val="12"/>
          <w:color w:val="auto"/>
        </w:rPr>
        <w:t>Capturing our forecasted cost advantage at scale as compared to conventional lithium-ion cells will require our team to continue process development to achieve rates of throughput, use of electricity and consumables, yield, and rate of automation demonstrated of mature battery, battery material, and ceramic manufacturing processes. Notably, heat treatment of ceramic parts is a process step in ceramic manufacturing critical to both quality and product cost. We believe achieving required process cost advances is possible; our processes are designed around tools which are already used at scale in the battery or ceramics industries. In addition, we are investigating alternative processing methods that may further increase the capital efficiency of the process. However, delay or failure on these fronts, and in particular with respect to ceramic heat treatment, would result in a higher cost of goods sold, which may limit our ability to profitably sell our batteries.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Commercialization</w:t>
      </w:r>
    </w:p>
    <w:p>
      <w:pPr>
        <w:spacing w:after="0" w:line="83" w:lineRule="exact"/>
        <w:rPr>
          <w:sz w:val="20"/>
          <w:szCs w:val="20"/>
          <w:color w:val="auto"/>
        </w:rPr>
      </w:pPr>
    </w:p>
    <w:p>
      <w:pPr>
        <w:ind w:left="360" w:right="399" w:firstLine="331"/>
        <w:spacing w:after="0" w:line="292" w:lineRule="auto"/>
        <w:rPr>
          <w:sz w:val="20"/>
          <w:szCs w:val="20"/>
          <w:color w:val="auto"/>
        </w:rPr>
      </w:pPr>
      <w:r>
        <w:rPr>
          <w:rFonts w:ascii="Arial" w:cs="Arial" w:eastAsia="Arial" w:hAnsi="Arial"/>
          <w:sz w:val="12"/>
          <w:szCs w:val="12"/>
          <w:color w:val="auto"/>
        </w:rPr>
        <w:t>We will continue developing our battery technology with the goal of enabling commercial production in 2024. We have validated the performance capabilities of our solid-state separator and battery technology in single-layer cells. We are now working to develop multi-layer cells, to continue improving yield and performance and to optimize all components of the cell. We will continue to work to further develop the volume manufacturing processes to enable high volume manufacturing and minimize manufacturing costs. We will continue to work on increasing the yield of our separators to reduce scrappage and to increase utilization of manufacturing tools. The funds available upon the Closing will enable us to expand and accelerate research and development activities and undertake additional initiatives. Finally, we will continue to use our engineering line in San Jose, California to prepare for high volume manufacturing and plan our first commercial production Pilot Facility through our joint venture partnership with Volkswagen.</w:t>
      </w:r>
    </w:p>
    <w:p>
      <w:pPr>
        <w:spacing w:after="0" w:line="124" w:lineRule="exact"/>
        <w:rPr>
          <w:sz w:val="20"/>
          <w:szCs w:val="20"/>
          <w:color w:val="auto"/>
        </w:rPr>
      </w:pPr>
    </w:p>
    <w:p>
      <w:pPr>
        <w:ind w:left="360" w:right="419" w:firstLine="331"/>
        <w:spacing w:after="0" w:line="342" w:lineRule="auto"/>
        <w:rPr>
          <w:rFonts w:ascii="Arial" w:cs="Arial" w:eastAsia="Arial" w:hAnsi="Arial"/>
          <w:sz w:val="12"/>
          <w:szCs w:val="12"/>
          <w:color w:val="auto"/>
        </w:rPr>
      </w:pPr>
      <w:r>
        <w:rPr>
          <w:rFonts w:ascii="Arial" w:cs="Arial" w:eastAsia="Arial" w:hAnsi="Arial"/>
          <w:sz w:val="12"/>
          <w:szCs w:val="12"/>
          <w:color w:val="auto"/>
        </w:rPr>
        <w:t>The joint venture partnership with Volkswagen is described in the Proxy Statement in the section entitled “</w:t>
      </w:r>
      <w:hyperlink r:id="rId26">
        <w:r>
          <w:rPr>
            <w:rFonts w:ascii="Arial" w:cs="Arial" w:eastAsia="Arial" w:hAnsi="Arial"/>
            <w:sz w:val="12"/>
            <w:szCs w:val="12"/>
            <w:u w:val="single" w:color="auto"/>
            <w:color w:val="0000EE"/>
          </w:rPr>
          <w:t>Information about QuantumScape</w:t>
        </w:r>
      </w:hyperlink>
      <w:r>
        <w:rPr>
          <w:rFonts w:ascii="Arial" w:cs="Arial" w:eastAsia="Arial" w:hAnsi="Arial"/>
          <w:sz w:val="12"/>
          <w:szCs w:val="12"/>
          <w:color w:val="auto"/>
        </w:rPr>
        <w:t>” and the sub-section titled “Joint Venture Relationship” beginning on page 166 of the Proxy Statement, which is incorporated herein by reference.</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Pilot Facility to be built and run by QSV Operations LLC (“</w:t>
      </w:r>
      <w:r>
        <w:rPr>
          <w:rFonts w:ascii="Arial" w:cs="Arial" w:eastAsia="Arial" w:hAnsi="Arial"/>
          <w:sz w:val="12"/>
          <w:szCs w:val="12"/>
          <w:u w:val="single" w:color="auto"/>
          <w:color w:val="auto"/>
        </w:rPr>
        <w:t>QSV</w:t>
      </w:r>
      <w:r>
        <w:rPr>
          <w:rFonts w:ascii="Arial" w:cs="Arial" w:eastAsia="Arial" w:hAnsi="Arial"/>
          <w:sz w:val="12"/>
          <w:szCs w:val="12"/>
          <w:color w:val="auto"/>
        </w:rPr>
        <w:t>”), the joint venture between Legacy QuantumScape and Volkswagen and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20GWh expansion of the Pilot Facility (the “</w:t>
      </w:r>
      <w:r>
        <w:rPr>
          <w:rFonts w:ascii="Arial" w:cs="Arial" w:eastAsia="Arial" w:hAnsi="Arial"/>
          <w:sz w:val="12"/>
          <w:szCs w:val="12"/>
          <w:u w:val="single" w:color="auto"/>
          <w:color w:val="auto"/>
        </w:rPr>
        <w:t>20GWh Expansion Facility</w:t>
      </w:r>
      <w:r>
        <w:rPr>
          <w:rFonts w:ascii="Arial" w:cs="Arial" w:eastAsia="Arial" w:hAnsi="Arial"/>
          <w:sz w:val="12"/>
          <w:szCs w:val="12"/>
          <w:color w:val="auto"/>
        </w:rPr>
        <w:t>”) would represent a small fraction of Volkswagen’s demand for batteries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and implies vehicle volumes under 2% of Volkswagen’s total production in 2019, assuming a 100KWh pack size. Our goal is to significantly expand the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production capacity of the joint venture, in partnership with Volkswagen, to meet more of their projected demand. While we expect Volkswagen will be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first to commercialize vehicles using our battery technology, we intend to work closely with other automotive original equipment manufacturers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OEMs</w:t>
      </w:r>
      <w:r>
        <w:rPr>
          <w:rFonts w:ascii="Arial" w:cs="Arial" w:eastAsia="Arial" w:hAnsi="Arial"/>
          <w:sz w:val="12"/>
          <w:szCs w:val="12"/>
          <w:color w:val="auto"/>
        </w:rPr>
        <w:t>”) to make our solid-state battery cells widely available over time. We are focused on automotive EV applications, which has the most stringent</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set of requirements for batteries. However, we recognize that our solid-state battery technology has applicability in other large and growing markets</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including stationary storage and consumer electronics such as smartphones and wearables.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8" w:name="page9"/>
    <w:bookmarkEnd w:id="8"/>
    <w:p>
      <w:pPr>
        <w:ind w:left="360" w:right="459" w:firstLine="331"/>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Our technology enables a variety of business models. In addition to joint ventures, such as the one with Volkswagen, we may operate solely-owned manufacturing facilities or license technology to other manufacturers. Where appropriate, we may build and sell separators rather than complete battery cells. We intend to continue to invest in research and development to improve battery cell performance, improve manufacturing processes, and reduce cost.</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Market Focus</w:t>
      </w:r>
    </w:p>
    <w:p>
      <w:pPr>
        <w:spacing w:after="0" w:line="83" w:lineRule="exact"/>
        <w:rPr>
          <w:sz w:val="20"/>
          <w:szCs w:val="20"/>
          <w:color w:val="auto"/>
        </w:rPr>
      </w:pPr>
    </w:p>
    <w:p>
      <w:pPr>
        <w:ind w:left="360" w:right="619" w:firstLine="331"/>
        <w:spacing w:after="0" w:line="250" w:lineRule="auto"/>
        <w:rPr>
          <w:sz w:val="20"/>
          <w:szCs w:val="20"/>
          <w:color w:val="auto"/>
        </w:rPr>
      </w:pPr>
      <w:r>
        <w:rPr>
          <w:rFonts w:ascii="Arial" w:cs="Arial" w:eastAsia="Arial" w:hAnsi="Arial"/>
          <w:sz w:val="14"/>
          <w:szCs w:val="14"/>
          <w:color w:val="auto"/>
        </w:rPr>
        <w:t>We are focused on automotive EV applications, which has the most stringent set of requirements for batteries. However, we recognize that our solid-state battery technology has applicability in other large and growing markets including stationary storage and consumer electronics such as smartphones and wearables.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Access to Capital</w:t>
      </w:r>
    </w:p>
    <w:p>
      <w:pPr>
        <w:spacing w:after="0" w:line="83" w:lineRule="exact"/>
        <w:rPr>
          <w:sz w:val="20"/>
          <w:szCs w:val="20"/>
          <w:color w:val="auto"/>
        </w:rPr>
      </w:pPr>
    </w:p>
    <w:p>
      <w:pPr>
        <w:ind w:left="360" w:right="439" w:firstLine="331"/>
        <w:spacing w:after="0" w:line="250" w:lineRule="auto"/>
        <w:rPr>
          <w:sz w:val="20"/>
          <w:szCs w:val="20"/>
          <w:color w:val="auto"/>
        </w:rPr>
      </w:pPr>
      <w:r>
        <w:rPr>
          <w:rFonts w:ascii="Arial" w:cs="Arial" w:eastAsia="Arial" w:hAnsi="Arial"/>
          <w:sz w:val="14"/>
          <w:szCs w:val="14"/>
          <w:color w:val="auto"/>
        </w:rPr>
        <w:t>Following the Business Combination and assuming we experience no significant delays in the research and development of our solid-state battery cells, we believe that our cash resources are sufficient to fund our start of production, including our share of contributions to our Pilot Facility with Volkswagen.</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Regulatory Landscape</w:t>
      </w:r>
    </w:p>
    <w:p>
      <w:pPr>
        <w:spacing w:after="0" w:line="83" w:lineRule="exact"/>
        <w:rPr>
          <w:sz w:val="20"/>
          <w:szCs w:val="20"/>
          <w:color w:val="auto"/>
        </w:rPr>
      </w:pPr>
    </w:p>
    <w:p>
      <w:pPr>
        <w:ind w:left="360" w:right="519" w:firstLine="331"/>
        <w:spacing w:after="0" w:line="292" w:lineRule="auto"/>
        <w:rPr>
          <w:sz w:val="20"/>
          <w:szCs w:val="20"/>
          <w:color w:val="auto"/>
        </w:rPr>
      </w:pPr>
      <w:r>
        <w:rPr>
          <w:rFonts w:ascii="Arial" w:cs="Arial" w:eastAsia="Arial" w:hAnsi="Arial"/>
          <w:sz w:val="12"/>
          <w:szCs w:val="12"/>
          <w:color w:val="auto"/>
        </w:rPr>
        <w:t>We operate in an industry that is subject to many established environmental regulations, which have generally become more stringent over time, particularly in hazardous waste generation and disposal and pollution control. Regulations in our target markets include economic incentives to purchasers of EVs, tax credits for EV manufacturers, and economic penalties that may apply to a car manufacturer based on its fleet-wide emissions which may indirectly benefit us in that the regulations will expand the market size of EVs. While we expect environmental regulations to provide a tailwind to our growth, it is possible for certain regulations to result in margin pressures. Trade restrictions and tariffs, while historically minimal between the European Union and the United States where most of our production and sales are expected, are subject to unknown and unpredictable change that could impact our ability to meet projected sales or margins.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Basis of Presentation</w:t>
      </w:r>
    </w:p>
    <w:p>
      <w:pPr>
        <w:spacing w:after="0" w:line="85" w:lineRule="exact"/>
        <w:rPr>
          <w:sz w:val="20"/>
          <w:szCs w:val="20"/>
          <w:color w:val="auto"/>
        </w:rPr>
      </w:pPr>
    </w:p>
    <w:p>
      <w:pPr>
        <w:ind w:left="360" w:right="539" w:firstLine="331"/>
        <w:spacing w:after="0" w:line="294" w:lineRule="auto"/>
        <w:rPr>
          <w:sz w:val="20"/>
          <w:szCs w:val="20"/>
          <w:color w:val="auto"/>
        </w:rPr>
      </w:pPr>
      <w:r>
        <w:rPr>
          <w:rFonts w:ascii="Arial" w:cs="Arial" w:eastAsia="Arial" w:hAnsi="Arial"/>
          <w:sz w:val="12"/>
          <w:szCs w:val="12"/>
          <w:color w:val="auto"/>
        </w:rPr>
        <w:t>We currently conduct our business through one operating segment. As a pre-revenue company with no commercial operations, our activities to date have been limited and were conducted primarily in the United States. Our historical results are reported under GAAP and in U.S. dollars. Upon commencement of commercial operations, we expect to expand our global operations substantially, including in the United States and the European Union, and as a result we expect our future results to be sensitive to foreign currency transaction and translation risks and other financial risks that are not reflected in our historical financial statements. As a result, we expect that the financial results we report for periods after we begin commercial operations will not be comparable to the financial results included in the Proxy Statement or filed as an exhibit to this Current Report on Form 8-K.</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Components of Results of Operations</w:t>
      </w:r>
    </w:p>
    <w:p>
      <w:pPr>
        <w:spacing w:after="0" w:line="85" w:lineRule="exact"/>
        <w:rPr>
          <w:sz w:val="20"/>
          <w:szCs w:val="20"/>
          <w:color w:val="auto"/>
        </w:rPr>
      </w:pPr>
    </w:p>
    <w:p>
      <w:pPr>
        <w:jc w:val="both"/>
        <w:ind w:left="360" w:right="559" w:firstLine="331"/>
        <w:spacing w:after="0" w:line="250" w:lineRule="auto"/>
        <w:rPr>
          <w:sz w:val="20"/>
          <w:szCs w:val="20"/>
          <w:color w:val="auto"/>
        </w:rPr>
      </w:pPr>
      <w:r>
        <w:rPr>
          <w:rFonts w:ascii="Arial" w:cs="Arial" w:eastAsia="Arial" w:hAnsi="Arial"/>
          <w:sz w:val="14"/>
          <w:szCs w:val="14"/>
          <w:color w:val="auto"/>
        </w:rPr>
        <w:t>We are a research and development 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83" w:lineRule="exact"/>
        <w:rPr>
          <w:sz w:val="20"/>
          <w:szCs w:val="20"/>
          <w:color w:val="auto"/>
        </w:rPr>
      </w:pPr>
    </w:p>
    <w:p>
      <w:pPr>
        <w:ind w:left="360" w:right="419" w:firstLine="331"/>
        <w:spacing w:after="0" w:line="292" w:lineRule="auto"/>
        <w:rPr>
          <w:sz w:val="20"/>
          <w:szCs w:val="20"/>
          <w:color w:val="auto"/>
        </w:rPr>
      </w:pPr>
      <w:r>
        <w:rPr>
          <w:rFonts w:ascii="Arial" w:cs="Arial" w:eastAsia="Arial" w:hAnsi="Arial"/>
          <w:sz w:val="12"/>
          <w:szCs w:val="12"/>
          <w:color w:val="auto"/>
        </w:rPr>
        <w:t>To date, our research and development expenses have consisted primarily of personnel-related expenses for scientists, experienced engineers and technicians as well as costs associated with the expansion and ramp up of our engineering facility in San Jose, California, including the material and supplies to support the product development and process engineering efforts. As we ramp up our engineering operations to complete the development of our solid-state, lithium-metal batteries and required process engineering to meet automotive cost targets, we anticipate that research and development expenses will increase significantly for the foreseeable future as we expand our hiring of scientists, engineers, and technicians and continue to invest in additional plant and equipment for product development (e.g. multi-layer cell stacking, packaging engineering), building prototypes, and testing of battery cells as our team works to meet the full set of automotive product requirements.</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9" w:name="page10"/>
    <w:bookmarkEnd w:id="9"/>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General and Administrative Expense</w:t>
      </w:r>
    </w:p>
    <w:p>
      <w:pPr>
        <w:spacing w:after="0" w:line="83" w:lineRule="exact"/>
        <w:rPr>
          <w:sz w:val="20"/>
          <w:szCs w:val="20"/>
          <w:color w:val="auto"/>
        </w:rPr>
      </w:pPr>
    </w:p>
    <w:p>
      <w:pPr>
        <w:ind w:left="360" w:right="439" w:firstLine="331"/>
        <w:spacing w:after="0" w:line="294" w:lineRule="auto"/>
        <w:rPr>
          <w:sz w:val="20"/>
          <w:szCs w:val="20"/>
          <w:color w:val="auto"/>
        </w:rPr>
      </w:pPr>
      <w:r>
        <w:rPr>
          <w:rFonts w:ascii="Arial" w:cs="Arial" w:eastAsia="Arial" w:hAnsi="Arial"/>
          <w:sz w:val="12"/>
          <w:szCs w:val="12"/>
          <w:color w:val="auto"/>
        </w:rPr>
        <w:t>General and administrative expenses consist mainly of personnel-related expenses for our executive, sales and marketing and other administrative functions and expenses for outside professional services, including legal, accounting and other advisory services. We are rapidly expanding our personnel headcount, in anticipation of planning for and supporting the ramping up of commercial manufacturing operations and becoming a public company upon the Closing. Accordingly, in addition to the non-recurring transaction costs discussed above, we expect our general and administrative expenses to increase significantly in the near term and for the foreseeable future. Upon commencement of commercial operations, we also expect general and administrative expenses to include facilities, marketing and advertising costs.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83" w:lineRule="exact"/>
        <w:rPr>
          <w:sz w:val="20"/>
          <w:szCs w:val="20"/>
          <w:color w:val="auto"/>
        </w:rPr>
      </w:pPr>
    </w:p>
    <w:p>
      <w:pPr>
        <w:ind w:left="360" w:right="519" w:firstLine="331"/>
        <w:spacing w:after="0" w:line="297" w:lineRule="auto"/>
        <w:rPr>
          <w:sz w:val="20"/>
          <w:szCs w:val="20"/>
          <w:color w:val="auto"/>
        </w:rPr>
      </w:pPr>
      <w:r>
        <w:rPr>
          <w:rFonts w:ascii="Arial" w:cs="Arial" w:eastAsia="Arial" w:hAnsi="Arial"/>
          <w:sz w:val="12"/>
          <w:szCs w:val="12"/>
          <w:color w:val="auto"/>
        </w:rPr>
        <w:t>Our other income (expense) consists of interest income from marketable securities, sublease income, interest expense related to fair value adjustments for outstanding convertible preferred stock warrants, and other expense related to fair value adjustment for the convertible preferred stock tranche liabilities. We expect to incur an incremental expense for the fair value adjustments for the outstanding convertible preferred stock warrants at the end of each reporting period or through the exercise of the warrants. We also expect to incur an incremental expense for the fair value adjustments for the outstanding convertible preferred stock tranche liabilities at the end of each reporting period until the exercise of the commitments.</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Income Tax Expense / Benefit</w:t>
      </w:r>
    </w:p>
    <w:p>
      <w:pPr>
        <w:spacing w:after="0" w:line="83" w:lineRule="exact"/>
        <w:rPr>
          <w:sz w:val="20"/>
          <w:szCs w:val="20"/>
          <w:color w:val="auto"/>
        </w:rPr>
      </w:pPr>
    </w:p>
    <w:p>
      <w:pPr>
        <w:ind w:left="360" w:right="459" w:firstLine="331"/>
        <w:spacing w:after="0" w:line="312" w:lineRule="auto"/>
        <w:rPr>
          <w:sz w:val="20"/>
          <w:szCs w:val="20"/>
          <w:color w:val="auto"/>
        </w:rPr>
      </w:pPr>
      <w:r>
        <w:rPr>
          <w:rFonts w:ascii="Arial" w:cs="Arial" w:eastAsia="Arial" w:hAnsi="Arial"/>
          <w:sz w:val="12"/>
          <w:szCs w:val="12"/>
          <w:color w:val="auto"/>
        </w:rPr>
        <w:t>Our income tax provision consists of an estimate for U.S. federal and state income taxes based on enacted rates, as adjusted for allowable credits, deductions, uncertain tax positions, changes in deferred tax assets and liabilities, and changes in the tax law. We a valuation allowance against the full value of our U.S. and state net deferred tax assets because maintain we believe the recoverability of the tax assets is not more likely than not.</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Results of Operations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Comparison of the Nine Months Ended September 30, 2020 to the Nine Months Ended September 30, 2019</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sets forth our historical operating results for the periods indicated:</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5"/>
          </w:tcPr>
          <w:p>
            <w:pPr>
              <w:jc w:val="right"/>
              <w:ind w:right="681"/>
              <w:spacing w:after="0"/>
              <w:rPr>
                <w:sz w:val="20"/>
                <w:szCs w:val="20"/>
                <w:color w:val="auto"/>
              </w:rPr>
            </w:pPr>
            <w:r>
              <w:rPr>
                <w:rFonts w:ascii="Arial" w:cs="Arial" w:eastAsia="Arial" w:hAnsi="Arial"/>
                <w:sz w:val="11"/>
                <w:szCs w:val="11"/>
                <w:b w:val="1"/>
                <w:bCs w:val="1"/>
                <w:color w:val="auto"/>
              </w:rPr>
              <w:t>Nine Months Ended</w:t>
            </w:r>
          </w:p>
        </w:tc>
        <w:tc>
          <w:tcPr>
            <w:tcW w:w="80" w:type="dxa"/>
            <w:vAlign w:val="bottom"/>
          </w:tcPr>
          <w:p>
            <w:pPr>
              <w:spacing w:after="0"/>
              <w:rPr>
                <w:sz w:val="10"/>
                <w:szCs w:val="10"/>
                <w:color w:val="auto"/>
              </w:rPr>
            </w:pPr>
          </w:p>
        </w:tc>
        <w:tc>
          <w:tcPr>
            <w:tcW w:w="48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w:t>
            </w:r>
          </w:p>
        </w:tc>
        <w:tc>
          <w:tcPr>
            <w:tcW w:w="360" w:type="dxa"/>
            <w:vAlign w:val="bottom"/>
          </w:tcPr>
          <w:p>
            <w:pPr>
              <w:spacing w:after="0"/>
              <w:rPr>
                <w:sz w:val="10"/>
                <w:szCs w:val="10"/>
                <w:color w:val="auto"/>
              </w:rPr>
            </w:pPr>
          </w:p>
        </w:tc>
        <w:tc>
          <w:tcPr>
            <w:tcW w:w="360" w:type="dxa"/>
            <w:vAlign w:val="bottom"/>
            <w:vMerge w:val="restart"/>
          </w:tcPr>
          <w:p>
            <w:pPr>
              <w:jc w:val="right"/>
              <w:ind w:right="74"/>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tcPr>
          <w:p>
            <w:pPr>
              <w:jc w:val="right"/>
              <w:ind w:right="821"/>
              <w:spacing w:after="0"/>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5"/>
              <w:spacing w:after="0" w:line="102" w:lineRule="exact"/>
              <w:rPr>
                <w:sz w:val="20"/>
                <w:szCs w:val="20"/>
                <w:color w:val="auto"/>
              </w:rPr>
            </w:pPr>
            <w:r>
              <w:rPr>
                <w:rFonts w:ascii="Arial" w:cs="Arial" w:eastAsia="Arial" w:hAnsi="Arial"/>
                <w:sz w:val="11"/>
                <w:szCs w:val="11"/>
                <w:b w:val="1"/>
                <w:bCs w:val="1"/>
                <w:color w:val="auto"/>
              </w:rPr>
              <w:t>2020</w:t>
            </w: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2019</w:t>
            </w:r>
          </w:p>
        </w:tc>
        <w:tc>
          <w:tcPr>
            <w:tcW w:w="3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34"/>
              <w:spacing w:after="0" w:line="102" w:lineRule="exact"/>
              <w:rPr>
                <w:sz w:val="20"/>
                <w:szCs w:val="20"/>
                <w:color w:val="auto"/>
              </w:rPr>
            </w:pPr>
            <w:r>
              <w:rPr>
                <w:rFonts w:ascii="Arial" w:cs="Arial" w:eastAsia="Arial" w:hAnsi="Arial"/>
                <w:sz w:val="11"/>
                <w:szCs w:val="11"/>
                <w:b w:val="1"/>
                <w:bCs w:val="1"/>
                <w:color w:val="auto"/>
                <w:w w:val="89"/>
              </w:rPr>
              <w:t>Change</w:t>
            </w:r>
          </w:p>
        </w:tc>
        <w:tc>
          <w:tcPr>
            <w:tcW w:w="36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w w:val="84"/>
              </w:rPr>
              <w:t>Change</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55"/>
              <w:spacing w:after="0" w:line="102" w:lineRule="exact"/>
              <w:rPr>
                <w:sz w:val="20"/>
                <w:szCs w:val="20"/>
                <w:color w:val="auto"/>
              </w:rPr>
            </w:pPr>
            <w:r>
              <w:rPr>
                <w:rFonts w:ascii="Arial" w:cs="Arial" w:eastAsia="Arial" w:hAnsi="Arial"/>
                <w:sz w:val="11"/>
                <w:szCs w:val="11"/>
                <w:color w:val="auto"/>
                <w:w w:val="91"/>
              </w:rPr>
              <w:t>Unaudited</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rPr>
              <w:t>42,373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rPr>
              <w:t>33,084</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92"/>
              <w:spacing w:after="0"/>
              <w:rPr>
                <w:sz w:val="20"/>
                <w:szCs w:val="20"/>
                <w:color w:val="auto"/>
              </w:rPr>
            </w:pPr>
            <w:r>
              <w:rPr>
                <w:rFonts w:ascii="Arial" w:cs="Arial" w:eastAsia="Arial" w:hAnsi="Arial"/>
                <w:sz w:val="14"/>
                <w:szCs w:val="14"/>
                <w:color w:val="auto"/>
              </w:rPr>
              <w:t>9,289</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8,460</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7,637</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92"/>
              <w:spacing w:after="0"/>
              <w:rPr>
                <w:sz w:val="20"/>
                <w:szCs w:val="20"/>
                <w:color w:val="auto"/>
              </w:rPr>
            </w:pPr>
            <w:r>
              <w:rPr>
                <w:rFonts w:ascii="Arial" w:cs="Arial" w:eastAsia="Arial" w:hAnsi="Arial"/>
                <w:sz w:val="14"/>
                <w:szCs w:val="14"/>
                <w:color w:val="auto"/>
              </w:rPr>
              <w:t>823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60"/>
              <w:spacing w:after="0"/>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50,833</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40,721</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10,112</w:t>
            </w:r>
          </w:p>
        </w:tc>
        <w:tc>
          <w:tcPr>
            <w:tcW w:w="360" w:type="dxa"/>
            <w:vAlign w:val="bottom"/>
            <w:vMerge w:val="continue"/>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(50,833)</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(40,721)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w w:val="99"/>
              </w:rPr>
              <w:t>(10,112)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Other (expense) income: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(8,947)</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(8,946)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4"/>
                <w:szCs w:val="14"/>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rPr>
              <w:t>2,925</w:t>
            </w:r>
          </w:p>
        </w:tc>
        <w:tc>
          <w:tcPr>
            <w:tcW w:w="80" w:type="dxa"/>
            <w:vAlign w:val="bottom"/>
          </w:tcPr>
          <w:p>
            <w:pPr>
              <w:spacing w:after="0"/>
              <w:rPr>
                <w:sz w:val="14"/>
                <w:szCs w:val="14"/>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color w:val="auto"/>
              </w:rPr>
              <w:t>(1,963)</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817</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(57)</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Other expense</w:t>
            </w:r>
          </w:p>
        </w:tc>
        <w:tc>
          <w:tcPr>
            <w:tcW w:w="80" w:type="dxa"/>
            <w:vAlign w:val="bottom"/>
          </w:tcPr>
          <w:p>
            <w:pPr>
              <w:spacing w:after="0"/>
              <w:rPr>
                <w:sz w:val="14"/>
                <w:szCs w:val="14"/>
                <w:color w:val="auto"/>
              </w:rPr>
            </w:pPr>
          </w:p>
        </w:tc>
        <w:tc>
          <w:tcPr>
            <w:tcW w:w="940" w:type="dxa"/>
            <w:vAlign w:val="bottom"/>
            <w:gridSpan w:val="2"/>
          </w:tcPr>
          <w:p>
            <w:pPr>
              <w:jc w:val="right"/>
              <w:ind w:right="261"/>
              <w:spacing w:after="0"/>
              <w:rPr>
                <w:sz w:val="20"/>
                <w:szCs w:val="20"/>
                <w:color w:val="auto"/>
              </w:rPr>
            </w:pPr>
            <w:r>
              <w:rPr>
                <w:rFonts w:ascii="Arial" w:cs="Arial" w:eastAsia="Arial" w:hAnsi="Arial"/>
                <w:sz w:val="14"/>
                <w:szCs w:val="14"/>
                <w:color w:val="auto"/>
              </w:rPr>
              <w:t>(347,120)</w:t>
            </w:r>
          </w:p>
        </w:tc>
        <w:tc>
          <w:tcPr>
            <w:tcW w:w="80" w:type="dxa"/>
            <w:vAlign w:val="bottom"/>
          </w:tcPr>
          <w:p>
            <w:pPr>
              <w:spacing w:after="0"/>
              <w:rPr>
                <w:sz w:val="14"/>
                <w:szCs w:val="14"/>
                <w:color w:val="auto"/>
              </w:rPr>
            </w:pPr>
          </w:p>
        </w:tc>
        <w:tc>
          <w:tcPr>
            <w:tcW w:w="940" w:type="dxa"/>
            <w:vAlign w:val="bottom"/>
            <w:gridSpan w:val="2"/>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color w:val="auto"/>
                <w:w w:val="86"/>
              </w:rPr>
              <w:t>(347,120)</w:t>
            </w: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140" w:type="dxa"/>
            <w:vAlign w:val="bottom"/>
            <w:shd w:val="clear" w:color="auto" w:fill="CCEEFF"/>
          </w:tcPr>
          <w:p>
            <w:pPr>
              <w:spacing w:after="0"/>
              <w:rPr>
                <w:sz w:val="20"/>
                <w:szCs w:val="20"/>
                <w:color w:val="auto"/>
              </w:rPr>
            </w:pPr>
            <w:r>
              <w:rPr>
                <w:rFonts w:ascii="Arial" w:cs="Arial" w:eastAsia="Arial" w:hAnsi="Arial"/>
                <w:sz w:val="14"/>
                <w:szCs w:val="14"/>
                <w:color w:val="auto"/>
              </w:rPr>
              <w:t>Total other (expense) income:</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(354,345)</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3,741</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w w:val="86"/>
              </w:rPr>
              <w:t>(358,086)</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-9572%</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6"/>
              </w:rPr>
              <w:t>(405,178)</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(36,980)</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76"/>
              </w:rPr>
              <w:t>(368,198)</w:t>
            </w:r>
          </w:p>
        </w:tc>
        <w:tc>
          <w:tcPr>
            <w:tcW w:w="360" w:type="dxa"/>
            <w:vAlign w:val="bottom"/>
            <w:vMerge w:val="continue"/>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52"/>
        </w:trPr>
        <w:tc>
          <w:tcPr>
            <w:tcW w:w="41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w w:val="97"/>
              </w:rPr>
              <w:t>Less: Net (loss) income attributable to non-controlling interest, net of</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tax of $0 for the nine-months ended September 30, 2020 and 2019</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(21)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Net loss attributable to common stockholders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6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61"/>
              <w:spacing w:after="0"/>
              <w:rPr>
                <w:sz w:val="20"/>
                <w:szCs w:val="20"/>
                <w:color w:val="auto"/>
              </w:rPr>
            </w:pPr>
            <w:r>
              <w:rPr>
                <w:rFonts w:ascii="Arial" w:cs="Arial" w:eastAsia="Arial" w:hAnsi="Arial"/>
                <w:sz w:val="8"/>
                <w:szCs w:val="8"/>
                <w:color w:val="auto"/>
                <w:w w:val="73"/>
              </w:rPr>
              <w:t>)</w:t>
            </w:r>
          </w:p>
        </w:tc>
        <w:tc>
          <w:tcPr>
            <w:tcW w:w="56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jc w:val="right"/>
              <w:ind w:right="232"/>
              <w:spacing w:after="0"/>
              <w:rPr>
                <w:sz w:val="20"/>
                <w:szCs w:val="20"/>
                <w:color w:val="auto"/>
              </w:rPr>
            </w:pPr>
            <w:r>
              <w:rPr>
                <w:rFonts w:ascii="Arial" w:cs="Arial" w:eastAsia="Arial" w:hAnsi="Arial"/>
                <w:sz w:val="14"/>
                <w:szCs w:val="14"/>
                <w:color w:val="auto"/>
                <w:w w:val="84"/>
              </w:rPr>
              <w:t>)</w:t>
            </w: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(405,172</w:t>
            </w:r>
          </w:p>
        </w:tc>
        <w:tc>
          <w:tcPr>
            <w:tcW w:w="3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(36,995</w:t>
            </w:r>
          </w:p>
        </w:tc>
        <w:tc>
          <w:tcPr>
            <w:tcW w:w="3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(368,177</w:t>
            </w:r>
          </w:p>
        </w:tc>
        <w:tc>
          <w:tcPr>
            <w:tcW w:w="360" w:type="dxa"/>
            <w:vAlign w:val="bottom"/>
            <w:vMerge w:val="continue"/>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1"/>
              <w:spacing w:after="0" w:line="143" w:lineRule="exact"/>
              <w:rPr>
                <w:sz w:val="20"/>
                <w:szCs w:val="20"/>
                <w:color w:val="auto"/>
              </w:rPr>
            </w:pPr>
            <w:r>
              <w:rPr>
                <w:rFonts w:ascii="Arial" w:cs="Arial" w:eastAsia="Arial" w:hAnsi="Arial"/>
                <w:sz w:val="14"/>
                <w:szCs w:val="14"/>
                <w:color w:val="auto"/>
              </w:rPr>
              <w:t>(405,178)</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1"/>
              <w:spacing w:after="0" w:line="143" w:lineRule="exact"/>
              <w:rPr>
                <w:sz w:val="20"/>
                <w:szCs w:val="20"/>
                <w:color w:val="auto"/>
              </w:rPr>
            </w:pPr>
            <w:r>
              <w:rPr>
                <w:rFonts w:ascii="Arial" w:cs="Arial" w:eastAsia="Arial" w:hAnsi="Arial"/>
                <w:sz w:val="14"/>
                <w:szCs w:val="14"/>
                <w:color w:val="auto"/>
              </w:rPr>
              <w:t>(36,980)</w:t>
            </w:r>
          </w:p>
        </w:tc>
        <w:tc>
          <w:tcPr>
            <w:tcW w:w="920" w:type="dxa"/>
            <w:vAlign w:val="bottom"/>
            <w:gridSpan w:val="3"/>
            <w:shd w:val="clear" w:color="auto" w:fill="CCEEFF"/>
          </w:tcPr>
          <w:p>
            <w:pPr>
              <w:jc w:val="right"/>
              <w:ind w:right="232"/>
              <w:spacing w:after="0" w:line="143" w:lineRule="exact"/>
              <w:rPr>
                <w:sz w:val="20"/>
                <w:szCs w:val="20"/>
                <w:color w:val="auto"/>
              </w:rPr>
            </w:pPr>
            <w:r>
              <w:rPr>
                <w:rFonts w:ascii="Arial" w:cs="Arial" w:eastAsia="Arial" w:hAnsi="Arial"/>
                <w:sz w:val="14"/>
                <w:szCs w:val="14"/>
                <w:color w:val="auto"/>
                <w:w w:val="88"/>
              </w:rPr>
              <w:t>$(368,198)</w:t>
            </w:r>
          </w:p>
        </w:tc>
        <w:tc>
          <w:tcPr>
            <w:tcW w:w="5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996%</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Other comprehensive (loss) income: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(loss) gain on marketable securities</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(175)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6"/>
              </w:rPr>
              <w:t>(405,228)</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(36,855)</w:t>
            </w: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76"/>
              </w:rPr>
              <w:t>(368,373)</w:t>
            </w:r>
          </w:p>
        </w:tc>
        <w:tc>
          <w:tcPr>
            <w:tcW w:w="360" w:type="dxa"/>
            <w:vAlign w:val="bottom"/>
            <w:vMerge w:val="continue"/>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52"/>
        </w:trPr>
        <w:tc>
          <w:tcPr>
            <w:tcW w:w="414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Less: Comprehensive (loss) income attributable to non-controlling</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1"/>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32"/>
              <w:spacing w:after="0"/>
              <w:rPr>
                <w:sz w:val="20"/>
                <w:szCs w:val="20"/>
                <w:color w:val="auto"/>
              </w:rPr>
            </w:pPr>
            <w:r>
              <w:rPr>
                <w:rFonts w:ascii="Arial" w:cs="Arial" w:eastAsia="Arial" w:hAnsi="Arial"/>
                <w:sz w:val="14"/>
                <w:szCs w:val="14"/>
                <w:color w:val="auto"/>
              </w:rPr>
              <w:t>(21)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4"/>
                <w:szCs w:val="14"/>
                <w:color w:val="auto"/>
              </w:rPr>
              <w:t>Comprehensive loss attributable to common stockholders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61"/>
              <w:spacing w:after="0"/>
              <w:rPr>
                <w:sz w:val="20"/>
                <w:szCs w:val="20"/>
                <w:color w:val="auto"/>
              </w:rPr>
            </w:pPr>
            <w:r>
              <w:rPr>
                <w:rFonts w:ascii="Arial" w:cs="Arial" w:eastAsia="Arial" w:hAnsi="Arial"/>
                <w:sz w:val="8"/>
                <w:szCs w:val="8"/>
                <w:color w:val="auto"/>
                <w:w w:val="73"/>
              </w:rPr>
              <w:t>)</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61"/>
              <w:spacing w:after="0"/>
              <w:rPr>
                <w:sz w:val="20"/>
                <w:szCs w:val="20"/>
                <w:color w:val="auto"/>
              </w:rPr>
            </w:pPr>
            <w:r>
              <w:rPr>
                <w:rFonts w:ascii="Arial" w:cs="Arial" w:eastAsia="Arial" w:hAnsi="Arial"/>
                <w:sz w:val="8"/>
                <w:szCs w:val="8"/>
                <w:color w:val="auto"/>
                <w:w w:val="73"/>
              </w:rPr>
              <w:t>)</w:t>
            </w:r>
          </w:p>
        </w:tc>
        <w:tc>
          <w:tcPr>
            <w:tcW w:w="560" w:type="dxa"/>
            <w:vAlign w:val="bottom"/>
            <w:gridSpan w:val="2"/>
            <w:shd w:val="clear" w:color="auto" w:fill="000000"/>
          </w:tcPr>
          <w:p>
            <w:pPr>
              <w:spacing w:after="0" w:line="20" w:lineRule="exact"/>
              <w:rPr>
                <w:sz w:val="1"/>
                <w:szCs w:val="1"/>
                <w:color w:val="auto"/>
              </w:rPr>
            </w:pPr>
          </w:p>
        </w:tc>
        <w:tc>
          <w:tcPr>
            <w:tcW w:w="360" w:type="dxa"/>
            <w:vAlign w:val="bottom"/>
            <w:vMerge w:val="restart"/>
          </w:tcPr>
          <w:p>
            <w:pPr>
              <w:jc w:val="right"/>
              <w:ind w:right="232"/>
              <w:spacing w:after="0"/>
              <w:rPr>
                <w:sz w:val="20"/>
                <w:szCs w:val="20"/>
                <w:color w:val="auto"/>
              </w:rPr>
            </w:pPr>
            <w:r>
              <w:rPr>
                <w:rFonts w:ascii="Arial" w:cs="Arial" w:eastAsia="Arial" w:hAnsi="Arial"/>
                <w:sz w:val="14"/>
                <w:szCs w:val="14"/>
                <w:color w:val="auto"/>
                <w:w w:val="84"/>
              </w:rPr>
              <w:t>)</w:t>
            </w: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(405,222</w:t>
            </w:r>
          </w:p>
        </w:tc>
        <w:tc>
          <w:tcPr>
            <w:tcW w:w="34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(36,870</w:t>
            </w:r>
          </w:p>
        </w:tc>
        <w:tc>
          <w:tcPr>
            <w:tcW w:w="340" w:type="dxa"/>
            <w:vAlign w:val="bottom"/>
            <w:vMerge w:val="continue"/>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(368,352</w:t>
            </w:r>
          </w:p>
        </w:tc>
        <w:tc>
          <w:tcPr>
            <w:tcW w:w="360" w:type="dxa"/>
            <w:vAlign w:val="bottom"/>
            <w:vMerge w:val="continue"/>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Basic and Diluted net loss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61"/>
              <w:spacing w:after="0" w:line="143" w:lineRule="exact"/>
              <w:rPr>
                <w:sz w:val="20"/>
                <w:szCs w:val="20"/>
                <w:color w:val="auto"/>
              </w:rPr>
            </w:pPr>
            <w:r>
              <w:rPr>
                <w:rFonts w:ascii="Arial" w:cs="Arial" w:eastAsia="Arial" w:hAnsi="Arial"/>
                <w:sz w:val="14"/>
                <w:szCs w:val="14"/>
                <w:color w:val="auto"/>
              </w:rPr>
              <w:t>(36.03)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1"/>
              <w:spacing w:after="0" w:line="143" w:lineRule="exact"/>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32"/>
              <w:spacing w:after="0" w:line="143" w:lineRule="exact"/>
              <w:rPr>
                <w:sz w:val="20"/>
                <w:szCs w:val="20"/>
                <w:color w:val="auto"/>
              </w:rPr>
            </w:pPr>
            <w:r>
              <w:rPr>
                <w:rFonts w:ascii="Arial" w:cs="Arial" w:eastAsia="Arial" w:hAnsi="Arial"/>
                <w:sz w:val="14"/>
                <w:szCs w:val="14"/>
                <w:color w:val="auto"/>
              </w:rPr>
              <w:t>(32.73)</w:t>
            </w:r>
          </w:p>
        </w:tc>
        <w:tc>
          <w:tcPr>
            <w:tcW w:w="50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73"/>
        </w:trPr>
        <w:tc>
          <w:tcPr>
            <w:tcW w:w="4140" w:type="dxa"/>
            <w:vAlign w:val="bottom"/>
          </w:tcPr>
          <w:p>
            <w:pPr>
              <w:spacing w:after="0"/>
              <w:rPr>
                <w:sz w:val="20"/>
                <w:szCs w:val="20"/>
                <w:color w:val="auto"/>
              </w:rPr>
            </w:pPr>
            <w:r>
              <w:rPr>
                <w:rFonts w:ascii="Arial" w:cs="Arial" w:eastAsia="Arial" w:hAnsi="Arial"/>
                <w:sz w:val="14"/>
                <w:szCs w:val="14"/>
                <w:color w:val="auto"/>
              </w:rPr>
              <w:t>Basic and Diluted weighted-average common shares outstanding</w:t>
            </w:r>
          </w:p>
        </w:tc>
        <w:tc>
          <w:tcPr>
            <w:tcW w:w="80" w:type="dxa"/>
            <w:vAlign w:val="bottom"/>
          </w:tcPr>
          <w:p>
            <w:pPr>
              <w:spacing w:after="0"/>
              <w:rPr>
                <w:sz w:val="15"/>
                <w:szCs w:val="15"/>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w w:val="82"/>
              </w:rPr>
              <w:t>11,244,365</w:t>
            </w:r>
          </w:p>
        </w:tc>
        <w:tc>
          <w:tcPr>
            <w:tcW w:w="80" w:type="dxa"/>
            <w:vAlign w:val="bottom"/>
          </w:tcPr>
          <w:p>
            <w:pPr>
              <w:spacing w:after="0"/>
              <w:rPr>
                <w:sz w:val="15"/>
                <w:szCs w:val="15"/>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4"/>
                <w:szCs w:val="14"/>
                <w:color w:val="auto"/>
                <w:w w:val="82"/>
              </w:rPr>
              <w:t>11,186,064</w:t>
            </w:r>
          </w:p>
        </w:tc>
        <w:tc>
          <w:tcPr>
            <w:tcW w:w="80" w:type="dxa"/>
            <w:vAlign w:val="bottom"/>
          </w:tcPr>
          <w:p>
            <w:pPr>
              <w:spacing w:after="0"/>
              <w:rPr>
                <w:sz w:val="15"/>
                <w:szCs w:val="15"/>
                <w:color w:val="auto"/>
              </w:rPr>
            </w:pPr>
          </w:p>
        </w:tc>
        <w:tc>
          <w:tcPr>
            <w:tcW w:w="840" w:type="dxa"/>
            <w:vAlign w:val="bottom"/>
            <w:gridSpan w:val="2"/>
          </w:tcPr>
          <w:p>
            <w:pPr>
              <w:jc w:val="right"/>
              <w:ind w:right="292"/>
              <w:spacing w:after="0"/>
              <w:rPr>
                <w:sz w:val="20"/>
                <w:szCs w:val="20"/>
                <w:color w:val="auto"/>
              </w:rPr>
            </w:pPr>
            <w:r>
              <w:rPr>
                <w:rFonts w:ascii="Arial" w:cs="Arial" w:eastAsia="Arial" w:hAnsi="Arial"/>
                <w:sz w:val="14"/>
                <w:szCs w:val="14"/>
                <w:color w:val="auto"/>
              </w:rPr>
              <w:t>58,302</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83" w:lineRule="exact"/>
        <w:rPr>
          <w:sz w:val="20"/>
          <w:szCs w:val="20"/>
          <w:color w:val="auto"/>
        </w:rPr>
      </w:pPr>
    </w:p>
    <w:p>
      <w:pPr>
        <w:ind w:left="360" w:right="379" w:firstLine="331"/>
        <w:spacing w:after="0" w:line="294" w:lineRule="auto"/>
        <w:rPr>
          <w:sz w:val="20"/>
          <w:szCs w:val="20"/>
          <w:color w:val="auto"/>
        </w:rPr>
      </w:pPr>
      <w:r>
        <w:rPr>
          <w:rFonts w:ascii="Arial" w:cs="Arial" w:eastAsia="Arial" w:hAnsi="Arial"/>
          <w:sz w:val="12"/>
          <w:szCs w:val="12"/>
          <w:color w:val="auto"/>
        </w:rPr>
        <w:t>Research and development expenses increased by $9.3 million, or 28%, from $33.1 million in the nine months of 2019 to $42.4 million in the nine months of 2020. The increase primarily resulted from the $3.5 million increase in personnel cost due to the growth in research and development headcount to support the increase of technology development and an increase of $1.1 million in material supplies to support the increase of research and development cell builds in commercial form factor. Additionally, non-cash stock-based compensation expense increased $2.7 million from $2.8 million for the nine months of 2019 to $5.5 million for the nine months of 2020 due to the effect of refresh option grants in June 2019 and retention restricted stock unit (“</w:t>
      </w:r>
      <w:r>
        <w:rPr>
          <w:rFonts w:ascii="Arial" w:cs="Arial" w:eastAsia="Arial" w:hAnsi="Arial"/>
          <w:sz w:val="12"/>
          <w:szCs w:val="12"/>
          <w:u w:val="single" w:color="auto"/>
          <w:color w:val="auto"/>
        </w:rPr>
        <w:t>RSU</w:t>
      </w:r>
      <w:r>
        <w:rPr>
          <w:rFonts w:ascii="Arial" w:cs="Arial" w:eastAsia="Arial" w:hAnsi="Arial"/>
          <w:sz w:val="12"/>
          <w:szCs w:val="12"/>
          <w:color w:val="auto"/>
        </w:rPr>
        <w:t>”) grants to employees in August 2020.</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83" w:lineRule="exact"/>
        <w:rPr>
          <w:sz w:val="20"/>
          <w:szCs w:val="20"/>
          <w:color w:val="auto"/>
        </w:rPr>
      </w:pPr>
    </w:p>
    <w:p>
      <w:pPr>
        <w:ind w:left="360" w:right="519" w:firstLine="331"/>
        <w:spacing w:after="0" w:line="302" w:lineRule="auto"/>
        <w:rPr>
          <w:sz w:val="20"/>
          <w:szCs w:val="20"/>
          <w:color w:val="auto"/>
        </w:rPr>
      </w:pPr>
      <w:r>
        <w:rPr>
          <w:rFonts w:ascii="Arial" w:cs="Arial" w:eastAsia="Arial" w:hAnsi="Arial"/>
          <w:sz w:val="12"/>
          <w:szCs w:val="12"/>
          <w:color w:val="auto"/>
        </w:rPr>
        <w:t>General and administrative expenses increased by $0.8 million, or 11%, from $7.6 million in the nine months of 2019 to $8.5 million in the nine months of 2020, primarily due to the increase of $1.7 million for stock-based compensation in the nine months of 2020 due to the effect of employee refresh option grants in June 2019, option grants to Legacy QuantumScape directors in December 2019 and retention RSU grants to employees in August 2020, offset by reduced professional services fees of $0.7 million.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0" w:name="page11"/>
    <w:bookmarkEnd w:id="10"/>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Interest expense</w:t>
      </w:r>
    </w:p>
    <w:p>
      <w:pPr>
        <w:spacing w:after="0" w:line="83" w:lineRule="exact"/>
        <w:rPr>
          <w:sz w:val="20"/>
          <w:szCs w:val="20"/>
          <w:color w:val="auto"/>
        </w:rPr>
      </w:pPr>
    </w:p>
    <w:p>
      <w:pPr>
        <w:ind w:left="360" w:right="599" w:firstLine="331"/>
        <w:spacing w:after="0" w:line="250" w:lineRule="auto"/>
        <w:rPr>
          <w:sz w:val="20"/>
          <w:szCs w:val="20"/>
          <w:color w:val="auto"/>
        </w:rPr>
      </w:pPr>
      <w:r>
        <w:rPr>
          <w:rFonts w:ascii="Arial" w:cs="Arial" w:eastAsia="Arial" w:hAnsi="Arial"/>
          <w:sz w:val="14"/>
          <w:szCs w:val="14"/>
          <w:color w:val="auto"/>
        </w:rPr>
        <w:t>Interest expense of $8.9 million represents the non-cash mark to market fair value adjustment of the Legacy QuantumScape Preferred Series A and Preferred Series C warrants. The increase in the fair value of the warrants is due to the accretion in the valuation of the underlying convertible preferred stock in contemplation of the Business Combination as of September 30, 2020.</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83" w:lineRule="exact"/>
        <w:rPr>
          <w:sz w:val="20"/>
          <w:szCs w:val="20"/>
          <w:color w:val="auto"/>
        </w:rPr>
      </w:pPr>
    </w:p>
    <w:p>
      <w:pPr>
        <w:ind w:left="360" w:right="599" w:firstLine="331"/>
        <w:spacing w:after="0" w:line="259" w:lineRule="auto"/>
        <w:rPr>
          <w:sz w:val="20"/>
          <w:szCs w:val="20"/>
          <w:color w:val="auto"/>
        </w:rPr>
      </w:pPr>
      <w:r>
        <w:rPr>
          <w:rFonts w:ascii="Arial" w:cs="Arial" w:eastAsia="Arial" w:hAnsi="Arial"/>
          <w:sz w:val="14"/>
          <w:szCs w:val="14"/>
          <w:color w:val="auto"/>
        </w:rPr>
        <w:t>Interest income decreased $2.0 million in the nine months of 2020 compared to the nine months of 2019. The decrease was due to reduction of market interest rate and due to the decrease of our marketable securities balance.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Other Income</w:t>
      </w:r>
    </w:p>
    <w:p>
      <w:pPr>
        <w:spacing w:after="0" w:line="83" w:lineRule="exact"/>
        <w:rPr>
          <w:sz w:val="20"/>
          <w:szCs w:val="20"/>
          <w:color w:val="auto"/>
        </w:rPr>
      </w:pPr>
    </w:p>
    <w:p>
      <w:pPr>
        <w:ind w:left="360" w:right="599" w:firstLine="331"/>
        <w:spacing w:after="0" w:line="259" w:lineRule="auto"/>
        <w:rPr>
          <w:sz w:val="20"/>
          <w:szCs w:val="20"/>
          <w:color w:val="auto"/>
        </w:rPr>
      </w:pPr>
      <w:r>
        <w:rPr>
          <w:rFonts w:ascii="Arial" w:cs="Arial" w:eastAsia="Arial" w:hAnsi="Arial"/>
          <w:sz w:val="14"/>
          <w:szCs w:val="14"/>
          <w:color w:val="auto"/>
        </w:rPr>
        <w:t>Other income for the nine months of 2020 consisted of the receipt for a legal settlement compared to other income for the nine months of 2019 was related to sublease income.</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Other Expense</w:t>
      </w:r>
    </w:p>
    <w:p>
      <w:pPr>
        <w:spacing w:after="0" w:line="83" w:lineRule="exact"/>
        <w:rPr>
          <w:sz w:val="20"/>
          <w:szCs w:val="20"/>
          <w:color w:val="auto"/>
        </w:rPr>
      </w:pPr>
    </w:p>
    <w:p>
      <w:pPr>
        <w:ind w:left="360" w:right="479" w:firstLine="331"/>
        <w:spacing w:after="0" w:line="292" w:lineRule="auto"/>
        <w:rPr>
          <w:sz w:val="20"/>
          <w:szCs w:val="20"/>
          <w:color w:val="auto"/>
        </w:rPr>
      </w:pPr>
      <w:r>
        <w:rPr>
          <w:rFonts w:ascii="Arial" w:cs="Arial" w:eastAsia="Arial" w:hAnsi="Arial"/>
          <w:sz w:val="12"/>
          <w:szCs w:val="12"/>
          <w:color w:val="auto"/>
        </w:rPr>
        <w:t>Other expense of $347.1 million represents the non-cash fair value adjustment of the preferred stock tranche liabilities. In May 2020 and August 2020, we entered into the commitment to sell, and investors commitment to buy, the Preferred Series F redeemable convertible stocks totaling up to $388 million in gross proceeds. Approximately $288.0 million is expected to close by December 1, 2020 and $100.0 million by March 31, 2021, contingent on Legacy QuantumScape’s meeting a technical milestone. The commitments are considered free standing financial instruments and are subject to fair value measurement at issuance and at each reporting period. KCAC’s stock price is a key input into the valuation model of the fair value of the convertible preferred stock tranche liabilities. KCAC’s stock price increased significantly during the quarter ended September 30, 2020 resulting in the increase in the fair value of the liabilities of $347.1 million as of September 30, 2020.</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Liquidity and Capital Resources</w:t>
      </w:r>
    </w:p>
    <w:p>
      <w:pPr>
        <w:spacing w:after="0" w:line="85" w:lineRule="exact"/>
        <w:rPr>
          <w:sz w:val="20"/>
          <w:szCs w:val="20"/>
          <w:color w:val="auto"/>
        </w:rPr>
      </w:pPr>
    </w:p>
    <w:p>
      <w:pPr>
        <w:ind w:left="360" w:right="439" w:firstLine="331"/>
        <w:spacing w:after="0" w:line="312" w:lineRule="auto"/>
        <w:rPr>
          <w:sz w:val="20"/>
          <w:szCs w:val="20"/>
          <w:color w:val="auto"/>
        </w:rPr>
      </w:pPr>
      <w:r>
        <w:rPr>
          <w:rFonts w:ascii="Arial" w:cs="Arial" w:eastAsia="Arial" w:hAnsi="Arial"/>
          <w:sz w:val="12"/>
          <w:szCs w:val="12"/>
          <w:color w:val="auto"/>
        </w:rPr>
        <w:t>Since inception, we have financed our operations primarily from the sales of redeemable convertible preferred stock. As of September 30, 2020, our principal sources of liquidity were our cash and cash equivalents and marketable securities in the amount of $80.0 million. Our cash equivalents are invested primarily in U.S. Treasury money market funds and our marketable securities are primarily invested in U.S. Treasury notes and bonds.</w:t>
      </w:r>
    </w:p>
    <w:p>
      <w:pPr>
        <w:spacing w:after="0" w:line="111" w:lineRule="exact"/>
        <w:rPr>
          <w:sz w:val="20"/>
          <w:szCs w:val="20"/>
          <w:color w:val="auto"/>
        </w:rPr>
      </w:pPr>
    </w:p>
    <w:p>
      <w:pPr>
        <w:ind w:left="360" w:right="499" w:firstLine="331"/>
        <w:spacing w:after="0" w:line="302" w:lineRule="auto"/>
        <w:rPr>
          <w:sz w:val="20"/>
          <w:szCs w:val="20"/>
          <w:color w:val="auto"/>
        </w:rPr>
      </w:pPr>
      <w:r>
        <w:rPr>
          <w:rFonts w:ascii="Arial" w:cs="Arial" w:eastAsia="Arial" w:hAnsi="Arial"/>
          <w:sz w:val="12"/>
          <w:szCs w:val="12"/>
          <w:color w:val="auto"/>
        </w:rPr>
        <w:t>As of the date of this Current Report on Form 8-K, Legacy QuantumScape has yet to generate any revenue from its business operations. To date, Legacy QuantumScape has funded its capital expenditure and working capital requirements through equity as further discussed below. Legacy QuantumScape’s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spacing w:after="0" w:line="117" w:lineRule="exact"/>
        <w:rPr>
          <w:sz w:val="20"/>
          <w:szCs w:val="20"/>
          <w:color w:val="auto"/>
        </w:rPr>
      </w:pPr>
    </w:p>
    <w:p>
      <w:pPr>
        <w:ind w:left="360" w:right="379" w:firstLine="331"/>
        <w:spacing w:after="0" w:line="289" w:lineRule="auto"/>
        <w:rPr>
          <w:sz w:val="20"/>
          <w:szCs w:val="20"/>
          <w:color w:val="auto"/>
        </w:rPr>
      </w:pPr>
      <w:r>
        <w:rPr>
          <w:rFonts w:ascii="Arial" w:cs="Arial" w:eastAsia="Arial" w:hAnsi="Arial"/>
          <w:sz w:val="12"/>
          <w:szCs w:val="12"/>
          <w:color w:val="auto"/>
        </w:rPr>
        <w:t>As of September 30, 2020, Legacy QuantumScape’s cash and cash equivalents and marketable securities amounted to $80.0 million. On a pro forma basis, assuming the stockholder approval, the Closing and the closings of Legacy QuantumScape Series F preferred Stock financing, Legacy QuantumScape’s cash and cash equivalents and marketable securities would have amounted to approximately $1,037 million on September 30, 2020, net of $52 million transaction expenses and $0.2 million redemptions by KCAC’s stockholders. From May 2020 to August 2020, Legacy QuantumScape entered into agreements with existing and new investors to issue 14.7 million shares of Legacy QuantumScape Series F Preferred Stock for an aggregate amount of $388 million in cash. Of this amount $100 million is due to be funded on December 1, 2020, $188 million is due to be funded on the date the Business Combination closes, and the remaining $100 million is subject to completion of a certain technical milestone by the end of the first quarter of 2021. Since the second tranche is expected to be funded after the Closing, QuantumScape will reserve shares of Class A Common Stock to be issued in lieu of Legacy QuantumScape Series F Preferred Stock.</w:t>
      </w:r>
    </w:p>
    <w:p>
      <w:pPr>
        <w:spacing w:after="0" w:line="128" w:lineRule="exact"/>
        <w:rPr>
          <w:sz w:val="20"/>
          <w:szCs w:val="20"/>
          <w:color w:val="auto"/>
        </w:rPr>
      </w:pPr>
    </w:p>
    <w:p>
      <w:pPr>
        <w:ind w:left="360" w:right="419" w:firstLine="331"/>
        <w:spacing w:after="0" w:line="289" w:lineRule="auto"/>
        <w:rPr>
          <w:sz w:val="20"/>
          <w:szCs w:val="20"/>
          <w:color w:val="auto"/>
        </w:rPr>
      </w:pPr>
      <w:r>
        <w:rPr>
          <w:rFonts w:ascii="Arial" w:cs="Arial" w:eastAsia="Arial" w:hAnsi="Arial"/>
          <w:sz w:val="12"/>
          <w:szCs w:val="12"/>
          <w:color w:val="auto"/>
        </w:rPr>
        <w:t>Legacy QuantumScape expects its capital expenditures and working capital requirements to increase materially in the near future, as it seeks to accelerate its research and development efforts and scale up the phase 1 pilot production operations with its joint venture partner. QuantumScape believes that its cash on hand following the Closing, including the net proceeds from KCAC’s cash in trust, the PIPE and Legacy QuantumScape Series F Preferred Stock financing will be sufficient to meet its working capital and capital expenditure requirements for a period of at least twelve months from the date of this Current Report on Form 8-K and sufficient to fund its operations until it commences production of the Legacy QuantumScape solid-state battery through the first commercial sales, assuming Legacy QuantumScape is able to do so as currently contemplated. Legacy QuantumScape may, however, need additional cash resources due to changed business conditions or other developments, including unanticipated delays in negotiations with OEMs and tier-one automotive suppliers or other suppliers, supply chain challenges, disruptions due to the COVID-19 pandemic, competitive pressures, and regulatory developments, among other developments. To the extent that Legacy QuantumScape’s current resources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11" w:name="page12"/>
    <w:bookmarkEnd w:id="11"/>
    <w:p>
      <w:pPr>
        <w:ind w:left="360" w:right="45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are insufficient to satisfy its cash requirements, Legacy QuantumScape may need to seek additional equity or debt financing. If the financing is not available, or if the terms of financing are less desirable than Legacy QuantumScape expects, Legacy QuantumScape may be forced to decrease its level of investment in product development or scale back its operations, which could have an adverse impact on its business and financial prospects.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provides a summary of Legacy QuantumScape’s cash flow data for the periods indicated:</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40" w:type="dxa"/>
            <w:vAlign w:val="bottom"/>
            <w:gridSpan w:val="5"/>
          </w:tcPr>
          <w:p>
            <w:pPr>
              <w:jc w:val="right"/>
              <w:ind w:right="260"/>
              <w:spacing w:after="0"/>
              <w:rPr>
                <w:sz w:val="20"/>
                <w:szCs w:val="20"/>
                <w:color w:val="auto"/>
              </w:rPr>
            </w:pPr>
            <w:r>
              <w:rPr>
                <w:rFonts w:ascii="Arial" w:cs="Arial" w:eastAsia="Arial" w:hAnsi="Arial"/>
                <w:sz w:val="11"/>
                <w:szCs w:val="11"/>
                <w:b w:val="1"/>
                <w:bCs w:val="1"/>
                <w:color w:val="auto"/>
              </w:rPr>
              <w:t>Nine Months Ended</w:t>
            </w:r>
          </w:p>
        </w:tc>
      </w:tr>
      <w:tr>
        <w:trPr>
          <w:trHeight w:val="112"/>
        </w:trPr>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40" w:type="dxa"/>
            <w:vAlign w:val="bottom"/>
            <w:gridSpan w:val="5"/>
          </w:tcPr>
          <w:p>
            <w:pPr>
              <w:jc w:val="right"/>
              <w:ind w:right="400"/>
              <w:spacing w:after="0" w:line="112" w:lineRule="exact"/>
              <w:rPr>
                <w:sz w:val="20"/>
                <w:szCs w:val="20"/>
                <w:color w:val="auto"/>
              </w:rPr>
            </w:pPr>
            <w:r>
              <w:rPr>
                <w:rFonts w:ascii="Arial" w:cs="Arial" w:eastAsia="Arial" w:hAnsi="Arial"/>
                <w:sz w:val="11"/>
                <w:szCs w:val="11"/>
                <w:b w:val="1"/>
                <w:bCs w:val="1"/>
                <w:color w:val="auto"/>
              </w:rPr>
              <w:t>September 30</w:t>
            </w:r>
          </w:p>
        </w:tc>
      </w:tr>
      <w:tr>
        <w:trPr>
          <w:trHeight w:val="129"/>
        </w:trPr>
        <w:tc>
          <w:tcPr>
            <w:tcW w:w="3840" w:type="dxa"/>
            <w:vAlign w:val="bottom"/>
          </w:tcPr>
          <w:p>
            <w:pPr>
              <w:spacing w:after="0"/>
              <w:rPr>
                <w:sz w:val="11"/>
                <w:szCs w:val="11"/>
                <w:color w:val="auto"/>
              </w:rPr>
            </w:pPr>
          </w:p>
        </w:tc>
        <w:tc>
          <w:tcPr>
            <w:tcW w:w="160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2020</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1"/>
                <w:szCs w:val="11"/>
                <w:color w:val="auto"/>
              </w:rPr>
            </w:pPr>
          </w:p>
        </w:tc>
      </w:tr>
      <w:tr>
        <w:trPr>
          <w:trHeight w:val="142"/>
        </w:trPr>
        <w:tc>
          <w:tcPr>
            <w:tcW w:w="38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i w:val="1"/>
                <w:iCs w:val="1"/>
                <w:color w:val="auto"/>
              </w:rPr>
              <w:t>Amount in thousands</w:t>
            </w:r>
          </w:p>
        </w:tc>
        <w:tc>
          <w:tcPr>
            <w:tcW w:w="1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384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$(34,114)</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$(30,587)</w:t>
            </w:r>
          </w:p>
        </w:tc>
      </w:tr>
      <w:tr>
        <w:trPr>
          <w:trHeight w:val="162"/>
        </w:trPr>
        <w:tc>
          <w:tcPr>
            <w:tcW w:w="384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investing activities</w:t>
            </w:r>
          </w:p>
        </w:tc>
        <w:tc>
          <w:tcPr>
            <w:tcW w:w="1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23,455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26,123</w:t>
            </w:r>
          </w:p>
        </w:tc>
      </w:tr>
      <w:tr>
        <w:trPr>
          <w:trHeight w:val="175"/>
        </w:trPr>
        <w:tc>
          <w:tcPr>
            <w:tcW w:w="384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(2,171)</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266</w:t>
            </w:r>
          </w:p>
        </w:tc>
      </w:tr>
    </w:tbl>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 from Operating Activities</w:t>
      </w:r>
    </w:p>
    <w:p>
      <w:pPr>
        <w:spacing w:after="0" w:line="83" w:lineRule="exact"/>
        <w:rPr>
          <w:sz w:val="20"/>
          <w:szCs w:val="20"/>
          <w:color w:val="auto"/>
        </w:rPr>
      </w:pPr>
    </w:p>
    <w:p>
      <w:pPr>
        <w:jc w:val="both"/>
        <w:ind w:left="360" w:right="379" w:firstLine="331"/>
        <w:spacing w:after="0" w:line="302" w:lineRule="auto"/>
        <w:rPr>
          <w:sz w:val="20"/>
          <w:szCs w:val="20"/>
          <w:color w:val="auto"/>
        </w:rPr>
      </w:pPr>
      <w:r>
        <w:rPr>
          <w:rFonts w:ascii="Arial" w:cs="Arial" w:eastAsia="Arial" w:hAnsi="Arial"/>
          <w:sz w:val="12"/>
          <w:szCs w:val="12"/>
          <w:color w:val="auto"/>
        </w:rPr>
        <w:t>Legacy QuantumScape’s cash flows used in operating activities to date have been primarily comprised of payroll, material and supplies, facilities expense, and professional service related to research and development and general and administrative activities. As Legacy QuantumScape continues to ramp up hiring for technical headcounts to accelerate its engineering efforts ahead of starting the pilot line operations, Legacy QuantumScape expects its cash used in operating activities to increase significantly before it starts to generate any material cash flows from its business.</w:t>
      </w:r>
    </w:p>
    <w:p>
      <w:pPr>
        <w:spacing w:after="0" w:line="117" w:lineRule="exact"/>
        <w:rPr>
          <w:sz w:val="20"/>
          <w:szCs w:val="20"/>
          <w:color w:val="auto"/>
        </w:rPr>
      </w:pPr>
    </w:p>
    <w:p>
      <w:pPr>
        <w:ind w:left="360" w:right="499" w:firstLine="331"/>
        <w:spacing w:after="0" w:line="246" w:lineRule="auto"/>
        <w:rPr>
          <w:sz w:val="20"/>
          <w:szCs w:val="20"/>
          <w:color w:val="auto"/>
        </w:rPr>
      </w:pPr>
      <w:r>
        <w:rPr>
          <w:rFonts w:ascii="Arial" w:cs="Arial" w:eastAsia="Arial" w:hAnsi="Arial"/>
          <w:sz w:val="14"/>
          <w:szCs w:val="14"/>
          <w:color w:val="auto"/>
        </w:rPr>
        <w:t>Net cash used in operating activities was $34.1 million in the nine months of 2020. The most significant component of Legacy QuantumScape’s cash used during the nine month period ended September 30, 2020 was a net loss of $405.2 million, which included non-cash expenses of $5.2 million related to depreciation and amortization, $9.3 million related to stock based compensation, $8.9 million for the change in the fair value of outstanding convertible preferred stock warrants, and $347.1 million for the issuance and change in the fair value of the convertible preferred stock tranche liabilities.</w:t>
      </w:r>
    </w:p>
    <w:p>
      <w:pPr>
        <w:spacing w:after="0" w:line="149" w:lineRule="exact"/>
        <w:rPr>
          <w:sz w:val="20"/>
          <w:szCs w:val="20"/>
          <w:color w:val="auto"/>
        </w:rPr>
      </w:pPr>
    </w:p>
    <w:p>
      <w:pPr>
        <w:jc w:val="both"/>
        <w:ind w:left="360" w:right="519" w:firstLine="331"/>
        <w:spacing w:after="0" w:line="312" w:lineRule="auto"/>
        <w:rPr>
          <w:sz w:val="20"/>
          <w:szCs w:val="20"/>
          <w:color w:val="auto"/>
        </w:rPr>
      </w:pPr>
      <w:r>
        <w:rPr>
          <w:rFonts w:ascii="Arial" w:cs="Arial" w:eastAsia="Arial" w:hAnsi="Arial"/>
          <w:sz w:val="12"/>
          <w:szCs w:val="12"/>
          <w:color w:val="auto"/>
        </w:rPr>
        <w:t>Net cash used in operating activities was $30.6 million in the nine months of 2019. The most significant component of Legacy QuantumScape’s cash used during the nine months period ended September 30, 2019 was a net loss of $37.0 million, which included non-cash expenses of $3.8 million related to depreciation and amortization and $4.8 million related to stock based compensation.</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 from Investing Activities</w:t>
      </w:r>
    </w:p>
    <w:p>
      <w:pPr>
        <w:spacing w:after="0" w:line="83" w:lineRule="exact"/>
        <w:rPr>
          <w:sz w:val="20"/>
          <w:szCs w:val="20"/>
          <w:color w:val="auto"/>
        </w:rPr>
      </w:pPr>
    </w:p>
    <w:p>
      <w:pPr>
        <w:ind w:left="360" w:right="399" w:firstLine="331"/>
        <w:spacing w:after="0" w:line="247" w:lineRule="auto"/>
        <w:rPr>
          <w:sz w:val="20"/>
          <w:szCs w:val="20"/>
          <w:color w:val="auto"/>
        </w:rPr>
      </w:pPr>
      <w:r>
        <w:rPr>
          <w:rFonts w:ascii="Arial" w:cs="Arial" w:eastAsia="Arial" w:hAnsi="Arial"/>
          <w:sz w:val="14"/>
          <w:szCs w:val="14"/>
          <w:color w:val="auto"/>
        </w:rPr>
        <w:t>Legacy QuantumScape’s cash flows from investing activities, to date, have been comprised of purchases of property and equipment and purchases and maturities of our marketable securities. Legacy QuantumScape expects the costs to acquire property and equipment to increase substantially in the near future as it needs to fully build out its engineering lines as well as acquire the property and equipment for the pilot line of the separator and cell manufacturing operations.</w:t>
      </w:r>
    </w:p>
    <w:p>
      <w:pPr>
        <w:spacing w:after="0" w:line="149" w:lineRule="exact"/>
        <w:rPr>
          <w:sz w:val="20"/>
          <w:szCs w:val="20"/>
          <w:color w:val="auto"/>
        </w:rPr>
      </w:pPr>
    </w:p>
    <w:p>
      <w:pPr>
        <w:ind w:left="360" w:right="379" w:firstLine="331"/>
        <w:spacing w:after="0" w:line="250" w:lineRule="auto"/>
        <w:rPr>
          <w:sz w:val="20"/>
          <w:szCs w:val="20"/>
          <w:color w:val="auto"/>
        </w:rPr>
      </w:pPr>
      <w:r>
        <w:rPr>
          <w:rFonts w:ascii="Arial" w:cs="Arial" w:eastAsia="Arial" w:hAnsi="Arial"/>
          <w:sz w:val="14"/>
          <w:szCs w:val="14"/>
          <w:color w:val="auto"/>
        </w:rPr>
        <w:t>Legacy QuantumScape net cash provided by investing activities was $23.5 million in the nine months of 2020 compared to $26.1 million for the nine months of 2019. Cash used for property and equipment purchases in the nine months of 2020 was $13.9 million, a significant increase over the $5.7 million of cash used for equipment purchases in the nine months of 2019.</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Cash Flows from Financing Activities</w:t>
      </w:r>
    </w:p>
    <w:p>
      <w:pPr>
        <w:spacing w:after="0" w:line="83" w:lineRule="exact"/>
        <w:rPr>
          <w:sz w:val="20"/>
          <w:szCs w:val="20"/>
          <w:color w:val="auto"/>
        </w:rPr>
      </w:pPr>
    </w:p>
    <w:p>
      <w:pPr>
        <w:ind w:left="360" w:right="459" w:firstLine="331"/>
        <w:spacing w:after="0" w:line="247" w:lineRule="auto"/>
        <w:rPr>
          <w:sz w:val="20"/>
          <w:szCs w:val="20"/>
          <w:color w:val="auto"/>
        </w:rPr>
      </w:pPr>
      <w:r>
        <w:rPr>
          <w:rFonts w:ascii="Arial" w:cs="Arial" w:eastAsia="Arial" w:hAnsi="Arial"/>
          <w:sz w:val="14"/>
          <w:szCs w:val="14"/>
          <w:color w:val="auto"/>
        </w:rPr>
        <w:t>Through September 30, 2020, Legacy QuantumScape has financed its operations primarily through the sale of equity securities. In addition, Legacy QuantumScape has entered into agreements for the sale of Legacy QuantumScape Series F Preferred Stock for $388 million (before fees and expenses) in gross proceeds, of which the purchase commitment for $100 million is subject to completion of a certain technical milestone by the end of the first quarter of 2021.</w:t>
      </w:r>
    </w:p>
    <w:p>
      <w:pPr>
        <w:spacing w:after="0" w:line="149" w:lineRule="exact"/>
        <w:rPr>
          <w:sz w:val="20"/>
          <w:szCs w:val="20"/>
          <w:color w:val="auto"/>
        </w:rPr>
      </w:pPr>
    </w:p>
    <w:p>
      <w:pPr>
        <w:ind w:left="360" w:right="399" w:firstLine="331"/>
        <w:spacing w:after="0" w:line="250" w:lineRule="auto"/>
        <w:rPr>
          <w:sz w:val="20"/>
          <w:szCs w:val="20"/>
          <w:color w:val="auto"/>
        </w:rPr>
      </w:pPr>
      <w:r>
        <w:rPr>
          <w:rFonts w:ascii="Arial" w:cs="Arial" w:eastAsia="Arial" w:hAnsi="Arial"/>
          <w:sz w:val="14"/>
          <w:szCs w:val="14"/>
          <w:color w:val="auto"/>
        </w:rPr>
        <w:t>Net cash used in financing activities was $2.2 million in the nine months of 2020 compared to $0.3 million provided in the nine months 2019. The net cash used during the nine months of 2020 was due the payment of fees associated with the Business Combination and Legacy QuantumScape’s preferred Series F financing of $2.5 million.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12" w:name="page13"/>
    <w:bookmarkEnd w:id="12"/>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Contractual Obligations and Commitments</w:t>
      </w:r>
    </w:p>
    <w:p>
      <w:pPr>
        <w:spacing w:after="0" w:line="85" w:lineRule="exact"/>
        <w:rPr>
          <w:sz w:val="20"/>
          <w:szCs w:val="20"/>
          <w:color w:val="auto"/>
        </w:rPr>
      </w:pPr>
    </w:p>
    <w:p>
      <w:pPr>
        <w:ind w:left="360" w:right="439" w:firstLine="331"/>
        <w:spacing w:after="0" w:line="246" w:lineRule="auto"/>
        <w:rPr>
          <w:sz w:val="20"/>
          <w:szCs w:val="20"/>
          <w:color w:val="auto"/>
        </w:rPr>
      </w:pPr>
      <w:r>
        <w:rPr>
          <w:rFonts w:ascii="Arial" w:cs="Arial" w:eastAsia="Arial" w:hAnsi="Arial"/>
          <w:sz w:val="14"/>
          <w:szCs w:val="14"/>
          <w:color w:val="auto"/>
        </w:rPr>
        <w:t>Legacy QuantumScape currently leases its headquarters space in the San Jose, California area under a single lease classified as an operating lease expiring on January 23, 2023. The lease contains provision for an extension of 60 months. Legacy QuantumScape has not commenced the lease extension negotiation yet and expects to do so prior to the expiration of its existing lease. However, as the exercise of the option was reasonably certain, the option period has been included in the calculation of right of use and lease liability at the adoption date of January 1, 2019 as well as the obligations table below.</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following table summarizes Legacy QuantumScape’s contractual obligations and other commitments for cash expenditures as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September 30, 2020 and the years in which these obligations are due:</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tcPr>
          <w:p>
            <w:pPr>
              <w:ind w:left="180"/>
              <w:spacing w:after="0"/>
              <w:rPr>
                <w:sz w:val="20"/>
                <w:szCs w:val="20"/>
                <w:color w:val="auto"/>
              </w:rPr>
            </w:pPr>
            <w:r>
              <w:rPr>
                <w:rFonts w:ascii="Arial" w:cs="Arial" w:eastAsia="Arial" w:hAnsi="Arial"/>
                <w:sz w:val="11"/>
                <w:szCs w:val="11"/>
                <w:b w:val="1"/>
                <w:bCs w:val="1"/>
                <w:color w:val="auto"/>
              </w:rPr>
              <w:t>Payments Due by Period</w:t>
            </w: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1"/>
              </w:rPr>
              <w:t>Less than</w:t>
            </w: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More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1"/>
              </w:rPr>
              <w:t>1-3 Years</w:t>
            </w:r>
          </w:p>
        </w:tc>
        <w:tc>
          <w:tcPr>
            <w:tcW w:w="200" w:type="dxa"/>
            <w:vAlign w:val="bottom"/>
          </w:tcPr>
          <w:p>
            <w:pPr>
              <w:spacing w:after="0"/>
              <w:rPr>
                <w:sz w:val="9"/>
                <w:szCs w:val="9"/>
                <w:color w:val="auto"/>
              </w:rPr>
            </w:pPr>
          </w:p>
        </w:tc>
        <w:tc>
          <w:tcPr>
            <w:tcW w:w="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3-5 Years</w:t>
            </w:r>
          </w:p>
        </w:tc>
        <w:tc>
          <w:tcPr>
            <w:tcW w:w="100" w:type="dxa"/>
            <w:vAlign w:val="bottom"/>
          </w:tcPr>
          <w:p>
            <w:pPr>
              <w:spacing w:after="0"/>
              <w:rPr>
                <w:sz w:val="9"/>
                <w:szCs w:val="9"/>
                <w:color w:val="auto"/>
              </w:rPr>
            </w:pPr>
          </w:p>
        </w:tc>
        <w:tc>
          <w:tcPr>
            <w:tcW w:w="420" w:type="dxa"/>
            <w:vAlign w:val="bottom"/>
            <w:gridSpan w:val="2"/>
          </w:tcPr>
          <w:p>
            <w:pPr>
              <w:jc w:val="center"/>
              <w:ind w:right="20"/>
              <w:spacing w:after="0" w:line="112" w:lineRule="exact"/>
              <w:rPr>
                <w:sz w:val="20"/>
                <w:szCs w:val="20"/>
                <w:color w:val="auto"/>
              </w:rPr>
            </w:pPr>
            <w:r>
              <w:rPr>
                <w:rFonts w:ascii="Arial" w:cs="Arial" w:eastAsia="Arial" w:hAnsi="Arial"/>
                <w:sz w:val="11"/>
                <w:szCs w:val="11"/>
                <w:b w:val="1"/>
                <w:bCs w:val="1"/>
                <w:color w:val="auto"/>
                <w:w w:val="85"/>
              </w:rPr>
              <w:t>than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84"/>
              </w:rPr>
              <w:t>1 Year</w:t>
            </w:r>
          </w:p>
        </w:tc>
        <w:tc>
          <w:tcPr>
            <w:tcW w:w="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4"/>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Contractual Obligations</w:t>
            </w:r>
          </w:p>
        </w:tc>
        <w:tc>
          <w:tcPr>
            <w:tcW w:w="19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Arial" w:cs="Arial" w:eastAsia="Arial" w:hAnsi="Arial"/>
                <w:sz w:val="14"/>
                <w:szCs w:val="14"/>
                <w:color w:val="auto"/>
              </w:rPr>
              <w:t>Operating lease</w:t>
            </w:r>
          </w:p>
        </w:tc>
        <w:tc>
          <w:tcPr>
            <w:tcW w:w="196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17,927</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1,994</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$ 4,168</w:t>
            </w:r>
          </w:p>
        </w:tc>
        <w:tc>
          <w:tcPr>
            <w:tcW w:w="720" w:type="dxa"/>
            <w:vAlign w:val="bottom"/>
            <w:gridSpan w:val="3"/>
          </w:tcPr>
          <w:p>
            <w:pPr>
              <w:ind w:left="200"/>
              <w:spacing w:after="0"/>
              <w:rPr>
                <w:sz w:val="20"/>
                <w:szCs w:val="20"/>
                <w:color w:val="auto"/>
              </w:rPr>
            </w:pPr>
            <w:r>
              <w:rPr>
                <w:rFonts w:ascii="Arial" w:cs="Arial" w:eastAsia="Arial" w:hAnsi="Arial"/>
                <w:sz w:val="14"/>
                <w:szCs w:val="14"/>
                <w:color w:val="auto"/>
              </w:rPr>
              <w:t>$ 4,619</w:t>
            </w:r>
          </w:p>
        </w:tc>
        <w:tc>
          <w:tcPr>
            <w:tcW w:w="520" w:type="dxa"/>
            <w:vAlign w:val="bottom"/>
            <w:gridSpan w:val="3"/>
          </w:tcPr>
          <w:p>
            <w:pPr>
              <w:jc w:val="center"/>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7,146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19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17,927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1,994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$ 4,168</w:t>
            </w:r>
          </w:p>
        </w:tc>
        <w:tc>
          <w:tcPr>
            <w:tcW w:w="7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$ 4,619</w:t>
            </w: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7,146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There have been no material changes since December 31, 2019.</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Off-Balance Sheet Arrangements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QuantumScape is not a party to any off-balance sheet arrangements, as defined under SEC rules.</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85" w:lineRule="exact"/>
        <w:rPr>
          <w:sz w:val="20"/>
          <w:szCs w:val="20"/>
          <w:color w:val="auto"/>
        </w:rPr>
      </w:pPr>
    </w:p>
    <w:p>
      <w:pPr>
        <w:ind w:left="360" w:right="399" w:firstLine="331"/>
        <w:spacing w:after="0" w:line="247" w:lineRule="auto"/>
        <w:rPr>
          <w:sz w:val="20"/>
          <w:szCs w:val="20"/>
          <w:color w:val="auto"/>
        </w:rPr>
      </w:pPr>
      <w:r>
        <w:rPr>
          <w:rFonts w:ascii="Arial" w:cs="Arial" w:eastAsia="Arial" w:hAnsi="Arial"/>
          <w:sz w:val="14"/>
          <w:szCs w:val="14"/>
          <w:color w:val="auto"/>
        </w:rPr>
        <w:t>Legacy QuantumScape’s financial statements have been prepared in accordance with GAAP. In the preparation of these financial statements, Legacy QuantumScape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49" w:lineRule="exact"/>
        <w:rPr>
          <w:sz w:val="20"/>
          <w:szCs w:val="20"/>
          <w:color w:val="auto"/>
        </w:rPr>
      </w:pPr>
    </w:p>
    <w:p>
      <w:pPr>
        <w:ind w:left="360" w:right="399" w:firstLine="331"/>
        <w:spacing w:after="0" w:line="297" w:lineRule="auto"/>
        <w:rPr>
          <w:sz w:val="20"/>
          <w:szCs w:val="20"/>
          <w:color w:val="auto"/>
        </w:rPr>
      </w:pPr>
      <w:r>
        <w:rPr>
          <w:rFonts w:ascii="Arial" w:cs="Arial" w:eastAsia="Arial" w:hAnsi="Arial"/>
          <w:sz w:val="12"/>
          <w:szCs w:val="12"/>
          <w:color w:val="auto"/>
        </w:rPr>
        <w:t>Legacy QuantumScape considers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Legacy QuantumScape’s significant accounting policies are described in Note 2 to its audited consolidated financial statements included elsewhere in this proxy statement/prospectus/information statement. Legacy QuantumScape has the critical accounting policies and estimates which are described below.</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Stock-Based Compensation and Common Stock Valuation</w:t>
      </w:r>
    </w:p>
    <w:p>
      <w:pPr>
        <w:spacing w:after="0" w:line="83" w:lineRule="exact"/>
        <w:rPr>
          <w:sz w:val="20"/>
          <w:szCs w:val="20"/>
          <w:color w:val="auto"/>
        </w:rPr>
      </w:pPr>
    </w:p>
    <w:p>
      <w:pPr>
        <w:ind w:left="360" w:right="419" w:firstLine="331"/>
        <w:spacing w:after="0" w:line="302" w:lineRule="auto"/>
        <w:rPr>
          <w:sz w:val="20"/>
          <w:szCs w:val="20"/>
          <w:color w:val="auto"/>
        </w:rPr>
      </w:pPr>
      <w:r>
        <w:rPr>
          <w:rFonts w:ascii="Arial" w:cs="Arial" w:eastAsia="Arial" w:hAnsi="Arial"/>
          <w:sz w:val="12"/>
          <w:szCs w:val="12"/>
          <w:color w:val="auto"/>
        </w:rPr>
        <w:t>Legacy QuantumScape recognizes the cost of share-based awards granted to employees and directors based on the estimated grant-date fair value of the awards. Cost is recognized on a straight-line basis over the service period, which is generally the vesting period of the award. Legacy QuantumScape reverses previously recognized costs for unvested options in the period that forfeitures occur. Legacy QuantumScape determines the fair value of stock options using the Black-Scholes option pricing model, which is impacted by the following assumptions:</w:t>
      </w:r>
    </w:p>
    <w:p>
      <w:pPr>
        <w:spacing w:after="0" w:line="46" w:lineRule="exact"/>
        <w:rPr>
          <w:sz w:val="20"/>
          <w:szCs w:val="20"/>
          <w:color w:val="auto"/>
        </w:rPr>
      </w:pPr>
    </w:p>
    <w:p>
      <w:pPr>
        <w:ind w:left="1420" w:right="899" w:hanging="235"/>
        <w:spacing w:after="0" w:line="259" w:lineRule="auto"/>
        <w:tabs>
          <w:tab w:leader="none" w:pos="14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Expected Term</w:t>
      </w:r>
      <w:r>
        <w:rPr>
          <w:rFonts w:ascii="Arial" w:cs="Arial" w:eastAsia="Arial" w:hAnsi="Arial"/>
          <w:sz w:val="14"/>
          <w:szCs w:val="14"/>
          <w:color w:val="auto"/>
        </w:rPr>
        <w:t>— Legacy QuantumScape uses the simplified method when calculating the expected term due to insufficient</w:t>
      </w:r>
      <w:r>
        <w:rPr>
          <w:rFonts w:ascii="Arial" w:cs="Arial" w:eastAsia="Arial" w:hAnsi="Arial"/>
          <w:sz w:val="14"/>
          <w:szCs w:val="14"/>
          <w:i w:val="1"/>
          <w:iCs w:val="1"/>
          <w:color w:val="auto"/>
        </w:rPr>
        <w:t xml:space="preserve"> </w:t>
      </w:r>
      <w:r>
        <w:rPr>
          <w:rFonts w:ascii="Arial" w:cs="Arial" w:eastAsia="Arial" w:hAnsi="Arial"/>
          <w:sz w:val="14"/>
          <w:szCs w:val="14"/>
          <w:color w:val="auto"/>
        </w:rPr>
        <w:t>historical exercise data.</w:t>
      </w:r>
    </w:p>
    <w:p>
      <w:pPr>
        <w:spacing w:after="0" w:line="68" w:lineRule="exact"/>
        <w:rPr>
          <w:rFonts w:ascii="Arial" w:cs="Arial" w:eastAsia="Arial" w:hAnsi="Arial"/>
          <w:sz w:val="14"/>
          <w:szCs w:val="14"/>
          <w:color w:val="auto"/>
        </w:rPr>
      </w:pPr>
    </w:p>
    <w:p>
      <w:pPr>
        <w:ind w:left="1420" w:right="1019" w:hanging="235"/>
        <w:spacing w:after="0" w:line="259" w:lineRule="auto"/>
        <w:tabs>
          <w:tab w:leader="none" w:pos="14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—As Legacy QuantumScape’s shares are not actively traded, the volatility is based on a benchmark of</w:t>
      </w:r>
      <w:r>
        <w:rPr>
          <w:rFonts w:ascii="Arial" w:cs="Arial" w:eastAsia="Arial" w:hAnsi="Arial"/>
          <w:sz w:val="14"/>
          <w:szCs w:val="14"/>
          <w:i w:val="1"/>
          <w:iCs w:val="1"/>
          <w:color w:val="auto"/>
        </w:rPr>
        <w:t xml:space="preserve"> </w:t>
      </w:r>
      <w:r>
        <w:rPr>
          <w:rFonts w:ascii="Arial" w:cs="Arial" w:eastAsia="Arial" w:hAnsi="Arial"/>
          <w:sz w:val="14"/>
          <w:szCs w:val="14"/>
          <w:color w:val="auto"/>
        </w:rPr>
        <w:t>comparable companies within the automotive and energy storage industries.</w:t>
      </w:r>
    </w:p>
    <w:p>
      <w:pPr>
        <w:spacing w:after="0" w:line="68" w:lineRule="exact"/>
        <w:rPr>
          <w:rFonts w:ascii="Arial" w:cs="Arial" w:eastAsia="Arial" w:hAnsi="Arial"/>
          <w:sz w:val="14"/>
          <w:szCs w:val="14"/>
          <w:color w:val="auto"/>
        </w:rPr>
      </w:pPr>
    </w:p>
    <w:p>
      <w:pPr>
        <w:ind w:left="1420" w:right="499" w:hanging="235"/>
        <w:spacing w:after="0" w:line="259" w:lineRule="auto"/>
        <w:tabs>
          <w:tab w:leader="none" w:pos="14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Expected Dividend Yield</w:t>
      </w:r>
      <w:r>
        <w:rPr>
          <w:rFonts w:ascii="Arial" w:cs="Arial" w:eastAsia="Arial" w:hAnsi="Arial"/>
          <w:sz w:val="14"/>
          <w:szCs w:val="14"/>
          <w:color w:val="auto"/>
        </w:rPr>
        <w:t>—The dividend rate used is zero as Legacy QuantumScape has never paid any cash dividends on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 and does not anticipate doing so in the foreseeable future.</w:t>
      </w:r>
    </w:p>
    <w:p>
      <w:pPr>
        <w:spacing w:after="0" w:line="68" w:lineRule="exact"/>
        <w:rPr>
          <w:rFonts w:ascii="Arial" w:cs="Arial" w:eastAsia="Arial" w:hAnsi="Arial"/>
          <w:sz w:val="14"/>
          <w:szCs w:val="14"/>
          <w:color w:val="auto"/>
        </w:rPr>
      </w:pPr>
    </w:p>
    <w:p>
      <w:pPr>
        <w:ind w:left="1420" w:right="519" w:hanging="235"/>
        <w:spacing w:after="0" w:line="259" w:lineRule="auto"/>
        <w:tabs>
          <w:tab w:leader="none" w:pos="14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interest rates used are based on the implied yield available on U.S. Treasury zero-coupon issues with</w:t>
      </w:r>
      <w:r>
        <w:rPr>
          <w:rFonts w:ascii="Arial" w:cs="Arial" w:eastAsia="Arial" w:hAnsi="Arial"/>
          <w:sz w:val="14"/>
          <w:szCs w:val="14"/>
          <w:i w:val="1"/>
          <w:iCs w:val="1"/>
          <w:color w:val="auto"/>
        </w:rPr>
        <w:t xml:space="preserve"> </w:t>
      </w:r>
      <w:r>
        <w:rPr>
          <w:rFonts w:ascii="Arial" w:cs="Arial" w:eastAsia="Arial" w:hAnsi="Arial"/>
          <w:sz w:val="14"/>
          <w:szCs w:val="14"/>
          <w:color w:val="auto"/>
        </w:rPr>
        <w:t>an equivalent remaining term equal to the expected life of the award.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38" w:right="1440" w:bottom="1440" w:gutter="0" w:footer="0" w:header="0"/>
        </w:sectPr>
      </w:pPr>
    </w:p>
    <w:bookmarkStart w:id="13" w:name="page14"/>
    <w:bookmarkEnd w:id="13"/>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Common Stock Valuations</w:t>
      </w:r>
    </w:p>
    <w:p>
      <w:pPr>
        <w:spacing w:after="0" w:line="83" w:lineRule="exact"/>
        <w:rPr>
          <w:sz w:val="20"/>
          <w:szCs w:val="20"/>
          <w:color w:val="auto"/>
        </w:rPr>
      </w:pPr>
    </w:p>
    <w:p>
      <w:pPr>
        <w:ind w:left="360" w:right="419" w:firstLine="331"/>
        <w:spacing w:after="0" w:line="288" w:lineRule="auto"/>
        <w:rPr>
          <w:sz w:val="20"/>
          <w:szCs w:val="20"/>
          <w:color w:val="auto"/>
        </w:rPr>
      </w:pPr>
      <w:r>
        <w:rPr>
          <w:rFonts w:ascii="Arial" w:cs="Arial" w:eastAsia="Arial" w:hAnsi="Arial"/>
          <w:sz w:val="12"/>
          <w:szCs w:val="12"/>
          <w:color w:val="auto"/>
        </w:rPr>
        <w:t>The grant date fair value of Legacy QuantumScape common stock will typically be determined by Legacy QuantumScape’s board of directors with the assistance of management and a third-party valuation specialist. While Legacy QuantumScape has not yet determined our valuation approach for future grants, given its pre-revenue stage of development, management believes that an Option Pricing Model (“</w:t>
      </w:r>
      <w:r>
        <w:rPr>
          <w:rFonts w:ascii="Arial" w:cs="Arial" w:eastAsia="Arial" w:hAnsi="Arial"/>
          <w:sz w:val="12"/>
          <w:szCs w:val="12"/>
          <w:u w:val="single" w:color="auto"/>
          <w:color w:val="auto"/>
        </w:rPr>
        <w:t>OPM</w:t>
      </w:r>
      <w:r>
        <w:rPr>
          <w:rFonts w:ascii="Arial" w:cs="Arial" w:eastAsia="Arial" w:hAnsi="Arial"/>
          <w:sz w:val="12"/>
          <w:szCs w:val="12"/>
          <w:color w:val="auto"/>
        </w:rPr>
        <w:t>”) may be the most appropriate method for allocating enterprise value to determine the estimated fair value of QuantumScape common stock. Application of the OPM involves the use of estimates, judgment, and assumptions that are highly complex and subjective, such as those regarding Legacy QuantumScape’s expected future revenue, expenses, and cash flows, discount rates, market multiples, the selection of comparable companies, and the probability of future events. The deemed fair value for common stock for options and restricted stock units granted in August 2020 and September 2020 (prior to the announcement of the Business Combination) were based on the accreted estimated Business Combination price per the business combination agreement. There were no grants of options to purchase common stock or restricted stock units subsequent to September 2, 2020 for Legacy QuantumScape. Once the post-Business Combination common stock is publicly traded, the post-Business Combination board of directors intends to determine the fair value of the common stock based on the closing market price on or around the date of grant.</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Redeemable Convertible Preferred Stock Warrant Liabilities</w:t>
      </w:r>
    </w:p>
    <w:p>
      <w:pPr>
        <w:spacing w:after="0" w:line="83" w:lineRule="exact"/>
        <w:rPr>
          <w:sz w:val="20"/>
          <w:szCs w:val="20"/>
          <w:color w:val="auto"/>
        </w:rPr>
      </w:pPr>
    </w:p>
    <w:p>
      <w:pPr>
        <w:ind w:left="360" w:right="399" w:firstLine="331"/>
        <w:spacing w:after="0" w:line="291" w:lineRule="auto"/>
        <w:rPr>
          <w:sz w:val="20"/>
          <w:szCs w:val="20"/>
          <w:color w:val="auto"/>
        </w:rPr>
      </w:pPr>
      <w:r>
        <w:rPr>
          <w:rFonts w:ascii="Arial" w:cs="Arial" w:eastAsia="Arial" w:hAnsi="Arial"/>
          <w:sz w:val="12"/>
          <w:szCs w:val="12"/>
          <w:color w:val="auto"/>
        </w:rPr>
        <w:t>Warrants to purchase shares of redeemable convertible preferred stock are classified as liabilities on the consolidated balance sheets at fair value upon issuance because the underlying shares of redeemable convertible preferred stock are redeemable outside of the control of Legacy QuantumScape. The initial liability recorded is adjusted for changes in the fair value at each reporting date and recorded as interest expense in the accompanying statements of operations and comprehensive loss. Legacy QuantumScape will continue to adjust the convertible preferred stock warrant liability for changes in fair value until the earlier of the exercise of the warrants, at which time the liability will be reclassified to redeemable convertible preferred stock, or the expiration of the warrants, at which time the entire amount would be reversed and reflected in the accompanying statements of operations and comprehensive loss. The redeemable convertible preferred stock warrant liabilities will increase or decrease each period based on the fluctuations of the fair value of the underlying security. We expect the fair value of the warrants to increase leading up to the Business Combination.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Redeemable Convertible Preferred Stock Tranche Liabilities</w:t>
      </w:r>
    </w:p>
    <w:p>
      <w:pPr>
        <w:spacing w:after="0" w:line="83" w:lineRule="exact"/>
        <w:rPr>
          <w:sz w:val="20"/>
          <w:szCs w:val="20"/>
          <w:color w:val="auto"/>
        </w:rPr>
      </w:pPr>
    </w:p>
    <w:p>
      <w:pPr>
        <w:ind w:left="360" w:right="399" w:firstLine="331"/>
        <w:spacing w:after="0" w:line="289" w:lineRule="auto"/>
        <w:rPr>
          <w:sz w:val="20"/>
          <w:szCs w:val="20"/>
          <w:color w:val="auto"/>
        </w:rPr>
      </w:pPr>
      <w:r>
        <w:rPr>
          <w:rFonts w:ascii="Arial" w:cs="Arial" w:eastAsia="Arial" w:hAnsi="Arial"/>
          <w:sz w:val="12"/>
          <w:szCs w:val="12"/>
          <w:color w:val="auto"/>
        </w:rPr>
        <w:t>Firm commitments to purchase shares of redeemable convertible preferred stock are classified as liabilities on the consolidated balance sheets at fair value upon issuance because the underlying shares of redeemable convertible preferred stock are redeemable outside of the control of Legacy QuantumScape. The initial liability recorded is adjusted for changes in the fair value at each reporting date and recorded as other expense in the accompanying statements of operations and comprehensive loss. Legacy QuantumScape will continue to adjust the convertible preferred stock tranche liability for changes in fair value until the exercise of the commitments, at which time the liability will be reclassified to redeemable convertible preferred stock. The redeemable convertible preferred stock tranche liabilities will increase or decrease each period based on the fluctuations of the fair value of the underlying security. The fair value of the liability as of September 30, 2020 is based on the probability weighting of the closing of the Business Combination and the related fair value of the convertible preferred stock in each scenario. The probability weighting is considered a significant unobservable input (Level 3). The Company assumed a 75% probability of the transaction closing at September 30, 2020 and a 25% probability of the business combination not occurring.</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Emerging Growth Company Status</w:t>
      </w:r>
    </w:p>
    <w:p>
      <w:pPr>
        <w:spacing w:after="0" w:line="85" w:lineRule="exact"/>
        <w:rPr>
          <w:sz w:val="20"/>
          <w:szCs w:val="20"/>
          <w:color w:val="auto"/>
        </w:rPr>
      </w:pPr>
    </w:p>
    <w:p>
      <w:pPr>
        <w:ind w:left="360" w:right="379" w:firstLine="331"/>
        <w:spacing w:after="0" w:line="302" w:lineRule="auto"/>
        <w:rPr>
          <w:sz w:val="20"/>
          <w:szCs w:val="20"/>
          <w:color w:val="auto"/>
        </w:rPr>
      </w:pPr>
      <w:r>
        <w:rPr>
          <w:rFonts w:ascii="Arial" w:cs="Arial" w:eastAsia="Arial" w:hAnsi="Arial"/>
          <w:sz w:val="12"/>
          <w:szCs w:val="12"/>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17" w:lineRule="exact"/>
        <w:rPr>
          <w:sz w:val="20"/>
          <w:szCs w:val="20"/>
          <w:color w:val="auto"/>
        </w:rPr>
      </w:pPr>
    </w:p>
    <w:p>
      <w:pPr>
        <w:ind w:left="360" w:right="439" w:firstLine="331"/>
        <w:spacing w:after="0" w:line="302" w:lineRule="auto"/>
        <w:rPr>
          <w:sz w:val="20"/>
          <w:szCs w:val="20"/>
          <w:color w:val="auto"/>
        </w:rPr>
      </w:pPr>
      <w:r>
        <w:rPr>
          <w:rFonts w:ascii="Arial" w:cs="Arial" w:eastAsia="Arial" w:hAnsi="Arial"/>
          <w:sz w:val="12"/>
          <w:szCs w:val="12"/>
          <w:color w:val="auto"/>
        </w:rPr>
        <w:t>KCAC is an “emerging growth company” as defined in Section 2(a) of the Securities Act of 1933, as amended (the “</w:t>
      </w:r>
      <w:r>
        <w:rPr>
          <w:rFonts w:ascii="Arial" w:cs="Arial" w:eastAsia="Arial" w:hAnsi="Arial"/>
          <w:sz w:val="12"/>
          <w:szCs w:val="12"/>
          <w:u w:val="single" w:color="auto"/>
          <w:color w:val="auto"/>
        </w:rPr>
        <w:t>Securities Act</w:t>
      </w:r>
      <w:r>
        <w:rPr>
          <w:rFonts w:ascii="Arial" w:cs="Arial" w:eastAsia="Arial" w:hAnsi="Arial"/>
          <w:sz w:val="12"/>
          <w:szCs w:val="12"/>
          <w:color w:val="auto"/>
        </w:rPr>
        <w:t>”)and has elected to take advantage of the benefits of the extended transition period for new or revised financial accounting standards. Following the Closing, the Company expects to remain an emerging growth company at least through the end of the 2020 fiscal year and the Company expects to continue to take advantage of the benefits of the extended transition period, although it may decide to early adopt such new or revised accounting standards to the extent</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0" w:right="1440" w:bottom="1440" w:gutter="0" w:footer="0" w:header="0"/>
        </w:sectPr>
      </w:pPr>
    </w:p>
    <w:bookmarkStart w:id="14" w:name="page15"/>
    <w:bookmarkEnd w:id="14"/>
    <w:p>
      <w:pPr>
        <w:jc w:val="both"/>
        <w:ind w:left="360" w:right="75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Recent Accounting Pronouncements</w:t>
      </w:r>
    </w:p>
    <w:p>
      <w:pPr>
        <w:spacing w:after="0" w:line="85" w:lineRule="exact"/>
        <w:rPr>
          <w:sz w:val="20"/>
          <w:szCs w:val="20"/>
          <w:color w:val="auto"/>
        </w:rPr>
      </w:pPr>
    </w:p>
    <w:p>
      <w:pPr>
        <w:ind w:left="360" w:right="519" w:firstLine="331"/>
        <w:spacing w:after="0" w:line="312" w:lineRule="auto"/>
        <w:rPr>
          <w:rFonts w:ascii="Arial" w:cs="Arial" w:eastAsia="Arial" w:hAnsi="Arial"/>
          <w:sz w:val="12"/>
          <w:szCs w:val="12"/>
          <w:color w:val="auto"/>
        </w:rPr>
      </w:pPr>
      <w:r>
        <w:rPr>
          <w:rFonts w:ascii="Arial" w:cs="Arial" w:eastAsia="Arial" w:hAnsi="Arial"/>
          <w:sz w:val="12"/>
          <w:szCs w:val="12"/>
          <w:color w:val="auto"/>
        </w:rPr>
        <w:t xml:space="preserve">See </w:t>
      </w:r>
      <w:hyperlink r:id="rId40">
        <w:r>
          <w:rPr>
            <w:rFonts w:ascii="Arial" w:cs="Arial" w:eastAsia="Arial" w:hAnsi="Arial"/>
            <w:sz w:val="12"/>
            <w:szCs w:val="12"/>
            <w:u w:val="single" w:color="auto"/>
            <w:color w:val="0000EE"/>
          </w:rPr>
          <w:t>Note 3</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to the audited consolidated financial statements beginning on page F-12 of the Proxy Statement, which is incorporated herein by reference for more information about recent accounting pronouncements, the timing of their adoption, and Legacy QuantumScape’s assessment, to the extent it has made one, of their potential impact on Legacy QuantumScape’s financial condition and its results of operations and cash flows.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85" w:lineRule="exact"/>
        <w:rPr>
          <w:sz w:val="20"/>
          <w:szCs w:val="20"/>
          <w:color w:val="auto"/>
        </w:rPr>
      </w:pPr>
    </w:p>
    <w:p>
      <w:pPr>
        <w:ind w:left="360" w:right="639" w:firstLine="331"/>
        <w:spacing w:after="0" w:line="342" w:lineRule="auto"/>
        <w:rPr>
          <w:sz w:val="20"/>
          <w:szCs w:val="20"/>
          <w:color w:val="auto"/>
        </w:rPr>
      </w:pPr>
      <w:r>
        <w:rPr>
          <w:rFonts w:ascii="Arial" w:cs="Arial" w:eastAsia="Arial" w:hAnsi="Arial"/>
          <w:sz w:val="12"/>
          <w:szCs w:val="12"/>
          <w:color w:val="auto"/>
        </w:rPr>
        <w:t>Legacy QuantumScape is exposed to a variety of markets and other risks including the effects of change in interest rates, inflation and foreign currency translation and transaction risks as well as risks to the availability of funding sources, hazard events and specific asset risks.</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Interest Rate Risk</w:t>
      </w:r>
    </w:p>
    <w:p>
      <w:pPr>
        <w:spacing w:after="0" w:line="85" w:lineRule="exact"/>
        <w:rPr>
          <w:sz w:val="20"/>
          <w:szCs w:val="20"/>
          <w:color w:val="auto"/>
        </w:rPr>
      </w:pPr>
    </w:p>
    <w:p>
      <w:pPr>
        <w:ind w:left="360" w:right="419" w:firstLine="331"/>
        <w:spacing w:after="0" w:line="297" w:lineRule="auto"/>
        <w:rPr>
          <w:sz w:val="20"/>
          <w:szCs w:val="20"/>
          <w:color w:val="auto"/>
        </w:rPr>
      </w:pPr>
      <w:r>
        <w:rPr>
          <w:rFonts w:ascii="Arial" w:cs="Arial" w:eastAsia="Arial" w:hAnsi="Arial"/>
          <w:sz w:val="12"/>
          <w:szCs w:val="12"/>
          <w:color w:val="auto"/>
        </w:rPr>
        <w:t>The market interest risk in our financial instruments and our financial positions represents the potential loss arising from adverse changes in interest rates. As of September 30, 2020, we had cash and cash equivalents and marketable securities of $80.0 million, consisting of interest-bearing money market accounts and marketable securities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 and marketable securities.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Foreign Currency Risk</w:t>
      </w:r>
    </w:p>
    <w:p>
      <w:pPr>
        <w:spacing w:after="0" w:line="85" w:lineRule="exact"/>
        <w:rPr>
          <w:sz w:val="20"/>
          <w:szCs w:val="20"/>
          <w:color w:val="auto"/>
        </w:rPr>
      </w:pPr>
    </w:p>
    <w:p>
      <w:pPr>
        <w:ind w:left="360" w:right="539" w:firstLine="331"/>
        <w:spacing w:after="0" w:line="302" w:lineRule="auto"/>
        <w:rPr>
          <w:sz w:val="20"/>
          <w:szCs w:val="20"/>
          <w:color w:val="auto"/>
        </w:rPr>
      </w:pPr>
      <w:r>
        <w:rPr>
          <w:rFonts w:ascii="Arial" w:cs="Arial" w:eastAsia="Arial" w:hAnsi="Arial"/>
          <w:sz w:val="12"/>
          <w:szCs w:val="12"/>
          <w:color w:val="auto"/>
        </w:rPr>
        <w:t>Legacy QuantumScape’s functional currency is the U.S. dollar, while certain of Legacy QuantumScape’s current and future subsidiaries will be expected to have other functional currencies, reflecting their principal operating markets. Once Legacy QuantumScape commences phase 1 pilot operations, it expects to be exposed to both currency transaction and translation risk. To date, Legacy QuantumScape has not had material exposure to foreign currency fluctuations and has not hedged such exposure, although it may do so in the future.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Directors and Executive Officers</w:t>
      </w:r>
    </w:p>
    <w:p>
      <w:pPr>
        <w:spacing w:after="0" w:line="85" w:lineRule="exact"/>
        <w:rPr>
          <w:sz w:val="20"/>
          <w:szCs w:val="20"/>
          <w:color w:val="auto"/>
        </w:rPr>
      </w:pPr>
    </w:p>
    <w:p>
      <w:pPr>
        <w:ind w:left="360" w:right="439" w:firstLine="745"/>
        <w:spacing w:after="0" w:line="250" w:lineRule="auto"/>
        <w:rPr>
          <w:rFonts w:ascii="Arial" w:cs="Arial" w:eastAsia="Arial" w:hAnsi="Arial"/>
          <w:sz w:val="14"/>
          <w:szCs w:val="14"/>
          <w:color w:val="auto"/>
        </w:rPr>
      </w:pPr>
      <w:r>
        <w:rPr>
          <w:rFonts w:ascii="Arial" w:cs="Arial" w:eastAsia="Arial" w:hAnsi="Arial"/>
          <w:sz w:val="14"/>
          <w:szCs w:val="14"/>
          <w:color w:val="auto"/>
        </w:rPr>
        <w:t>Information with respect to the Company’s directors and executive officers after the Closing is set forth in the Proxy Statement in the sections entitled “</w:t>
      </w:r>
      <w:hyperlink r:id="rId41">
        <w:r>
          <w:rPr>
            <w:rFonts w:ascii="Arial" w:cs="Arial" w:eastAsia="Arial" w:hAnsi="Arial"/>
            <w:sz w:val="14"/>
            <w:szCs w:val="14"/>
            <w:u w:val="single" w:color="auto"/>
            <w:color w:val="0000EE"/>
          </w:rPr>
          <w:t>Management After the Business Combination</w:t>
        </w:r>
      </w:hyperlink>
      <w:r>
        <w:rPr>
          <w:rFonts w:ascii="Arial" w:cs="Arial" w:eastAsia="Arial" w:hAnsi="Arial"/>
          <w:sz w:val="14"/>
          <w:szCs w:val="14"/>
          <w:color w:val="auto"/>
        </w:rPr>
        <w:t>” beginning on page 220 and “</w:t>
      </w:r>
      <w:hyperlink r:id="rId42">
        <w:r>
          <w:rPr>
            <w:rFonts w:ascii="Arial" w:cs="Arial" w:eastAsia="Arial" w:hAnsi="Arial"/>
            <w:sz w:val="14"/>
            <w:szCs w:val="14"/>
            <w:u w:val="single" w:color="auto"/>
            <w:color w:val="0000EE"/>
          </w:rPr>
          <w:t>QuantumScape’s Executive Compensation</w:t>
        </w:r>
      </w:hyperlink>
      <w:r>
        <w:rPr>
          <w:rFonts w:ascii="Arial" w:cs="Arial" w:eastAsia="Arial" w:hAnsi="Arial"/>
          <w:sz w:val="14"/>
          <w:szCs w:val="14"/>
          <w:color w:val="auto"/>
        </w:rPr>
        <w:t>” beginning on page 171 of the Proxy Statement, which are incorporated herein by reference.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Directors</w:t>
      </w:r>
    </w:p>
    <w:p>
      <w:pPr>
        <w:spacing w:after="0" w:line="83" w:lineRule="exact"/>
        <w:rPr>
          <w:sz w:val="20"/>
          <w:szCs w:val="20"/>
          <w:color w:val="auto"/>
        </w:rPr>
      </w:pPr>
    </w:p>
    <w:p>
      <w:pPr>
        <w:ind w:left="360" w:right="419" w:firstLine="745"/>
        <w:spacing w:after="0" w:line="294" w:lineRule="auto"/>
        <w:rPr>
          <w:rFonts w:ascii="Arial" w:cs="Arial" w:eastAsia="Arial" w:hAnsi="Arial"/>
          <w:sz w:val="12"/>
          <w:szCs w:val="12"/>
          <w:color w:val="auto"/>
        </w:rPr>
      </w:pPr>
      <w:r>
        <w:rPr>
          <w:rFonts w:ascii="Arial" w:cs="Arial" w:eastAsia="Arial" w:hAnsi="Arial"/>
          <w:sz w:val="12"/>
          <w:szCs w:val="12"/>
          <w:color w:val="auto"/>
        </w:rPr>
        <w:t>As previously disclosed, at the Special Meeting, on November 25, 2020, Jagdeep Singh, Frank Blome, Brad Buss, John Doerr, Prof. Dr. Jürgen Leohold, Justin Mirro, Prof. Fritz Prinz, J.B. Straubel and Dipender Saluja were elected to serve as directors of the Company for a term expiring at the Company’s next annual meeting of stockholders. Biographical information for these individuals is set forth in the Proxy Statement in the section entitled “</w:t>
      </w:r>
      <w:hyperlink r:id="rId41">
        <w:r>
          <w:rPr>
            <w:rFonts w:ascii="Arial" w:cs="Arial" w:eastAsia="Arial" w:hAnsi="Arial"/>
            <w:sz w:val="12"/>
            <w:szCs w:val="12"/>
            <w:u w:val="single" w:color="auto"/>
            <w:color w:val="0000EE"/>
          </w:rPr>
          <w:t>Management After the Business Combination</w:t>
        </w:r>
      </w:hyperlink>
      <w:r>
        <w:rPr>
          <w:rFonts w:ascii="Arial" w:cs="Arial" w:eastAsia="Arial" w:hAnsi="Arial"/>
          <w:sz w:val="12"/>
          <w:szCs w:val="12"/>
          <w:color w:val="auto"/>
        </w:rPr>
        <w:t>” beginning on page 220 of the Proxy Statement, which is incorporated herein by reference. Each of Robert Remenar, Thomas LaSorda, Anders Pettersson, Mitchell Quain, Donald Runkle and Matthew Simoncini resigned as directors of the Company effective as of the Effective Time.</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Independence of Directors</w:t>
      </w:r>
    </w:p>
    <w:p>
      <w:pPr>
        <w:spacing w:after="0" w:line="83" w:lineRule="exact"/>
        <w:rPr>
          <w:sz w:val="20"/>
          <w:szCs w:val="20"/>
          <w:color w:val="auto"/>
        </w:rPr>
      </w:pPr>
    </w:p>
    <w:p>
      <w:pPr>
        <w:ind w:left="360" w:right="379" w:firstLine="745"/>
        <w:spacing w:after="0" w:line="312" w:lineRule="auto"/>
        <w:rPr>
          <w:sz w:val="20"/>
          <w:szCs w:val="20"/>
          <w:color w:val="auto"/>
        </w:rPr>
      </w:pPr>
      <w:r>
        <w:rPr>
          <w:rFonts w:ascii="Arial" w:cs="Arial" w:eastAsia="Arial" w:hAnsi="Arial"/>
          <w:sz w:val="12"/>
          <w:szCs w:val="12"/>
          <w:color w:val="auto"/>
        </w:rPr>
        <w:t>The Board has determined that each of the directors of the Company other than Messrs. Singh and Prinz qualify as independent directors, as defined under the listing rules of The New York Stock Exchange (the “</w:t>
      </w:r>
      <w:r>
        <w:rPr>
          <w:rFonts w:ascii="Arial" w:cs="Arial" w:eastAsia="Arial" w:hAnsi="Arial"/>
          <w:sz w:val="12"/>
          <w:szCs w:val="12"/>
          <w:u w:val="single" w:color="auto"/>
          <w:color w:val="auto"/>
        </w:rPr>
        <w:t>NYSE listing rules</w:t>
      </w:r>
      <w:r>
        <w:rPr>
          <w:rFonts w:ascii="Arial" w:cs="Arial" w:eastAsia="Arial" w:hAnsi="Arial"/>
          <w:sz w:val="12"/>
          <w:szCs w:val="12"/>
          <w:color w:val="auto"/>
        </w:rPr>
        <w:t>”), and that the Board consists of a majority of “independent directors,” as defined under the rules of the SEC and NYSE listing rules relating to director independence requirements.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240" w:right="1440" w:bottom="1440" w:gutter="0" w:footer="0" w:header="0"/>
        </w:sectPr>
      </w:pPr>
    </w:p>
    <w:bookmarkStart w:id="15" w:name="page16"/>
    <w:bookmarkEnd w:id="15"/>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Committees of the Board of Directors</w:t>
      </w:r>
    </w:p>
    <w:p>
      <w:pPr>
        <w:spacing w:after="0" w:line="83"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The standing committees of the Board consist of an audit committee (the “</w:t>
      </w:r>
      <w:r>
        <w:rPr>
          <w:rFonts w:ascii="Arial" w:cs="Arial" w:eastAsia="Arial" w:hAnsi="Arial"/>
          <w:sz w:val="12"/>
          <w:szCs w:val="12"/>
          <w:u w:val="single" w:color="auto"/>
          <w:color w:val="auto"/>
        </w:rPr>
        <w:t>Audit Committee</w:t>
      </w:r>
      <w:r>
        <w:rPr>
          <w:rFonts w:ascii="Arial" w:cs="Arial" w:eastAsia="Arial" w:hAnsi="Arial"/>
          <w:sz w:val="12"/>
          <w:szCs w:val="12"/>
          <w:color w:val="auto"/>
        </w:rPr>
        <w:t>”), a compensation committee (the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Compensation Committee</w:t>
      </w:r>
      <w:r>
        <w:rPr>
          <w:rFonts w:ascii="Arial" w:cs="Arial" w:eastAsia="Arial" w:hAnsi="Arial"/>
          <w:sz w:val="12"/>
          <w:szCs w:val="12"/>
          <w:color w:val="auto"/>
        </w:rPr>
        <w:t>”) and a nominating and corporate governance committee (the “</w:t>
      </w:r>
      <w:r>
        <w:rPr>
          <w:rFonts w:ascii="Arial" w:cs="Arial" w:eastAsia="Arial" w:hAnsi="Arial"/>
          <w:sz w:val="12"/>
          <w:szCs w:val="12"/>
          <w:u w:val="single" w:color="auto"/>
          <w:color w:val="auto"/>
        </w:rPr>
        <w:t>Nominating Committee</w:t>
      </w:r>
      <w:r>
        <w:rPr>
          <w:rFonts w:ascii="Arial" w:cs="Arial" w:eastAsia="Arial" w:hAnsi="Arial"/>
          <w:sz w:val="12"/>
          <w:szCs w:val="12"/>
          <w:color w:val="auto"/>
        </w:rPr>
        <w:t>”). Each of the committees reports to</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Board.</w:t>
      </w:r>
    </w:p>
    <w:p>
      <w:pPr>
        <w:spacing w:after="0" w:line="154" w:lineRule="exact"/>
        <w:rPr>
          <w:sz w:val="20"/>
          <w:szCs w:val="20"/>
          <w:color w:val="auto"/>
        </w:rPr>
      </w:pPr>
    </w:p>
    <w:p>
      <w:pPr>
        <w:ind w:left="360" w:right="559" w:firstLine="745"/>
        <w:spacing w:after="0" w:line="302" w:lineRule="auto"/>
        <w:rPr>
          <w:sz w:val="20"/>
          <w:szCs w:val="20"/>
          <w:color w:val="auto"/>
        </w:rPr>
      </w:pPr>
      <w:r>
        <w:rPr>
          <w:rFonts w:ascii="Arial" w:cs="Arial" w:eastAsia="Arial" w:hAnsi="Arial"/>
          <w:sz w:val="12"/>
          <w:szCs w:val="12"/>
          <w:color w:val="auto"/>
        </w:rPr>
        <w:t>Effective as of the Effective Time, the Board appointed Messrs. Buss, Saluja and Mirro to serve on the Audit Committee, with Mr. Buss serving as chair of the Audit Committee. The Board appointed Messrs. Straubel, Leohold and Buss to serve on the Compensation Committee, with Mr. Straubel serving as chair of the Compensation Committee. The Board appointed Messrs. Mirro, Doerr and Blome to serve on the Nominating Committee, with Mr. Mirro Serving as chair of the Nominating Committee.</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Executive Officers</w:t>
      </w:r>
    </w:p>
    <w:p>
      <w:pPr>
        <w:spacing w:after="0" w:line="83" w:lineRule="exact"/>
        <w:rPr>
          <w:sz w:val="20"/>
          <w:szCs w:val="20"/>
          <w:color w:val="auto"/>
        </w:rPr>
      </w:pPr>
    </w:p>
    <w:p>
      <w:pPr>
        <w:ind w:left="360" w:right="399" w:firstLine="745"/>
        <w:spacing w:after="0" w:line="292" w:lineRule="auto"/>
        <w:rPr>
          <w:rFonts w:ascii="Arial" w:cs="Arial" w:eastAsia="Arial" w:hAnsi="Arial"/>
          <w:sz w:val="12"/>
          <w:szCs w:val="12"/>
          <w:color w:val="0000EE"/>
        </w:rPr>
      </w:pPr>
      <w:r>
        <w:rPr>
          <w:rFonts w:ascii="Arial" w:cs="Arial" w:eastAsia="Arial" w:hAnsi="Arial"/>
          <w:sz w:val="12"/>
          <w:szCs w:val="12"/>
          <w:color w:val="auto"/>
        </w:rPr>
        <w:t xml:space="preserve">Effective as of the Effective Time, in connection with the Business Combination, the Board appointed Jagdeep Singh to serve as Chairman and Chief Executive Officer, Kevin Hettrich to serve as Chief Financial Officer, Dr. Timothy Holme to serve as Chief Technology Officer, Dr. Mohit Singh to serve as Chief Development Officer, Howard Lukens to serve as Chief Sales Officer and Michael McCarthy serve as Chief Legal Officer and Head of Corporate Development of the Company. Each of Justin Mirro, Robert Remenar, Daniel Huber and Simon Boag resigned as the Chief Executive Office and Chairman, President and Vice Chairman, Chief Financial Officer and Chief Technology Officer, respectively, effective as of the </w:t>
      </w:r>
      <w:hyperlink r:id="rId41">
        <w:r>
          <w:rPr>
            <w:rFonts w:ascii="Arial" w:cs="Arial" w:eastAsia="Arial" w:hAnsi="Arial"/>
            <w:sz w:val="12"/>
            <w:szCs w:val="12"/>
            <w:color w:val="auto"/>
          </w:rPr>
          <w:t>Effective Time. Biographical information for the new executive officers are set forth in the Proxy Statement in the section entitled “</w:t>
        </w:r>
        <w:r>
          <w:rPr>
            <w:rFonts w:ascii="Arial" w:cs="Arial" w:eastAsia="Arial" w:hAnsi="Arial"/>
            <w:sz w:val="12"/>
            <w:szCs w:val="12"/>
            <w:u w:val="single" w:color="auto"/>
            <w:color w:val="0000EE"/>
          </w:rPr>
          <w:t>Management After</w:t>
        </w:r>
      </w:hyperlink>
      <w:r>
        <w:rPr>
          <w:rFonts w:ascii="Arial" w:cs="Arial" w:eastAsia="Arial" w:hAnsi="Arial"/>
          <w:sz w:val="12"/>
          <w:szCs w:val="12"/>
          <w:color w:val="auto"/>
        </w:rPr>
        <w:t xml:space="preserve"> </w:t>
      </w:r>
      <w:hyperlink r:id="rId41">
        <w:r>
          <w:rPr>
            <w:rFonts w:ascii="Arial" w:cs="Arial" w:eastAsia="Arial" w:hAnsi="Arial"/>
            <w:sz w:val="12"/>
            <w:szCs w:val="12"/>
            <w:u w:val="single" w:color="auto"/>
            <w:color w:val="0000EE"/>
          </w:rPr>
          <w:t>the Business Combination</w:t>
        </w:r>
        <w:r>
          <w:rPr>
            <w:rFonts w:ascii="Arial" w:cs="Arial" w:eastAsia="Arial" w:hAnsi="Arial"/>
            <w:sz w:val="12"/>
            <w:szCs w:val="12"/>
            <w:color w:val="000000"/>
          </w:rPr>
          <w:t>” beginning on page 220 of the Proxy Statement, which is incorporated herein by reference.</w:t>
        </w:r>
      </w:hyperlink>
    </w:p>
    <w:p>
      <w:pPr>
        <w:spacing w:after="0" w:line="20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Executive Compensation</w:t>
      </w:r>
    </w:p>
    <w:p>
      <w:pPr>
        <w:spacing w:after="0" w:line="83" w:lineRule="exact"/>
        <w:rPr>
          <w:sz w:val="20"/>
          <w:szCs w:val="20"/>
          <w:color w:val="auto"/>
        </w:rPr>
      </w:pPr>
    </w:p>
    <w:p>
      <w:pPr>
        <w:ind w:left="360" w:right="499" w:firstLine="745"/>
        <w:spacing w:after="0" w:line="342" w:lineRule="auto"/>
        <w:rPr>
          <w:rFonts w:ascii="Arial" w:cs="Arial" w:eastAsia="Arial" w:hAnsi="Arial"/>
          <w:sz w:val="12"/>
          <w:szCs w:val="12"/>
          <w:color w:val="auto"/>
        </w:rPr>
      </w:pPr>
      <w:r>
        <w:rPr>
          <w:rFonts w:ascii="Arial" w:cs="Arial" w:eastAsia="Arial" w:hAnsi="Arial"/>
          <w:sz w:val="12"/>
          <w:szCs w:val="12"/>
          <w:color w:val="auto"/>
        </w:rPr>
        <w:t>The executive compensation for the Company’s directors and named executive officers is described in the Proxy Statement in the section entitled “</w:t>
      </w:r>
      <w:hyperlink r:id="rId42">
        <w:r>
          <w:rPr>
            <w:rFonts w:ascii="Arial" w:cs="Arial" w:eastAsia="Arial" w:hAnsi="Arial"/>
            <w:sz w:val="12"/>
            <w:szCs w:val="12"/>
            <w:u w:val="single" w:color="auto"/>
            <w:color w:val="0000EE"/>
          </w:rPr>
          <w:t>QuantumScape’s Executive Compensation</w:t>
        </w:r>
      </w:hyperlink>
      <w:r>
        <w:rPr>
          <w:rFonts w:ascii="Arial" w:cs="Arial" w:eastAsia="Arial" w:hAnsi="Arial"/>
          <w:sz w:val="12"/>
          <w:szCs w:val="12"/>
          <w:color w:val="auto"/>
        </w:rPr>
        <w:t>” beginning on page 171 of the Proxy Statement, which is incorporated herein by reference.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The following table sets forth information known to the Company regarding the beneficial ownership of the Common Stock as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November 25, 2020, after giving effect to the Closing, by:</w:t>
      </w:r>
    </w:p>
    <w:p>
      <w:pPr>
        <w:spacing w:after="0" w:line="83" w:lineRule="exact"/>
        <w:rPr>
          <w:sz w:val="20"/>
          <w:szCs w:val="20"/>
          <w:color w:val="auto"/>
        </w:rPr>
      </w:pPr>
    </w:p>
    <w:p>
      <w:pPr>
        <w:ind w:left="1920" w:right="579" w:hanging="400"/>
        <w:spacing w:after="0" w:line="259" w:lineRule="auto"/>
        <w:tabs>
          <w:tab w:leader="none" w:pos="1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each person who is known by the Company to be the beneficial owner of more than five percent (5%) of the outstanding shares of the Common Stock upon the Closing ;</w:t>
      </w:r>
    </w:p>
    <w:p>
      <w:pPr>
        <w:spacing w:after="0" w:line="68" w:lineRule="exact"/>
        <w:rPr>
          <w:rFonts w:ascii="Arial" w:cs="Arial" w:eastAsia="Arial" w:hAnsi="Arial"/>
          <w:sz w:val="14"/>
          <w:szCs w:val="14"/>
          <w:color w:val="auto"/>
        </w:rPr>
      </w:pPr>
    </w:p>
    <w:p>
      <w:pPr>
        <w:ind w:left="1920" w:hanging="400"/>
        <w:spacing w:after="0"/>
        <w:tabs>
          <w:tab w:leader="none" w:pos="1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each named executive officer and director of the Company; and</w:t>
      </w:r>
    </w:p>
    <w:p>
      <w:pPr>
        <w:spacing w:after="0" w:line="92" w:lineRule="exact"/>
        <w:rPr>
          <w:rFonts w:ascii="Arial" w:cs="Arial" w:eastAsia="Arial" w:hAnsi="Arial"/>
          <w:sz w:val="14"/>
          <w:szCs w:val="14"/>
          <w:color w:val="auto"/>
        </w:rPr>
      </w:pPr>
    </w:p>
    <w:p>
      <w:pPr>
        <w:ind w:left="1920" w:hanging="400"/>
        <w:spacing w:after="0"/>
        <w:tabs>
          <w:tab w:leader="none" w:pos="1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current executive officers and directors of the Company, as a group.</w:t>
      </w:r>
    </w:p>
    <w:p>
      <w:pPr>
        <w:spacing w:after="0" w:line="164" w:lineRule="exact"/>
        <w:rPr>
          <w:sz w:val="20"/>
          <w:szCs w:val="20"/>
          <w:color w:val="auto"/>
        </w:rPr>
      </w:pPr>
    </w:p>
    <w:p>
      <w:pPr>
        <w:ind w:left="360" w:right="439" w:firstLine="745"/>
        <w:spacing w:after="0" w:line="250" w:lineRule="auto"/>
        <w:rPr>
          <w:sz w:val="20"/>
          <w:szCs w:val="20"/>
          <w:color w:val="auto"/>
        </w:rPr>
      </w:pPr>
      <w:r>
        <w:rPr>
          <w:rFonts w:ascii="Arial" w:cs="Arial" w:eastAsia="Arial" w:hAnsi="Arial"/>
          <w:sz w:val="14"/>
          <w:szCs w:val="14"/>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46" w:lineRule="exact"/>
        <w:rPr>
          <w:sz w:val="20"/>
          <w:szCs w:val="20"/>
          <w:color w:val="auto"/>
        </w:rPr>
      </w:pPr>
    </w:p>
    <w:p>
      <w:pPr>
        <w:ind w:left="360" w:right="479" w:firstLine="745"/>
        <w:spacing w:after="0" w:line="286" w:lineRule="auto"/>
        <w:rPr>
          <w:sz w:val="20"/>
          <w:szCs w:val="20"/>
          <w:color w:val="auto"/>
        </w:rPr>
      </w:pPr>
      <w:r>
        <w:rPr>
          <w:rFonts w:ascii="Arial" w:cs="Arial" w:eastAsia="Arial" w:hAnsi="Arial"/>
          <w:sz w:val="12"/>
          <w:szCs w:val="12"/>
          <w:color w:val="auto"/>
        </w:rPr>
        <w:t>The beneficial ownership percentages set forth in the table below are based on approximately 189,469,223 shares of Class A Common Stock and 158,271,287 shares of Class B Common Stock issued and outstanding as of November 25, 2020 and do not take into account (i) the issuance of any shares of Class A Common Stock upon the exercise of warrants to purchase up to approximately 18,149,989 shares of Class A Common Stock that remain outstanding, (ii) the issuance of any shares of Class A Common Stock upon the exercise of warrants to purchase up to approximately</w:t>
      </w:r>
    </w:p>
    <w:p>
      <w:pPr>
        <w:spacing w:after="0" w:line="2" w:lineRule="exact"/>
        <w:rPr>
          <w:sz w:val="20"/>
          <w:szCs w:val="20"/>
          <w:color w:val="auto"/>
        </w:rPr>
      </w:pPr>
    </w:p>
    <w:p>
      <w:pPr>
        <w:ind w:left="360" w:right="379"/>
        <w:spacing w:after="0" w:line="242" w:lineRule="auto"/>
        <w:rPr>
          <w:sz w:val="20"/>
          <w:szCs w:val="20"/>
          <w:color w:val="auto"/>
        </w:rPr>
      </w:pPr>
      <w:r>
        <w:rPr>
          <w:rFonts w:ascii="Arial" w:cs="Arial" w:eastAsia="Arial" w:hAnsi="Arial"/>
          <w:sz w:val="14"/>
          <w:szCs w:val="14"/>
          <w:color w:val="auto"/>
        </w:rPr>
        <w:t>521,693 shares of Class A Common Stock at a price of $2.5877 per share, (iii) the issuance of any shares of Class B Common Stock upon the exercise of warrants to purchase up to approximately 501,047 shares of Class B Common Stock at a price of $0.5473 per share, (iv) the issuance of 15,221,334 shares of Class A Common Stock to VGA for an aggregate purchase price of $100 million on December 1, 2020 or (v) the issuance of 15,221,334 shares of Class A Common Stock that are issuable to VGA for $100 million by the end of the first quarter of 2021, subject to completion of a certain technical milestone.</w:t>
      </w:r>
    </w:p>
    <w:p>
      <w:pPr>
        <w:spacing w:after="0" w:line="152" w:lineRule="exact"/>
        <w:rPr>
          <w:sz w:val="20"/>
          <w:szCs w:val="20"/>
          <w:color w:val="auto"/>
        </w:rPr>
      </w:pPr>
    </w:p>
    <w:p>
      <w:pPr>
        <w:ind w:left="360" w:right="439" w:firstLine="331"/>
        <w:spacing w:after="0" w:line="342" w:lineRule="auto"/>
        <w:rPr>
          <w:sz w:val="20"/>
          <w:szCs w:val="20"/>
          <w:color w:val="auto"/>
        </w:rPr>
      </w:pPr>
      <w:r>
        <w:rPr>
          <w:rFonts w:ascii="Arial" w:cs="Arial" w:eastAsia="Arial" w:hAnsi="Arial"/>
          <w:sz w:val="12"/>
          <w:szCs w:val="12"/>
          <w:color w:val="auto"/>
        </w:rPr>
        <w:t>Unless otherwise noted in the footnotes to the following table, and subject to applicable community property laws, the persons and entities named in the table have sole voting and investment power with respect to their beneficially owned common stock and preferred stock.</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240" w:right="1440" w:bottom="1440" w:gutter="0" w:footer="0" w:header="0"/>
        </w:sectPr>
      </w:pPr>
    </w:p>
    <w:bookmarkStart w:id="16" w:name="page17"/>
    <w:bookmarkEnd w:id="16"/>
    <w:tbl>
      <w:tblPr>
        <w:tblLayout w:type="fixed"/>
        <w:tblInd w:w="36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1"/>
                <w:szCs w:val="11"/>
                <w:b w:val="1"/>
                <w:bCs w:val="1"/>
                <w:color w:val="auto"/>
              </w:rPr>
              <w:t>Name of Beneficial Owner</w:t>
            </w:r>
          </w:p>
        </w:tc>
        <w:tc>
          <w:tcPr>
            <w:tcW w:w="1920" w:type="dxa"/>
            <w:vAlign w:val="bottom"/>
            <w:gridSpan w:val="3"/>
          </w:tcPr>
          <w:p>
            <w:pPr>
              <w:jc w:val="center"/>
              <w:ind w:left="113"/>
              <w:spacing w:after="0"/>
              <w:rPr>
                <w:sz w:val="20"/>
                <w:szCs w:val="20"/>
                <w:color w:val="auto"/>
              </w:rPr>
            </w:pPr>
            <w:r>
              <w:rPr>
                <w:rFonts w:ascii="Arial" w:cs="Arial" w:eastAsia="Arial" w:hAnsi="Arial"/>
                <w:sz w:val="11"/>
                <w:szCs w:val="11"/>
                <w:b w:val="1"/>
                <w:bCs w:val="1"/>
                <w:color w:val="auto"/>
                <w:w w:val="87"/>
              </w:rPr>
              <w:t>Number of shares of</w:t>
            </w:r>
          </w:p>
        </w:tc>
        <w:tc>
          <w:tcPr>
            <w:tcW w:w="34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rPr>
              <w:t>%</w:t>
            </w:r>
          </w:p>
        </w:tc>
        <w:tc>
          <w:tcPr>
            <w:tcW w:w="1260" w:type="dxa"/>
            <w:vAlign w:val="bottom"/>
            <w:gridSpan w:val="3"/>
          </w:tcPr>
          <w:p>
            <w:pPr>
              <w:jc w:val="center"/>
              <w:ind w:left="293"/>
              <w:spacing w:after="0"/>
              <w:rPr>
                <w:sz w:val="20"/>
                <w:szCs w:val="20"/>
                <w:color w:val="auto"/>
              </w:rPr>
            </w:pPr>
            <w:r>
              <w:rPr>
                <w:rFonts w:ascii="Arial" w:cs="Arial" w:eastAsia="Arial" w:hAnsi="Arial"/>
                <w:sz w:val="11"/>
                <w:szCs w:val="11"/>
                <w:b w:val="1"/>
                <w:bCs w:val="1"/>
                <w:color w:val="auto"/>
                <w:w w:val="91"/>
              </w:rPr>
              <w:t>% of Total Voting</w:t>
            </w:r>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390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400"/>
              <w:spacing w:after="0" w:line="119" w:lineRule="exact"/>
              <w:rPr>
                <w:sz w:val="20"/>
                <w:szCs w:val="20"/>
                <w:color w:val="auto"/>
              </w:rPr>
            </w:pPr>
            <w:r>
              <w:rPr>
                <w:rFonts w:ascii="Arial" w:cs="Arial" w:eastAsia="Arial" w:hAnsi="Arial"/>
                <w:sz w:val="11"/>
                <w:szCs w:val="11"/>
                <w:b w:val="1"/>
                <w:bCs w:val="1"/>
                <w:color w:val="auto"/>
                <w:w w:val="86"/>
              </w:rPr>
              <w:t>Common Stock</w:t>
            </w:r>
          </w:p>
        </w:tc>
        <w:tc>
          <w:tcPr>
            <w:tcW w:w="3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90"/>
              </w:rPr>
              <w:t>Power</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b w:val="1"/>
                <w:bCs w:val="1"/>
                <w:i w:val="1"/>
                <w:iCs w:val="1"/>
                <w:color w:val="auto"/>
                <w:w w:val="86"/>
              </w:rPr>
              <w:t>Five Percent Holders</w:t>
            </w:r>
          </w:p>
        </w:tc>
        <w:tc>
          <w:tcPr>
            <w:tcW w:w="2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Volkswagen Group of America Investments, LLC(1)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55,773,871</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16.04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12.28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Khosla Ventures III, LP(2)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35,440,404</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Capricorn-Libra Investment Group, LLC(3)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23,419,739</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6.73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KPCB Holdings, Inc., as nominee(4)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20,282,130</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Directors and Named Executive Officers</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Jagdeep Singh(5)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28,180,127</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Howard Lukens(6)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3,885,003</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Michael McCarthy(7)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2,847,390</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Prof. Fritz Prinz(8)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13,484,541</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3.88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 Blome(9)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55,773,871</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16.04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Brad Buss(10)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304,426</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Doerr(11)</w:t>
            </w:r>
          </w:p>
        </w:tc>
        <w:tc>
          <w:tcPr>
            <w:tcW w:w="5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Prof. Dr. Jürgen Leohold(12)</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328,443</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Justin Mirro(13)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5,750,000</w:t>
            </w:r>
          </w:p>
        </w:tc>
        <w:tc>
          <w:tcPr>
            <w:tcW w:w="4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tcPr>
          <w:p>
            <w:pPr>
              <w:spacing w:after="0"/>
              <w:rPr>
                <w:sz w:val="20"/>
                <w:szCs w:val="20"/>
                <w:color w:val="auto"/>
              </w:rPr>
            </w:pPr>
            <w:r>
              <w:rPr>
                <w:rFonts w:ascii="Arial" w:cs="Arial" w:eastAsia="Arial" w:hAnsi="Arial"/>
                <w:sz w:val="14"/>
                <w:szCs w:val="14"/>
                <w:color w:val="auto"/>
              </w:rPr>
              <w:t>J.B. Straubel(14)</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620,020</w:t>
            </w:r>
          </w:p>
        </w:tc>
        <w:tc>
          <w:tcPr>
            <w:tcW w:w="4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Dipender Saluja(15)</w:t>
            </w:r>
          </w:p>
        </w:tc>
        <w:tc>
          <w:tcPr>
            <w:tcW w:w="5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20" w:type="dxa"/>
            <w:vAlign w:val="bottom"/>
            <w:gridSpan w:val="2"/>
          </w:tcPr>
          <w:p>
            <w:pPr>
              <w:spacing w:after="0" w:line="150" w:lineRule="exact"/>
              <w:rPr>
                <w:sz w:val="20"/>
                <w:szCs w:val="20"/>
                <w:color w:val="auto"/>
              </w:rPr>
            </w:pPr>
            <w:r>
              <w:rPr>
                <w:rFonts w:ascii="Arial" w:cs="Arial" w:eastAsia="Arial" w:hAnsi="Arial"/>
                <w:sz w:val="14"/>
                <w:szCs w:val="14"/>
                <w:b w:val="1"/>
                <w:bCs w:val="1"/>
                <w:color w:val="auto"/>
              </w:rPr>
              <w:t>All Directors and Executive Officers as a Group</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20" w:type="dxa"/>
            <w:vAlign w:val="bottom"/>
            <w:gridSpan w:val="2"/>
          </w:tcPr>
          <w:p>
            <w:pPr>
              <w:ind w:left="120"/>
              <w:spacing w:after="0"/>
              <w:rPr>
                <w:sz w:val="20"/>
                <w:szCs w:val="20"/>
                <w:color w:val="auto"/>
              </w:rPr>
            </w:pPr>
            <w:r>
              <w:rPr>
                <w:rFonts w:ascii="Arial" w:cs="Arial" w:eastAsia="Arial" w:hAnsi="Arial"/>
                <w:sz w:val="14"/>
                <w:szCs w:val="14"/>
                <w:b w:val="1"/>
                <w:bCs w:val="1"/>
                <w:color w:val="auto"/>
              </w:rPr>
              <w:t>(14 Individuals)(16)</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131,319,650</w:t>
            </w:r>
          </w:p>
        </w:tc>
        <w:tc>
          <w:tcPr>
            <w:tcW w:w="4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35.49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39.77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900" w:type="dxa"/>
            <w:vAlign w:val="bottom"/>
            <w:gridSpan w:val="3"/>
          </w:tcPr>
          <w:p>
            <w:pPr>
              <w:ind w:left="120"/>
              <w:spacing w:after="0"/>
              <w:rPr>
                <w:sz w:val="20"/>
                <w:szCs w:val="20"/>
                <w:color w:val="auto"/>
              </w:rPr>
            </w:pPr>
            <w:r>
              <w:rPr>
                <w:rFonts w:ascii="Arial" w:cs="Arial" w:eastAsia="Arial" w:hAnsi="Arial"/>
                <w:sz w:val="14"/>
                <w:szCs w:val="14"/>
                <w:color w:val="auto"/>
              </w:rPr>
              <w:t>Represents beneficial ownership of less than 1%.</w:t>
            </w: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9310" cy="1905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64770</wp:posOffset>
            </wp:positionV>
            <wp:extent cx="57975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579755" cy="6350"/>
                    </a:xfrm>
                    <a:prstGeom prst="rect">
                      <a:avLst/>
                    </a:prstGeom>
                    <a:noFill/>
                  </pic:spPr>
                </pic:pic>
              </a:graphicData>
            </a:graphic>
          </wp:anchor>
        </w:drawing>
      </w:r>
    </w:p>
    <w:p>
      <w:pPr>
        <w:spacing w:after="0" w:line="112" w:lineRule="exact"/>
        <w:rPr>
          <w:sz w:val="20"/>
          <w:szCs w:val="20"/>
          <w:color w:val="auto"/>
        </w:rPr>
      </w:pPr>
    </w:p>
    <w:p>
      <w:pPr>
        <w:ind w:left="680" w:right="459" w:hanging="317"/>
        <w:spacing w:after="0" w:line="249"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37,793,435 shares of Class A Common Stock and 17,980,436 shares of Class B Common Stock. The business address of Volkswagen Group of America Investments, LLC is 220 Ferdinand Porsche Dr. Herndon, VA 20171.</w:t>
      </w:r>
    </w:p>
    <w:p>
      <w:pPr>
        <w:ind w:left="680" w:right="819" w:hanging="317"/>
        <w:spacing w:after="0" w:line="242"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4,830,503 shares of Class A Common Stock and 30,609,901 shares of Class B Common Stock. The business address of Khosla Ventures III, LP is 2128 Sand Hill Road Menlo Park, CA 94025.</w:t>
      </w:r>
    </w:p>
    <w:p>
      <w:pPr>
        <w:ind w:left="680" w:right="379" w:hanging="317"/>
        <w:spacing w:after="0" w:line="290" w:lineRule="auto"/>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Consists of 1,065,494 shares of Class A Common Stock held by Technology Impact Growth Fund, LP, 5,403,570 shares of Class A Common Stock held by TIGF Direct Strategies Fund LLC and 2,927,838 shares of Class A Common Stock and 14,022,837 shares of Class B Common stock held by Capricorn-Libra Investment Group, LLC. TIGF Partners, LLC is the general partner of Technology Impact Growth Fund, LP and the manager of TIGF Direct Strategies Fund LLC. TIGF Partners, LLC is wholly owned by Capricorn-Libra Investment Group, LLC. The business address of Technology Impact Growth Fund, LP is 250 University Avenue Palo Alto, CA 94301. The business address of TIGF Direct Strategies Fund LLC is 250 University Avenue Palo Alto, CA 94301. The business address of Capricorn-Libra Investment Group, LLC is 250 University Avenue Palo Alto, CA 94301.</w:t>
      </w:r>
    </w:p>
    <w:p>
      <w:pPr>
        <w:spacing w:after="0" w:line="136" w:lineRule="exact"/>
        <w:rPr>
          <w:rFonts w:ascii="Arial" w:cs="Arial" w:eastAsia="Arial" w:hAnsi="Arial"/>
          <w:sz w:val="12"/>
          <w:szCs w:val="12"/>
          <w:color w:val="auto"/>
        </w:rPr>
      </w:pPr>
    </w:p>
    <w:p>
      <w:pPr>
        <w:ind w:left="680" w:right="839" w:hanging="317"/>
        <w:spacing w:after="0" w:line="242" w:lineRule="auto"/>
        <w:tabs>
          <w:tab w:leader="none" w:pos="68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Consists of 1,932,201 shares of Class A Common Stock and 18,349,929 shares of Class B Common Stock. The business address of KPCB Holdings, Inc., as nominee is 2750 Sand Hill Road, Menlo Park, CA 94025.</w:t>
      </w:r>
    </w:p>
    <w:p>
      <w:pPr>
        <w:ind w:left="680" w:right="459" w:hanging="317"/>
        <w:spacing w:after="0" w:line="287" w:lineRule="auto"/>
        <w:tabs>
          <w:tab w:leader="none" w:pos="68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Consists of (a) options to purchase 8,592,100 shares of Class A Common Stock that are exercisable within 60 days of November 25, 2020, (b) 2,010,874 shares of Class B Common Stock that are exercisable within 60 days of November 25, 2020, (c) 1,340,582 shares of Class B Common Stock held by Mr. Singh, (d) 4,021,750 shares of Class B Common Stock held in trust by Jagdeep Singh, Trustee of the Roshni Singh 2020 Annuity Trust A dated September 1, 2020, (e) 4,021,750 shares of Class B Common Stock held in trust by Jagdeep Singh, Trustee of the Jagdeep Singh 2020 Annuity Trust A dated September 1, 2020, (f) 966,100 shares of Class A Common Stock and 5,541,385 shares of Class B Common Stock held in trust by Jagdeep Singh &amp; Roshni Singh, Trustees of the Singh Family Trust UDT dated October 3, 1996, (g) 561,862 shares of Class A Common Stock held in trust by Tejbir Singh Phool, Trustee of the Kismet Diya Singh 2013 Trust dated July 31, 2013, (h) 561,862 shares of Class A Common Stock held in trust by Tejbir Singh Phool, Trustee of the Nageena Singh 2013 Trust dated July 31, 2013 and (i) 561,862 shares of Class A Common Stock held in trust by Tejbir Singh Phool, Trustee of the Noor Deepika Singh 2013 Trust dated July 31, 2013.</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219" w:right="1440" w:bottom="1440" w:gutter="0" w:footer="0" w:header="0"/>
        </w:sectPr>
      </w:pPr>
    </w:p>
    <w:bookmarkStart w:id="17" w:name="page18"/>
    <w:bookmarkEnd w:id="17"/>
    <w:p>
      <w:pPr>
        <w:ind w:left="680" w:right="379" w:hanging="317"/>
        <w:spacing w:after="0" w:line="247"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Consists of (a) options to purchase 1,198,478 shares of Class A Common Stock that are exercisable within 60 days of November 25, 2020, (b) 1,922,394 shares of Class B Common Stock that are exercisable within 60 days of November 25, 2020 and (c) 764,131 shares of Class B Common Stock held by Mr. Lukens.</w:t>
      </w:r>
    </w:p>
    <w:p>
      <w:pPr>
        <w:ind w:left="680" w:right="479" w:hanging="317"/>
        <w:spacing w:after="0" w:line="24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(a) options to purchase 1,902,282 shares of Class A Common Stock that are exercisable within 60 days of November 25, 2020, (b) 124,673 shares of Class B Common Stock that are exercisable within 60 days of November 25, 2020 and (c) 820,435 shares of Class B Common Stock held by Mr. McCarthy.</w:t>
      </w:r>
    </w:p>
    <w:p>
      <w:pPr>
        <w:ind w:left="680" w:right="519" w:hanging="317"/>
        <w:spacing w:after="0" w:line="282"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Consists of (a) 8,390,327 shares of Class B Common Stock held by Prof. Prinz, (b) 1,340,582 shares of Class B Common Stock held in trust by Friedrich Prinz and Jagdeep Singh, Trustees of the Marie Helen Prinz 2019 Trust dated June 17, 2019, (c) 1,340,582 shares of Class B Common Stock held in trust by Friedrich Prinz and Jagdeep Singh, Trustees of the Benedikt Prinz 2019 Trust dated June 17, 2019, (d) 1,206,525 shares of Class B Common Stock held in trust by Friedrich Prinz, Trustee of the Gertrude Prinz Annuity Trust dated August 31, 2020, and (e) 1,206,525 shares of Class B Common Stock held in trust by Friedrich Prinz, Trustee of the Friedrich Prinz Annuity Trust dated August 31, 2020.</w:t>
      </w:r>
    </w:p>
    <w:p>
      <w:pPr>
        <w:spacing w:after="0" w:line="1" w:lineRule="exact"/>
        <w:rPr>
          <w:rFonts w:ascii="Arial" w:cs="Arial" w:eastAsia="Arial" w:hAnsi="Arial"/>
          <w:sz w:val="12"/>
          <w:szCs w:val="12"/>
          <w:color w:val="auto"/>
        </w:rPr>
      </w:pPr>
    </w:p>
    <w:p>
      <w:pPr>
        <w:ind w:left="680" w:right="599" w:hanging="317"/>
        <w:spacing w:after="0" w:line="24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37,793,435 shares of Class A Common Stock and 17,980,436 shares of Class B Common Stock held by Volkswagen. Mr. Blome, a member of our board of directors, is Head of Volkswagen’s Battery Center of Excellence.</w:t>
      </w:r>
    </w:p>
    <w:p>
      <w:pPr>
        <w:ind w:left="680" w:hanging="317"/>
        <w:spacing w:after="0"/>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304,426 shares of Class A Common Stock held by Mr. Buss.</w:t>
      </w:r>
    </w:p>
    <w:p>
      <w:pPr>
        <w:spacing w:after="0" w:line="1" w:lineRule="exact"/>
        <w:rPr>
          <w:rFonts w:ascii="Arial" w:cs="Arial" w:eastAsia="Arial" w:hAnsi="Arial"/>
          <w:sz w:val="14"/>
          <w:szCs w:val="14"/>
          <w:color w:val="auto"/>
        </w:rPr>
      </w:pPr>
    </w:p>
    <w:p>
      <w:pPr>
        <w:ind w:left="680" w:right="459" w:hanging="317"/>
        <w:spacing w:after="0" w:line="24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Doerr, a member of our board of directors, is the Chairman at Kleiner Perkins. Mr. Doerr disclaims beneficial ownership of all shares held by KPCB Holdings, Inc., as nominee referred to in footnote (4) above.</w:t>
      </w:r>
    </w:p>
    <w:p>
      <w:pPr>
        <w:ind w:left="680" w:hanging="317"/>
        <w:spacing w:after="0"/>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options to purchase 328,443 Class A Common Stock that are exercisable within 60 days of November 25, 2020.</w:t>
      </w:r>
    </w:p>
    <w:p>
      <w:pPr>
        <w:spacing w:after="0" w:line="1" w:lineRule="exact"/>
        <w:rPr>
          <w:rFonts w:ascii="Arial" w:cs="Arial" w:eastAsia="Arial" w:hAnsi="Arial"/>
          <w:sz w:val="14"/>
          <w:szCs w:val="14"/>
          <w:color w:val="auto"/>
        </w:rPr>
      </w:pPr>
    </w:p>
    <w:p>
      <w:pPr>
        <w:ind w:left="680" w:right="439" w:hanging="317"/>
        <w:spacing w:after="0" w:line="286"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Consists of (a) 4,005,102 shares of Class A Common Stock held by members of Kensington Capital Sponsor LLC, (b) 1,144,898 shares of Class A Common Stock held by Kensington Capital Partners, LLC, (c) 300,000 shares of Class A Common Stock held by the Justin E. Mirro 2020 Qualified Annuity Trust under agreement dated June 27, 2020 and (d) 300,000 shares of Class A Common Stock held by the Kensington Capital Trust under agreement dated June 27, 2020. Justin Mirro, a member of our board of directors, is a managing member of the managing member of Kensington Capital Sponsor LLC. Consequently, Mr. Mirro may be deemed to share beneficial ownership of the shares held by the Kensington Capital Sponsor LLC. Mr. Mirro disclaims any beneficial ownership of the shares held by members of Kensington Capital Sponsor LLC other than to the extent he may have a pecuniary interest therein, directly or indirectly. Mr. Mirro is the managing member and sole owner of Kensington Capital Partners, LLC. Mr. Mirro is trustee of the Justin E. Mirro 2020 Qualified Annuity Trust under agreement dated June 27, 2020. Mr. Mirro disclaims any beneficial ownership of the shares held by the Justin E. Mirro 2020 Qualified Annuity Trust under agreement dated June 27, 2020 other than to the extent he may have a pecuniary interest therein, directly or indirectly. Mr. Mirro’s spouse serves as the trustee of the Kensington Capital Trust under agreement dated June 27, 2020. Mr. Mirro disclaims any beneficial ownership of the shares held by the Kensington Capital Trust under agreement dated June 27, 2020 other than to the extent of any pecuniary interest he may have a pecuniary interest therein, directly or indirectly.</w:t>
      </w:r>
    </w:p>
    <w:p>
      <w:pPr>
        <w:spacing w:after="0" w:line="137" w:lineRule="exact"/>
        <w:rPr>
          <w:rFonts w:ascii="Arial" w:cs="Arial" w:eastAsia="Arial" w:hAnsi="Arial"/>
          <w:sz w:val="12"/>
          <w:szCs w:val="12"/>
          <w:color w:val="auto"/>
        </w:rPr>
      </w:pPr>
    </w:p>
    <w:p>
      <w:pPr>
        <w:ind w:left="680" w:right="739" w:hanging="317"/>
        <w:spacing w:after="0" w:line="282" w:lineRule="auto"/>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Consists of (a) options to purchase 217,846 shares of Class A Common Stock that are exercisable within 60 days of November 25, 2020, (b) 219,474 shares of Class A Common Stock and (c) 182,700 shares of Class B Common Stock held by Mr. Straubel.</w:t>
      </w:r>
    </w:p>
    <w:p>
      <w:pPr>
        <w:ind w:left="680" w:right="439" w:hanging="317"/>
        <w:spacing w:after="0" w:line="242"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Mr. Saluja, a member of our board of directors, is Managing Director of Capricorn-Libra Investment Group, LLC. Mr. Saluja disclaims beneficial ownership of all shares held by Capricorn-Libra Investment Group, LLC referred to in footnote (3) above.</w:t>
      </w:r>
    </w:p>
    <w:p>
      <w:pPr>
        <w:ind w:left="680" w:right="399" w:hanging="317"/>
        <w:spacing w:after="0" w:line="243" w:lineRule="auto"/>
        <w:tabs>
          <w:tab w:leader="none" w:pos="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Consists of (a) options to purchase 17,911,914 shares of Class A Common Stock that are exercisable within 60 days of November 25, 2020, (b) 4,391,745 shares of Class B Common Stock that are exercisable within 60 days of November 25, 2020, (c) 46,951,006 shares of Class A Common Stock and (d) 62,064,985 shares of Class B Common Stock.</w:t>
      </w:r>
    </w:p>
    <w:p>
      <w:pPr>
        <w:spacing w:after="0" w:line="23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The certain relationships and related party transactions of the Company are described in the Proxy Statement in the section entitled</w:t>
      </w:r>
    </w:p>
    <w:p>
      <w:pPr>
        <w:spacing w:after="0" w:line="35" w:lineRule="exact"/>
        <w:rPr>
          <w:sz w:val="20"/>
          <w:szCs w:val="20"/>
          <w:color w:val="auto"/>
        </w:rPr>
      </w:pPr>
    </w:p>
    <w:p>
      <w:pPr>
        <w:ind w:left="360"/>
        <w:spacing w:after="0"/>
        <w:rPr>
          <w:rFonts w:ascii="Arial" w:cs="Arial" w:eastAsia="Arial" w:hAnsi="Arial"/>
          <w:sz w:val="12"/>
          <w:szCs w:val="12"/>
          <w:color w:val="auto"/>
        </w:rPr>
      </w:pPr>
      <w:r>
        <w:rPr>
          <w:rFonts w:ascii="Arial" w:cs="Arial" w:eastAsia="Arial" w:hAnsi="Arial"/>
          <w:sz w:val="12"/>
          <w:szCs w:val="12"/>
          <w:color w:val="auto"/>
        </w:rPr>
        <w:t>“</w:t>
      </w:r>
      <w:hyperlink r:id="rId47">
        <w:r>
          <w:rPr>
            <w:rFonts w:ascii="Arial" w:cs="Arial" w:eastAsia="Arial" w:hAnsi="Arial"/>
            <w:sz w:val="12"/>
            <w:szCs w:val="12"/>
            <w:u w:val="single" w:color="auto"/>
            <w:color w:val="0000EE"/>
          </w:rPr>
          <w:t>Certain QuantumScape Relationships and Related Person Transactions</w:t>
        </w:r>
      </w:hyperlink>
      <w:r>
        <w:rPr>
          <w:rFonts w:ascii="Arial" w:cs="Arial" w:eastAsia="Arial" w:hAnsi="Arial"/>
          <w:sz w:val="12"/>
          <w:szCs w:val="12"/>
          <w:color w:val="auto"/>
        </w:rPr>
        <w:t>” beginning on page 192 of the Proxy Statement, which is incorporated herein by</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reference.</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Legal Proceedings</w:t>
      </w:r>
    </w:p>
    <w:p>
      <w:pPr>
        <w:spacing w:after="0" w:line="85" w:lineRule="exact"/>
        <w:rPr>
          <w:sz w:val="20"/>
          <w:szCs w:val="20"/>
          <w:color w:val="auto"/>
        </w:rPr>
      </w:pPr>
    </w:p>
    <w:p>
      <w:pPr>
        <w:ind w:left="360" w:right="459" w:firstLine="745"/>
        <w:spacing w:after="0" w:line="259" w:lineRule="auto"/>
        <w:rPr>
          <w:rFonts w:ascii="Arial" w:cs="Arial" w:eastAsia="Arial" w:hAnsi="Arial"/>
          <w:sz w:val="14"/>
          <w:szCs w:val="14"/>
          <w:color w:val="0000EE"/>
        </w:rPr>
      </w:pPr>
      <w:hyperlink r:id="rId26">
        <w:r>
          <w:rPr>
            <w:rFonts w:ascii="Arial" w:cs="Arial" w:eastAsia="Arial" w:hAnsi="Arial"/>
            <w:sz w:val="14"/>
            <w:szCs w:val="14"/>
            <w:color w:val="auto"/>
          </w:rPr>
          <w:t>Information about legal proceedings is set forth in the Proxy Statement in the section entitled “</w:t>
        </w:r>
        <w:r>
          <w:rPr>
            <w:rFonts w:ascii="Arial" w:cs="Arial" w:eastAsia="Arial" w:hAnsi="Arial"/>
            <w:sz w:val="14"/>
            <w:szCs w:val="14"/>
            <w:u w:val="single" w:color="auto"/>
            <w:color w:val="0000EE"/>
          </w:rPr>
          <w:t>Information About QuantumScape—Legal</w:t>
        </w:r>
      </w:hyperlink>
      <w:r>
        <w:rPr>
          <w:rFonts w:ascii="Arial" w:cs="Arial" w:eastAsia="Arial" w:hAnsi="Arial"/>
          <w:sz w:val="14"/>
          <w:szCs w:val="14"/>
          <w:color w:val="auto"/>
        </w:rPr>
        <w:t xml:space="preserve"> </w:t>
      </w:r>
      <w:hyperlink r:id="rId26">
        <w:r>
          <w:rPr>
            <w:rFonts w:ascii="Arial" w:cs="Arial" w:eastAsia="Arial" w:hAnsi="Arial"/>
            <w:sz w:val="14"/>
            <w:szCs w:val="14"/>
            <w:u w:val="single" w:color="auto"/>
            <w:color w:val="0000EE"/>
          </w:rPr>
          <w:t>Proceedings</w:t>
        </w:r>
        <w:r>
          <w:rPr>
            <w:rFonts w:ascii="Arial" w:cs="Arial" w:eastAsia="Arial" w:hAnsi="Arial"/>
            <w:sz w:val="14"/>
            <w:szCs w:val="14"/>
            <w:color w:val="000000"/>
          </w:rPr>
          <w:t>” on page 170 of the Proxy Statement, which is incorporated herein by reference.</w:t>
        </w:r>
      </w:hyperlink>
    </w:p>
    <w:p>
      <w:pPr>
        <w:spacing w:after="0" w:line="219" w:lineRule="exact"/>
        <w:rPr>
          <w:sz w:val="20"/>
          <w:szCs w:val="20"/>
          <w:color w:val="auto"/>
        </w:rPr>
      </w:pPr>
    </w:p>
    <w:p>
      <w:pPr>
        <w:ind w:left="360" w:right="2799"/>
        <w:spacing w:after="0" w:line="364" w:lineRule="auto"/>
        <w:rPr>
          <w:sz w:val="20"/>
          <w:szCs w:val="20"/>
          <w:color w:val="auto"/>
        </w:rPr>
      </w:pPr>
      <w:r>
        <w:rPr>
          <w:rFonts w:ascii="Arial" w:cs="Arial" w:eastAsia="Arial" w:hAnsi="Arial"/>
          <w:sz w:val="14"/>
          <w:szCs w:val="14"/>
          <w:b w:val="1"/>
          <w:bCs w:val="1"/>
          <w:color w:val="auto"/>
        </w:rPr>
        <w:t xml:space="preserve">Market Price of and Dividends on the Registrant’s Common Equity and Related Stockholder Matters </w:t>
      </w:r>
      <w:r>
        <w:rPr>
          <w:rFonts w:ascii="Arial" w:cs="Arial" w:eastAsia="Arial" w:hAnsi="Arial"/>
          <w:sz w:val="14"/>
          <w:szCs w:val="14"/>
          <w:b w:val="1"/>
          <w:bCs w:val="1"/>
          <w:i w:val="1"/>
          <w:iCs w:val="1"/>
          <w:color w:val="auto"/>
        </w:rPr>
        <w:t>Market Information and Holders</w:t>
      </w:r>
    </w:p>
    <w:p>
      <w:pPr>
        <w:spacing w:after="0" w:line="1" w:lineRule="exact"/>
        <w:rPr>
          <w:sz w:val="20"/>
          <w:szCs w:val="20"/>
          <w:color w:val="auto"/>
        </w:rPr>
      </w:pPr>
    </w:p>
    <w:p>
      <w:pPr>
        <w:ind w:left="360" w:right="379" w:firstLine="745"/>
        <w:spacing w:after="0" w:line="250" w:lineRule="auto"/>
        <w:rPr>
          <w:rFonts w:ascii="Arial" w:cs="Arial" w:eastAsia="Arial" w:hAnsi="Arial"/>
          <w:sz w:val="14"/>
          <w:szCs w:val="14"/>
          <w:color w:val="auto"/>
        </w:rPr>
      </w:pPr>
      <w:r>
        <w:rPr>
          <w:rFonts w:ascii="Arial" w:cs="Arial" w:eastAsia="Arial" w:hAnsi="Arial"/>
          <w:sz w:val="14"/>
          <w:szCs w:val="14"/>
          <w:color w:val="auto"/>
        </w:rPr>
        <w:t>The information set forth in the section entitled “</w:t>
      </w:r>
      <w:hyperlink r:id="rId48">
        <w:r>
          <w:rPr>
            <w:rFonts w:ascii="Arial" w:cs="Arial" w:eastAsia="Arial" w:hAnsi="Arial"/>
            <w:sz w:val="14"/>
            <w:szCs w:val="14"/>
            <w:u w:val="single" w:color="auto"/>
            <w:color w:val="0000EE"/>
          </w:rPr>
          <w:t>Price Range of Securities and Dividends</w:t>
        </w:r>
      </w:hyperlink>
      <w:r>
        <w:rPr>
          <w:rFonts w:ascii="Arial" w:cs="Arial" w:eastAsia="Arial" w:hAnsi="Arial"/>
          <w:sz w:val="14"/>
          <w:szCs w:val="14"/>
          <w:color w:val="auto"/>
        </w:rPr>
        <w:t>” on page 256 of the Proxy Statement is incorporated herein by reference. Additional information regarding holders of the Company’s securities is set forth in the section entitled “Description of Registrant’s Securities to be Registered” below.</w:t>
      </w:r>
    </w:p>
    <w:p>
      <w:pPr>
        <w:spacing w:after="0" w:line="146" w:lineRule="exact"/>
        <w:rPr>
          <w:sz w:val="20"/>
          <w:szCs w:val="20"/>
          <w:color w:val="auto"/>
        </w:rPr>
      </w:pPr>
    </w:p>
    <w:p>
      <w:pPr>
        <w:ind w:left="360" w:right="399" w:firstLine="745"/>
        <w:spacing w:after="0" w:line="302" w:lineRule="auto"/>
        <w:rPr>
          <w:sz w:val="20"/>
          <w:szCs w:val="20"/>
          <w:color w:val="auto"/>
        </w:rPr>
      </w:pPr>
      <w:r>
        <w:rPr>
          <w:rFonts w:ascii="Arial" w:cs="Arial" w:eastAsia="Arial" w:hAnsi="Arial"/>
          <w:sz w:val="12"/>
          <w:szCs w:val="12"/>
          <w:color w:val="auto"/>
        </w:rPr>
        <w:t>The Common Stock, KCAC warrants and KCAC units (consisting of one share of Common Stock and one warrant, the “</w:t>
      </w:r>
      <w:r>
        <w:rPr>
          <w:rFonts w:ascii="Arial" w:cs="Arial" w:eastAsia="Arial" w:hAnsi="Arial"/>
          <w:sz w:val="12"/>
          <w:szCs w:val="12"/>
          <w:u w:val="single" w:color="auto"/>
          <w:color w:val="auto"/>
        </w:rPr>
        <w:t>Units</w:t>
      </w:r>
      <w:r>
        <w:rPr>
          <w:rFonts w:ascii="Arial" w:cs="Arial" w:eastAsia="Arial" w:hAnsi="Arial"/>
          <w:sz w:val="12"/>
          <w:szCs w:val="12"/>
          <w:color w:val="auto"/>
        </w:rPr>
        <w:t>”) were historically quoted on the NYSE under the symbols “KCAC”, “KCAC WS” and “KCAC.U”, respectively. At the Effective Time, the Units automatically separated into the component securities and, as a result, no longer trade as a separate security. On November 25, 2020, the Common Stock and KCAC warrants began trading on the NYSE under the new trading symbols “QS” and “QS.W”, respectively.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240" w:right="1440" w:bottom="1440" w:gutter="0" w:footer="0" w:header="0"/>
        </w:sectPr>
      </w:pPr>
    </w:p>
    <w:bookmarkStart w:id="18" w:name="page19"/>
    <w:bookmarkEnd w:id="18"/>
    <w:p>
      <w:pPr>
        <w:ind w:left="360" w:right="399" w:firstLine="745"/>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As of the Closing Date, the Company had approximately 189,469,223 shares of the Class A Common Stock issued and outstanding held of record by 135 holders and approximately 158,271,287 shares of Class B Common Stock held of record by 50 holders, approximately 18,149,989 warrants, each exercisable for one share of Class A Common Stock at a price of $11.50 per share, held of record by 19 holders, approximately 521,693 warrants, each exercisable for one share of Class A Common Stock at a price of $2.5877 per share, held of record by 1 holder and approximately 501,047 warrants, each exercisable for one share of Class B Common Stock at a price of $0.5473 per share, held of record by 1 holder.</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Dividends</w:t>
      </w:r>
    </w:p>
    <w:p>
      <w:pPr>
        <w:spacing w:after="0" w:line="83" w:lineRule="exact"/>
        <w:rPr>
          <w:sz w:val="20"/>
          <w:szCs w:val="20"/>
          <w:color w:val="auto"/>
        </w:rPr>
      </w:pPr>
    </w:p>
    <w:p>
      <w:pPr>
        <w:ind w:left="360" w:right="419" w:firstLine="745"/>
        <w:spacing w:after="0" w:line="294" w:lineRule="auto"/>
        <w:rPr>
          <w:sz w:val="20"/>
          <w:szCs w:val="20"/>
          <w:color w:val="auto"/>
        </w:rPr>
      </w:pPr>
      <w:r>
        <w:rPr>
          <w:rFonts w:ascii="Arial" w:cs="Arial" w:eastAsia="Arial" w:hAnsi="Arial"/>
          <w:sz w:val="12"/>
          <w:szCs w:val="12"/>
          <w:color w:val="auto"/>
        </w:rPr>
        <w:t>The Company has not paid any cash dividends on the Common Stock to date. The Company may retain future earnings, if any, for future operations, expansion and debt repayment and has no current plans to pay cash dividends for the foreseeable future. Any decision to declare and pay dividends in the future will be made at the discretion of the Board and will depend on, among other things, the Company’s results of operations, financial condition, cash requirements, contractual restrictions and other factors that the Board may deem relevant. In addition, the Company’s ability to pay dividends may be limited by covenants of any existing and future outstanding indebtedness the Company or its subsidiaries incur. The Company does not anticipate declaring any cash dividends to holders of the Common Stock in the foreseeable future.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Description of Registrant’s Securities to be Registered</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Common Stock</w:t>
      </w:r>
    </w:p>
    <w:p>
      <w:pPr>
        <w:spacing w:after="0" w:line="83" w:lineRule="exact"/>
        <w:rPr>
          <w:sz w:val="20"/>
          <w:szCs w:val="20"/>
          <w:color w:val="auto"/>
        </w:rPr>
      </w:pPr>
    </w:p>
    <w:p>
      <w:pPr>
        <w:ind w:left="360" w:right="379" w:firstLine="745"/>
        <w:spacing w:after="0" w:line="250" w:lineRule="auto"/>
        <w:rPr>
          <w:rFonts w:ascii="Arial" w:cs="Arial" w:eastAsia="Arial" w:hAnsi="Arial"/>
          <w:sz w:val="14"/>
          <w:szCs w:val="14"/>
          <w:color w:val="0000EE"/>
        </w:rPr>
      </w:pPr>
      <w:hyperlink r:id="rId50">
        <w:r>
          <w:rPr>
            <w:rFonts w:ascii="Arial" w:cs="Arial" w:eastAsia="Arial" w:hAnsi="Arial"/>
            <w:sz w:val="14"/>
            <w:szCs w:val="14"/>
            <w:color w:val="auto"/>
          </w:rPr>
          <w:t>A description of the Common Stock is included in the Proxy Statement in the section entitled “</w:t>
        </w:r>
        <w:r>
          <w:rPr>
            <w:rFonts w:ascii="Arial" w:cs="Arial" w:eastAsia="Arial" w:hAnsi="Arial"/>
            <w:sz w:val="14"/>
            <w:szCs w:val="14"/>
            <w:u w:val="single" w:color="auto"/>
            <w:color w:val="0000EE"/>
          </w:rPr>
          <w:t>Description of Kensington’s Securities—</w:t>
        </w:r>
      </w:hyperlink>
      <w:r>
        <w:rPr>
          <w:rFonts w:ascii="Arial" w:cs="Arial" w:eastAsia="Arial" w:hAnsi="Arial"/>
          <w:sz w:val="14"/>
          <w:szCs w:val="14"/>
          <w:color w:val="auto"/>
        </w:rPr>
        <w:t xml:space="preserve"> </w:t>
      </w:r>
      <w:hyperlink r:id="rId50">
        <w:r>
          <w:rPr>
            <w:rFonts w:ascii="Arial" w:cs="Arial" w:eastAsia="Arial" w:hAnsi="Arial"/>
            <w:sz w:val="14"/>
            <w:szCs w:val="14"/>
            <w:u w:val="single" w:color="auto"/>
            <w:color w:val="0000EE"/>
          </w:rPr>
          <w:t>General</w:t>
        </w:r>
        <w:r>
          <w:rPr>
            <w:rFonts w:ascii="Arial" w:cs="Arial" w:eastAsia="Arial" w:hAnsi="Arial"/>
            <w:sz w:val="14"/>
            <w:szCs w:val="14"/>
            <w:color w:val="000000"/>
          </w:rPr>
          <w:t>” and “</w:t>
        </w:r>
        <w:r>
          <w:rPr>
            <w:rFonts w:ascii="Arial" w:cs="Arial" w:eastAsia="Arial" w:hAnsi="Arial"/>
            <w:sz w:val="14"/>
            <w:szCs w:val="14"/>
            <w:u w:val="single" w:color="auto"/>
            <w:color w:val="0000EE"/>
          </w:rPr>
          <w:t>Description of Kensington’s Securities—Common Stock</w:t>
        </w:r>
        <w:r>
          <w:rPr>
            <w:rFonts w:ascii="Arial" w:cs="Arial" w:eastAsia="Arial" w:hAnsi="Arial"/>
            <w:sz w:val="14"/>
            <w:szCs w:val="14"/>
            <w:color w:val="000000"/>
          </w:rPr>
          <w:t xml:space="preserve">” beginning on page 230 of the Proxy Statement, which is incorporated herein </w:t>
        </w:r>
      </w:hyperlink>
      <w:r>
        <w:rPr>
          <w:rFonts w:ascii="Arial" w:cs="Arial" w:eastAsia="Arial" w:hAnsi="Arial"/>
          <w:sz w:val="14"/>
          <w:szCs w:val="14"/>
          <w:color w:val="0000EE"/>
        </w:rPr>
        <w:t xml:space="preserve">by </w:t>
      </w:r>
      <w:r>
        <w:rPr>
          <w:rFonts w:ascii="Arial" w:cs="Arial" w:eastAsia="Arial" w:hAnsi="Arial"/>
          <w:sz w:val="14"/>
          <w:szCs w:val="14"/>
          <w:color w:val="000000"/>
        </w:rPr>
        <w:t>reference.</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Warrants</w:t>
      </w:r>
    </w:p>
    <w:p>
      <w:pPr>
        <w:spacing w:after="0" w:line="83" w:lineRule="exact"/>
        <w:rPr>
          <w:sz w:val="20"/>
          <w:szCs w:val="20"/>
          <w:color w:val="auto"/>
        </w:rPr>
      </w:pPr>
    </w:p>
    <w:p>
      <w:pPr>
        <w:jc w:val="both"/>
        <w:ind w:left="360" w:right="479" w:firstLine="745"/>
        <w:spacing w:after="0" w:line="302" w:lineRule="auto"/>
        <w:rPr>
          <w:sz w:val="20"/>
          <w:szCs w:val="20"/>
          <w:color w:val="auto"/>
        </w:rPr>
      </w:pPr>
      <w:r>
        <w:rPr>
          <w:rFonts w:ascii="Arial" w:cs="Arial" w:eastAsia="Arial" w:hAnsi="Arial"/>
          <w:sz w:val="12"/>
          <w:szCs w:val="12"/>
          <w:color w:val="auto"/>
        </w:rPr>
        <w:t>Each warrant that entitles the registered holder to purchase one share of Class A Common Stock at a price of $11.50 per share, subject to adjustment as discussed below, is exercisable at the later of any time commencing 30 days after the consummation of the Business Combination or one year after the closing of the Company’s initial public offering. These warrants will expire at 5:00 p.m., New York City time, on the fifth anniversary of the consummation of the Business Combination, or earlier upon redemption or liquidation.</w:t>
      </w:r>
    </w:p>
    <w:p>
      <w:pPr>
        <w:spacing w:after="0" w:line="117" w:lineRule="exact"/>
        <w:rPr>
          <w:sz w:val="20"/>
          <w:szCs w:val="20"/>
          <w:color w:val="auto"/>
        </w:rPr>
      </w:pPr>
    </w:p>
    <w:p>
      <w:pPr>
        <w:ind w:left="360" w:right="459" w:firstLine="745"/>
        <w:spacing w:after="0" w:line="250" w:lineRule="auto"/>
        <w:rPr>
          <w:rFonts w:ascii="Arial" w:cs="Arial" w:eastAsia="Arial" w:hAnsi="Arial"/>
          <w:sz w:val="14"/>
          <w:szCs w:val="14"/>
          <w:color w:val="auto"/>
        </w:rPr>
      </w:pPr>
      <w:r>
        <w:rPr>
          <w:rFonts w:ascii="Arial" w:cs="Arial" w:eastAsia="Arial" w:hAnsi="Arial"/>
          <w:sz w:val="14"/>
          <w:szCs w:val="14"/>
          <w:color w:val="auto"/>
        </w:rPr>
        <w:t>Subject to the foregoing paragraph, a description of the aforementioned warrants is included in the Proxy Statement in the section entitled “</w:t>
      </w:r>
      <w:hyperlink r:id="rId50">
        <w:r>
          <w:rPr>
            <w:rFonts w:ascii="Arial" w:cs="Arial" w:eastAsia="Arial" w:hAnsi="Arial"/>
            <w:sz w:val="14"/>
            <w:szCs w:val="14"/>
            <w:u w:val="single" w:color="auto"/>
            <w:color w:val="0000EE"/>
          </w:rPr>
          <w:t>Description of Kensington’s Securities—Kensington Warrants</w:t>
        </w:r>
      </w:hyperlink>
      <w:r>
        <w:rPr>
          <w:rFonts w:ascii="Arial" w:cs="Arial" w:eastAsia="Arial" w:hAnsi="Arial"/>
          <w:sz w:val="14"/>
          <w:szCs w:val="14"/>
          <w:color w:val="auto"/>
        </w:rPr>
        <w:t>” beginning on page 237 of the Proxy Statement, which is incorporated herein by reference.</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Indemnification of Directors and Officers</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2"/>
          <w:szCs w:val="12"/>
          <w:color w:val="auto"/>
        </w:rPr>
        <w:t>Information about indemnification of the Company’s directors and officers is set forth in the Proxy Statement in the section entitled</w:t>
      </w:r>
    </w:p>
    <w:p>
      <w:pPr>
        <w:spacing w:after="0" w:line="35" w:lineRule="exact"/>
        <w:rPr>
          <w:sz w:val="20"/>
          <w:szCs w:val="20"/>
          <w:color w:val="auto"/>
        </w:rPr>
      </w:pPr>
    </w:p>
    <w:p>
      <w:pPr>
        <w:ind w:left="360"/>
        <w:spacing w:after="0"/>
        <w:rPr>
          <w:rFonts w:ascii="Arial" w:cs="Arial" w:eastAsia="Arial" w:hAnsi="Arial"/>
          <w:sz w:val="12"/>
          <w:szCs w:val="12"/>
          <w:color w:val="auto"/>
        </w:rPr>
      </w:pPr>
      <w:r>
        <w:rPr>
          <w:rFonts w:ascii="Arial" w:cs="Arial" w:eastAsia="Arial" w:hAnsi="Arial"/>
          <w:sz w:val="12"/>
          <w:szCs w:val="12"/>
          <w:color w:val="auto"/>
        </w:rPr>
        <w:t>“</w:t>
      </w:r>
      <w:hyperlink r:id="rId41">
        <w:r>
          <w:rPr>
            <w:rFonts w:ascii="Arial" w:cs="Arial" w:eastAsia="Arial" w:hAnsi="Arial"/>
            <w:sz w:val="12"/>
            <w:szCs w:val="12"/>
            <w:u w:val="single" w:color="auto"/>
            <w:color w:val="0000EE"/>
          </w:rPr>
          <w:t>Management After the Business Combination—Limitation on Liability and Indemnification of Directors and Officers</w:t>
        </w:r>
      </w:hyperlink>
      <w:r>
        <w:rPr>
          <w:rFonts w:ascii="Arial" w:cs="Arial" w:eastAsia="Arial" w:hAnsi="Arial"/>
          <w:sz w:val="12"/>
          <w:szCs w:val="12"/>
          <w:color w:val="auto"/>
        </w:rPr>
        <w:t>” beginning on page 228 of the</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Proxy Statement, which is incorporated herein by reference. The disclosure set forth in Item 1.01 of this Current Report on Form 8-K under the section</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entitled “Indemnification Agreements” is incorporated by reference into this Item 2.01.</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Financial Statements and Supplementary Data</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information set forth in Item 9.01 of this Current Report on Form 8-K is incorporated herein by reference.</w:t>
      </w:r>
    </w:p>
    <w:p>
      <w:pPr>
        <w:spacing w:after="0" w:line="24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Item 3.01 Notice of Delisting or Failure to Satisfy a Continued Listing Rule or Standard; Transfer of Listing.</w:t>
      </w:r>
    </w:p>
    <w:p>
      <w:pPr>
        <w:spacing w:after="0" w:line="85" w:lineRule="exact"/>
        <w:rPr>
          <w:sz w:val="20"/>
          <w:szCs w:val="20"/>
          <w:color w:val="auto"/>
        </w:rPr>
      </w:pPr>
    </w:p>
    <w:p>
      <w:pPr>
        <w:ind w:left="360" w:right="579" w:firstLine="745"/>
        <w:spacing w:after="0" w:line="342" w:lineRule="auto"/>
        <w:rPr>
          <w:sz w:val="20"/>
          <w:szCs w:val="20"/>
          <w:color w:val="auto"/>
        </w:rPr>
      </w:pPr>
      <w:r>
        <w:rPr>
          <w:rFonts w:ascii="Arial" w:cs="Arial" w:eastAsia="Arial" w:hAnsi="Arial"/>
          <w:sz w:val="12"/>
          <w:szCs w:val="12"/>
          <w:color w:val="auto"/>
        </w:rPr>
        <w:t>On the Closing Date, all of KCAC’s outstanding units separated into their component parts of one share of Class A Common Stock and one half of one warrant to purchase one share of Class A Common Stock at a price of $11.50 per share and KCAC’s units ceased trading on NYSE.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Item 3.02 Unregistered Sales of Equity Securities.</w:t>
      </w:r>
    </w:p>
    <w:p>
      <w:pPr>
        <w:spacing w:after="0" w:line="85"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The disclosure set forth in the “Introductory Note” above is incorporated by reference into this Item 3.02.</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Working Capital Warrants</w:t>
      </w:r>
    </w:p>
    <w:p>
      <w:pPr>
        <w:spacing w:after="0" w:line="85" w:lineRule="exact"/>
        <w:rPr>
          <w:sz w:val="20"/>
          <w:szCs w:val="20"/>
          <w:color w:val="auto"/>
        </w:rPr>
      </w:pPr>
    </w:p>
    <w:p>
      <w:pPr>
        <w:ind w:left="360" w:right="419" w:firstLine="745"/>
        <w:spacing w:after="0" w:line="312" w:lineRule="auto"/>
        <w:rPr>
          <w:sz w:val="20"/>
          <w:szCs w:val="20"/>
          <w:color w:val="auto"/>
        </w:rPr>
      </w:pPr>
      <w:r>
        <w:rPr>
          <w:rFonts w:ascii="Arial" w:cs="Arial" w:eastAsia="Arial" w:hAnsi="Arial"/>
          <w:sz w:val="12"/>
          <w:szCs w:val="12"/>
          <w:color w:val="auto"/>
        </w:rPr>
        <w:t>On November 25, 2020, the Company issued 75,000 “working capital” warrants (the “</w:t>
      </w:r>
      <w:r>
        <w:rPr>
          <w:rFonts w:ascii="Arial" w:cs="Arial" w:eastAsia="Arial" w:hAnsi="Arial"/>
          <w:sz w:val="12"/>
          <w:szCs w:val="12"/>
          <w:u w:val="single" w:color="auto"/>
          <w:color w:val="auto"/>
        </w:rPr>
        <w:t>Working Capital Warrants</w:t>
      </w:r>
      <w:r>
        <w:rPr>
          <w:rFonts w:ascii="Arial" w:cs="Arial" w:eastAsia="Arial" w:hAnsi="Arial"/>
          <w:sz w:val="12"/>
          <w:szCs w:val="12"/>
          <w:color w:val="auto"/>
        </w:rPr>
        <w:t>”) to an affiliate of Kensington Capital Sponsor LLC in consideration of the conversion of a working capital loan in the aggregate amount of $75,000. The Working Capital Warrants are substantially the same as those issued in a private placement at the time of the Company’s initial public offering.</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Issuance and Sale of Class A Common Stock to VGA</w:t>
      </w:r>
    </w:p>
    <w:p>
      <w:pPr>
        <w:spacing w:after="0" w:line="85" w:lineRule="exact"/>
        <w:rPr>
          <w:sz w:val="20"/>
          <w:szCs w:val="20"/>
          <w:color w:val="auto"/>
        </w:rPr>
      </w:pPr>
    </w:p>
    <w:p>
      <w:pPr>
        <w:ind w:left="360" w:right="399" w:firstLine="745"/>
        <w:spacing w:after="0" w:line="302" w:lineRule="auto"/>
        <w:rPr>
          <w:sz w:val="20"/>
          <w:szCs w:val="20"/>
          <w:color w:val="auto"/>
        </w:rPr>
      </w:pPr>
      <w:r>
        <w:rPr>
          <w:rFonts w:ascii="Arial" w:cs="Arial" w:eastAsia="Arial" w:hAnsi="Arial"/>
          <w:sz w:val="12"/>
          <w:szCs w:val="12"/>
          <w:color w:val="auto"/>
        </w:rPr>
        <w:t>In connection with the Transactions and pursuant to that certain Series F Preferred Stock Purchase Agreement (the “</w:t>
      </w:r>
      <w:r>
        <w:rPr>
          <w:rFonts w:ascii="Arial" w:cs="Arial" w:eastAsia="Arial" w:hAnsi="Arial"/>
          <w:sz w:val="12"/>
          <w:szCs w:val="12"/>
          <w:u w:val="single" w:color="auto"/>
          <w:color w:val="auto"/>
        </w:rPr>
        <w:t>Purchase Agreement</w:t>
      </w:r>
      <w:r>
        <w:rPr>
          <w:rFonts w:ascii="Arial" w:cs="Arial" w:eastAsia="Arial" w:hAnsi="Arial"/>
          <w:sz w:val="12"/>
          <w:szCs w:val="12"/>
          <w:color w:val="auto"/>
        </w:rPr>
        <w:t>”) dated May 14, 2020, by and between the Company and VGA, as amended by that certain Amendment No. 1 to Purchase Agreement, dated September 3, 2020, by and among KCAC, Legacy QuantumScape and VGA (the “</w:t>
      </w:r>
      <w:r>
        <w:rPr>
          <w:rFonts w:ascii="Arial" w:cs="Arial" w:eastAsia="Arial" w:hAnsi="Arial"/>
          <w:sz w:val="12"/>
          <w:szCs w:val="12"/>
          <w:u w:val="single" w:color="auto"/>
          <w:color w:val="auto"/>
        </w:rPr>
        <w:t>Amendment</w:t>
      </w:r>
      <w:r>
        <w:rPr>
          <w:rFonts w:ascii="Arial" w:cs="Arial" w:eastAsia="Arial" w:hAnsi="Arial"/>
          <w:sz w:val="12"/>
          <w:szCs w:val="12"/>
          <w:color w:val="auto"/>
        </w:rPr>
        <w:t>”), on December 1, 2020 the Company issued 15,221,334 shares of Class A Common Stock to VGA (the “</w:t>
      </w:r>
      <w:r>
        <w:rPr>
          <w:rFonts w:ascii="Arial" w:cs="Arial" w:eastAsia="Arial" w:hAnsi="Arial"/>
          <w:sz w:val="12"/>
          <w:szCs w:val="12"/>
          <w:u w:val="single" w:color="auto"/>
          <w:color w:val="auto"/>
        </w:rPr>
        <w:t>VGA Shares</w:t>
      </w:r>
      <w:r>
        <w:rPr>
          <w:rFonts w:ascii="Arial" w:cs="Arial" w:eastAsia="Arial" w:hAnsi="Arial"/>
          <w:sz w:val="12"/>
          <w:szCs w:val="12"/>
          <w:color w:val="auto"/>
        </w:rPr>
        <w:t>”) for proceeds of $100 million.</w:t>
      </w:r>
    </w:p>
    <w:p>
      <w:pPr>
        <w:spacing w:after="0" w:line="117" w:lineRule="exact"/>
        <w:rPr>
          <w:sz w:val="20"/>
          <w:szCs w:val="20"/>
          <w:color w:val="auto"/>
        </w:rPr>
      </w:pPr>
    </w:p>
    <w:p>
      <w:pPr>
        <w:jc w:val="both"/>
        <w:ind w:left="360" w:right="519" w:firstLine="745"/>
        <w:spacing w:after="0" w:line="250" w:lineRule="auto"/>
        <w:rPr>
          <w:sz w:val="20"/>
          <w:szCs w:val="20"/>
          <w:color w:val="auto"/>
        </w:rPr>
      </w:pPr>
      <w:r>
        <w:rPr>
          <w:rFonts w:ascii="Arial" w:cs="Arial" w:eastAsia="Arial" w:hAnsi="Arial"/>
          <w:sz w:val="14"/>
          <w:szCs w:val="14"/>
          <w:color w:val="auto"/>
        </w:rPr>
        <w:t>The foregoing description of the Purchase Agreement and Amendment does not purport to be complete and is qualified in its entirety by the terms of the Purchase Agreement and Amendment, copies of which are attached hereto as Exhibits 10.27 and 10.28, respectively, and incorporated herein by reference.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240" w:right="1440" w:bottom="1440" w:gutter="0" w:footer="0" w:header="0"/>
        </w:sectPr>
      </w:pPr>
    </w:p>
    <w:bookmarkStart w:id="19" w:name="page20"/>
    <w:bookmarkEnd w:id="19"/>
    <w:p>
      <w:pPr>
        <w:ind w:left="360" w:right="439" w:firstLine="745"/>
        <w:spacing w:after="0" w:line="34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PIPE Shares, the Working Capital Warrants and the VGA shares have not been registered under the Securities Act of 1933 in reliance on the exemption from registration provided by Section 4(a)(2) of the Securities Act and/or Regulation D promulgated thereunder.</w:t>
      </w:r>
    </w:p>
    <w:p>
      <w:pPr>
        <w:spacing w:after="0" w:line="204"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4"/>
          <w:szCs w:val="14"/>
          <w:b w:val="1"/>
          <w:bCs w:val="1"/>
          <w:color w:val="auto"/>
        </w:rPr>
        <w:t>Item 3.03</w:t>
      </w:r>
      <w:r>
        <w:rPr>
          <w:sz w:val="20"/>
          <w:szCs w:val="20"/>
          <w:color w:val="auto"/>
        </w:rPr>
        <w:tab/>
      </w:r>
      <w:r>
        <w:rPr>
          <w:rFonts w:ascii="Arial" w:cs="Arial" w:eastAsia="Arial" w:hAnsi="Arial"/>
          <w:sz w:val="12"/>
          <w:szCs w:val="12"/>
          <w:b w:val="1"/>
          <w:bCs w:val="1"/>
          <w:color w:val="auto"/>
        </w:rPr>
        <w:t>Material Modification to Rights of Security Holders.</w:t>
      </w:r>
    </w:p>
    <w:p>
      <w:pPr>
        <w:spacing w:after="0" w:line="85" w:lineRule="exact"/>
        <w:rPr>
          <w:sz w:val="20"/>
          <w:szCs w:val="20"/>
          <w:color w:val="auto"/>
        </w:rPr>
      </w:pPr>
    </w:p>
    <w:p>
      <w:pPr>
        <w:ind w:left="360" w:right="379" w:firstLine="745"/>
        <w:spacing w:after="0" w:line="297" w:lineRule="auto"/>
        <w:rPr>
          <w:rFonts w:ascii="Arial" w:cs="Arial" w:eastAsia="Arial" w:hAnsi="Arial"/>
          <w:sz w:val="12"/>
          <w:szCs w:val="12"/>
          <w:color w:val="auto"/>
        </w:rPr>
      </w:pPr>
      <w:r>
        <w:rPr>
          <w:rFonts w:ascii="Arial" w:cs="Arial" w:eastAsia="Arial" w:hAnsi="Arial"/>
          <w:sz w:val="12"/>
          <w:szCs w:val="12"/>
          <w:color w:val="auto"/>
        </w:rPr>
        <w:t>On the Closing Date, in connection with the consummation of the Business Combination, the Company’s certificate of incorporation and bylaws were amended and restated (as amended, the “</w:t>
      </w:r>
      <w:r>
        <w:rPr>
          <w:rFonts w:ascii="Arial" w:cs="Arial" w:eastAsia="Arial" w:hAnsi="Arial"/>
          <w:sz w:val="12"/>
          <w:szCs w:val="12"/>
          <w:u w:val="single" w:color="auto"/>
          <w:color w:val="auto"/>
        </w:rPr>
        <w:t>Amended and Restated Certificate of Incorporation</w:t>
      </w:r>
      <w:r>
        <w:rPr>
          <w:rFonts w:ascii="Arial" w:cs="Arial" w:eastAsia="Arial" w:hAnsi="Arial"/>
          <w:sz w:val="12"/>
          <w:szCs w:val="12"/>
          <w:color w:val="auto"/>
        </w:rPr>
        <w:t>” and the “</w:t>
      </w:r>
      <w:r>
        <w:rPr>
          <w:rFonts w:ascii="Arial" w:cs="Arial" w:eastAsia="Arial" w:hAnsi="Arial"/>
          <w:sz w:val="12"/>
          <w:szCs w:val="12"/>
          <w:u w:val="single" w:color="auto"/>
          <w:color w:val="auto"/>
        </w:rPr>
        <w:t>Amended and Restated Bylaws</w:t>
      </w:r>
      <w:r>
        <w:rPr>
          <w:rFonts w:ascii="Arial" w:cs="Arial" w:eastAsia="Arial" w:hAnsi="Arial"/>
          <w:sz w:val="12"/>
          <w:szCs w:val="12"/>
          <w:color w:val="auto"/>
        </w:rPr>
        <w:t>,” respectively). Pursuant to the Company’s Amended and Restated Certificate of Incorporation, there are 1,000,000,000 shares of Class A Common Stock, 250,000,000 shares of Class B Common Stock and 100,000,000 shares of Preferred Stock authorized. The disclosure set forth in the sections titled “</w:t>
      </w:r>
      <w:hyperlink r:id="rId50">
        <w:r>
          <w:rPr>
            <w:rFonts w:ascii="Arial" w:cs="Arial" w:eastAsia="Arial" w:hAnsi="Arial"/>
            <w:sz w:val="12"/>
            <w:szCs w:val="12"/>
            <w:u w:val="single" w:color="auto"/>
            <w:color w:val="0000EE"/>
          </w:rPr>
          <w:t>Description of Kensington’s Securities</w:t>
        </w:r>
      </w:hyperlink>
      <w:r>
        <w:rPr>
          <w:rFonts w:ascii="Arial" w:cs="Arial" w:eastAsia="Arial" w:hAnsi="Arial"/>
          <w:sz w:val="12"/>
          <w:szCs w:val="12"/>
          <w:color w:val="auto"/>
        </w:rPr>
        <w:t>” beginning on page 230 of the Proxy Statement is incorporated herein by reference.</w:t>
      </w:r>
    </w:p>
    <w:p>
      <w:pPr>
        <w:spacing w:after="0" w:line="120" w:lineRule="exact"/>
        <w:rPr>
          <w:sz w:val="20"/>
          <w:szCs w:val="20"/>
          <w:color w:val="auto"/>
        </w:rPr>
      </w:pPr>
    </w:p>
    <w:p>
      <w:pPr>
        <w:ind w:left="360" w:right="399" w:firstLine="745"/>
        <w:spacing w:after="0" w:line="312" w:lineRule="auto"/>
        <w:rPr>
          <w:sz w:val="20"/>
          <w:szCs w:val="20"/>
          <w:color w:val="auto"/>
        </w:rPr>
      </w:pPr>
      <w:r>
        <w:rPr>
          <w:rFonts w:ascii="Arial" w:cs="Arial" w:eastAsia="Arial" w:hAnsi="Arial"/>
          <w:sz w:val="12"/>
          <w:szCs w:val="12"/>
          <w:color w:val="auto"/>
        </w:rPr>
        <w:t>The foregoing description of the Amended and Restated Certificate of Incorporation and Amended and Restated Bylaws does not purport to be complete and is qualified in its entirety by the terms of the Amended and Restated Certificate of Incorporation and Amended and Restated Bylaws, which are attached hereto as Exhibits 3.1 and 3.2, respectively, and are incorporated herein by reference.</w:t>
      </w:r>
    </w:p>
    <w:p>
      <w:pPr>
        <w:spacing w:after="0" w:line="221"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4"/>
          <w:szCs w:val="14"/>
          <w:b w:val="1"/>
          <w:bCs w:val="1"/>
          <w:color w:val="auto"/>
        </w:rPr>
        <w:t>Item 5.01</w:t>
      </w:r>
      <w:r>
        <w:rPr>
          <w:sz w:val="20"/>
          <w:szCs w:val="20"/>
          <w:color w:val="auto"/>
        </w:rPr>
        <w:tab/>
      </w:r>
      <w:r>
        <w:rPr>
          <w:rFonts w:ascii="Arial" w:cs="Arial" w:eastAsia="Arial" w:hAnsi="Arial"/>
          <w:sz w:val="12"/>
          <w:szCs w:val="12"/>
          <w:b w:val="1"/>
          <w:bCs w:val="1"/>
          <w:color w:val="auto"/>
        </w:rPr>
        <w:t>Changes in Control of the Registrant.</w:t>
      </w:r>
    </w:p>
    <w:p>
      <w:pPr>
        <w:spacing w:after="0" w:line="85" w:lineRule="exact"/>
        <w:rPr>
          <w:sz w:val="20"/>
          <w:szCs w:val="20"/>
          <w:color w:val="auto"/>
        </w:rPr>
      </w:pPr>
    </w:p>
    <w:p>
      <w:pPr>
        <w:ind w:left="360" w:right="459" w:firstLine="745"/>
        <w:spacing w:after="0" w:line="246" w:lineRule="auto"/>
        <w:rPr>
          <w:rFonts w:ascii="Arial" w:cs="Arial" w:eastAsia="Arial" w:hAnsi="Arial"/>
          <w:sz w:val="14"/>
          <w:szCs w:val="14"/>
          <w:color w:val="0000EE"/>
        </w:rPr>
      </w:pPr>
      <w:r>
        <w:rPr>
          <w:rFonts w:ascii="Arial" w:cs="Arial" w:eastAsia="Arial" w:hAnsi="Arial"/>
          <w:sz w:val="14"/>
          <w:szCs w:val="14"/>
          <w:color w:val="auto"/>
        </w:rPr>
        <w:t xml:space="preserve">The information set forth in the section entitled “Introductory Note” and in the section entitled “Security Ownership of Certain Beneficial Owners and Management” in Item 2.01 of this Current Report on Form 8-K is incorporated herein by reference. The information set forth under in the </w:t>
      </w:r>
      <w:hyperlink r:id="rId19">
        <w:r>
          <w:rPr>
            <w:rFonts w:ascii="Arial" w:cs="Arial" w:eastAsia="Arial" w:hAnsi="Arial"/>
            <w:sz w:val="14"/>
            <w:szCs w:val="14"/>
            <w:color w:val="auto"/>
          </w:rPr>
          <w:t>sections titled “</w:t>
        </w:r>
        <w:r>
          <w:rPr>
            <w:rFonts w:ascii="Arial" w:cs="Arial" w:eastAsia="Arial" w:hAnsi="Arial"/>
            <w:sz w:val="14"/>
            <w:szCs w:val="14"/>
            <w:u w:val="single" w:color="auto"/>
            <w:color w:val="0000EE"/>
          </w:rPr>
          <w:t>Proposal No. 1—The Business Combination Proposal</w:t>
        </w:r>
        <w:r>
          <w:rPr>
            <w:rFonts w:ascii="Arial" w:cs="Arial" w:eastAsia="Arial" w:hAnsi="Arial"/>
            <w:sz w:val="14"/>
            <w:szCs w:val="14"/>
            <w:color w:val="auto"/>
          </w:rPr>
          <w:t>” beginning on page 93 of the Proxy Statement and “</w:t>
        </w:r>
        <w:r>
          <w:rPr>
            <w:rFonts w:ascii="Arial" w:cs="Arial" w:eastAsia="Arial" w:hAnsi="Arial"/>
            <w:sz w:val="14"/>
            <w:szCs w:val="14"/>
            <w:u w:val="single" w:color="auto"/>
            <w:color w:val="0000EE"/>
          </w:rPr>
          <w:t>The Business Combination</w:t>
        </w:r>
      </w:hyperlink>
      <w:r>
        <w:rPr>
          <w:rFonts w:ascii="Arial" w:cs="Arial" w:eastAsia="Arial" w:hAnsi="Arial"/>
          <w:sz w:val="14"/>
          <w:szCs w:val="14"/>
          <w:color w:val="auto"/>
        </w:rPr>
        <w:t xml:space="preserve"> </w:t>
      </w:r>
      <w:hyperlink r:id="rId19">
        <w:r>
          <w:rPr>
            <w:rFonts w:ascii="Arial" w:cs="Arial" w:eastAsia="Arial" w:hAnsi="Arial"/>
            <w:sz w:val="14"/>
            <w:szCs w:val="14"/>
            <w:u w:val="single" w:color="auto"/>
            <w:color w:val="0000EE"/>
          </w:rPr>
          <w:t>Agreement</w:t>
        </w:r>
        <w:r>
          <w:rPr>
            <w:rFonts w:ascii="Arial" w:cs="Arial" w:eastAsia="Arial" w:hAnsi="Arial"/>
            <w:sz w:val="14"/>
            <w:szCs w:val="14"/>
            <w:color w:val="000000"/>
          </w:rPr>
          <w:t>” beginning on page 107 of the Proxy Statement and “Introductory Note” and Item 2.01 in this Current Report on Form 8-K is incorporated</w:t>
        </w:r>
      </w:hyperlink>
      <w:r>
        <w:rPr>
          <w:rFonts w:ascii="Arial" w:cs="Arial" w:eastAsia="Arial" w:hAnsi="Arial"/>
          <w:sz w:val="14"/>
          <w:szCs w:val="14"/>
          <w:color w:val="0000EE"/>
        </w:rPr>
        <w:t xml:space="preserve"> </w:t>
      </w:r>
      <w:r>
        <w:rPr>
          <w:rFonts w:ascii="Arial" w:cs="Arial" w:eastAsia="Arial" w:hAnsi="Arial"/>
          <w:sz w:val="14"/>
          <w:szCs w:val="14"/>
          <w:color w:val="000000"/>
        </w:rPr>
        <w:t>herein by reference.</w:t>
      </w:r>
    </w:p>
    <w:p>
      <w:pPr>
        <w:spacing w:after="0" w:line="259" w:lineRule="exact"/>
        <w:rPr>
          <w:sz w:val="20"/>
          <w:szCs w:val="20"/>
          <w:color w:val="auto"/>
        </w:rPr>
      </w:pPr>
    </w:p>
    <w:p>
      <w:pPr>
        <w:ind w:left="1180" w:right="1219" w:hanging="821"/>
        <w:spacing w:after="0" w:line="262" w:lineRule="auto"/>
        <w:tabs>
          <w:tab w:leader="none" w:pos="1160" w:val="left"/>
        </w:tabs>
        <w:rPr>
          <w:sz w:val="20"/>
          <w:szCs w:val="20"/>
          <w:color w:val="auto"/>
        </w:rPr>
      </w:pPr>
      <w:r>
        <w:rPr>
          <w:rFonts w:ascii="Arial" w:cs="Arial" w:eastAsia="Arial" w:hAnsi="Arial"/>
          <w:sz w:val="14"/>
          <w:szCs w:val="14"/>
          <w:b w:val="1"/>
          <w:bCs w:val="1"/>
          <w:color w:val="auto"/>
        </w:rPr>
        <w:t>Item 5.02</w:t>
      </w:r>
      <w:r>
        <w:rPr>
          <w:sz w:val="20"/>
          <w:szCs w:val="20"/>
          <w:color w:val="auto"/>
        </w:rPr>
        <w:tab/>
      </w:r>
      <w:r>
        <w:rPr>
          <w:rFonts w:ascii="Arial" w:cs="Arial" w:eastAsia="Arial" w:hAnsi="Arial"/>
          <w:sz w:val="14"/>
          <w:szCs w:val="14"/>
          <w:b w:val="1"/>
          <w:bCs w:val="1"/>
          <w:color w:val="auto"/>
        </w:rPr>
        <w:t>Departure of Directors or Certain Officers; Election of Directors; Appointment of Certain Officers; Compensatory Arrangements of Certain Officers.</w:t>
      </w:r>
    </w:p>
    <w:p>
      <w:pPr>
        <w:spacing w:after="0" w:line="56" w:lineRule="exact"/>
        <w:rPr>
          <w:sz w:val="20"/>
          <w:szCs w:val="20"/>
          <w:color w:val="auto"/>
        </w:rPr>
      </w:pPr>
    </w:p>
    <w:p>
      <w:pPr>
        <w:jc w:val="both"/>
        <w:ind w:left="360" w:right="419" w:firstLine="745"/>
        <w:spacing w:after="0" w:line="259" w:lineRule="auto"/>
        <w:rPr>
          <w:sz w:val="20"/>
          <w:szCs w:val="20"/>
          <w:color w:val="auto"/>
        </w:rPr>
      </w:pPr>
      <w:r>
        <w:rPr>
          <w:rFonts w:ascii="Arial" w:cs="Arial" w:eastAsia="Arial" w:hAnsi="Arial"/>
          <w:sz w:val="14"/>
          <w:szCs w:val="14"/>
          <w:color w:val="auto"/>
        </w:rPr>
        <w:t>The information set forth in the sections entitled “Directors and Executive Officers” and “Certain Relationships and Related Transactions” in Item 2.01 of this Current Report on Form 8-K is incorporated herein by reference.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QuantumScape Corporation 2020 Equity Incentive Plan</w:t>
      </w:r>
    </w:p>
    <w:p>
      <w:pPr>
        <w:spacing w:after="0" w:line="85" w:lineRule="exact"/>
        <w:rPr>
          <w:sz w:val="20"/>
          <w:szCs w:val="20"/>
          <w:color w:val="auto"/>
        </w:rPr>
      </w:pPr>
    </w:p>
    <w:p>
      <w:pPr>
        <w:jc w:val="both"/>
        <w:ind w:left="360" w:right="419" w:firstLine="745"/>
        <w:spacing w:after="0" w:line="250" w:lineRule="auto"/>
        <w:rPr>
          <w:sz w:val="20"/>
          <w:szCs w:val="20"/>
          <w:color w:val="auto"/>
        </w:rPr>
      </w:pPr>
      <w:r>
        <w:rPr>
          <w:rFonts w:ascii="Arial" w:cs="Arial" w:eastAsia="Arial" w:hAnsi="Arial"/>
          <w:sz w:val="14"/>
          <w:szCs w:val="14"/>
          <w:color w:val="auto"/>
        </w:rPr>
        <w:t>As previously disclosed at the Special Meeting, the stockholders of the Company considered and approved the 2020 Equity Incentive Plan (the “</w:t>
      </w:r>
      <w:r>
        <w:rPr>
          <w:rFonts w:ascii="Arial" w:cs="Arial" w:eastAsia="Arial" w:hAnsi="Arial"/>
          <w:sz w:val="14"/>
          <w:szCs w:val="14"/>
          <w:u w:val="single" w:color="auto"/>
          <w:color w:val="auto"/>
        </w:rPr>
        <w:t>2020 Plan</w:t>
      </w:r>
      <w:r>
        <w:rPr>
          <w:rFonts w:ascii="Arial" w:cs="Arial" w:eastAsia="Arial" w:hAnsi="Arial"/>
          <w:sz w:val="14"/>
          <w:szCs w:val="14"/>
          <w:color w:val="auto"/>
        </w:rPr>
        <w:t>”). The 2020 Plan was approved, subject to stockholder approval, by the Board on November 25, 2020. The 2020 Plan became effective immediately upon the Closing.</w:t>
      </w:r>
    </w:p>
    <w:p>
      <w:pPr>
        <w:spacing w:after="0" w:line="146" w:lineRule="exact"/>
        <w:rPr>
          <w:sz w:val="20"/>
          <w:szCs w:val="20"/>
          <w:color w:val="auto"/>
        </w:rPr>
      </w:pPr>
    </w:p>
    <w:p>
      <w:pPr>
        <w:jc w:val="both"/>
        <w:ind w:left="360" w:right="719" w:firstLine="745"/>
        <w:spacing w:after="0" w:line="312" w:lineRule="auto"/>
        <w:rPr>
          <w:rFonts w:ascii="Arial" w:cs="Arial" w:eastAsia="Arial" w:hAnsi="Arial"/>
          <w:sz w:val="12"/>
          <w:szCs w:val="12"/>
          <w:color w:val="0000EE"/>
        </w:rPr>
      </w:pPr>
      <w:hyperlink r:id="rId52">
        <w:r>
          <w:rPr>
            <w:rFonts w:ascii="Arial" w:cs="Arial" w:eastAsia="Arial" w:hAnsi="Arial"/>
            <w:sz w:val="12"/>
            <w:szCs w:val="12"/>
            <w:color w:val="auto"/>
          </w:rPr>
          <w:t>A description of the 2020 Plan is included in the Proxy Statement in the section entitled “</w:t>
        </w:r>
        <w:r>
          <w:rPr>
            <w:rFonts w:ascii="Arial" w:cs="Arial" w:eastAsia="Arial" w:hAnsi="Arial"/>
            <w:sz w:val="12"/>
            <w:szCs w:val="12"/>
            <w:u w:val="single" w:color="auto"/>
            <w:color w:val="0000EE"/>
          </w:rPr>
          <w:t>Proposal No. 7—The Equity Incentive Plan</w:t>
        </w:r>
      </w:hyperlink>
      <w:r>
        <w:rPr>
          <w:rFonts w:ascii="Arial" w:cs="Arial" w:eastAsia="Arial" w:hAnsi="Arial"/>
          <w:sz w:val="12"/>
          <w:szCs w:val="12"/>
          <w:color w:val="auto"/>
        </w:rPr>
        <w:t xml:space="preserve"> </w:t>
      </w:r>
      <w:hyperlink r:id="rId52">
        <w:r>
          <w:rPr>
            <w:rFonts w:ascii="Arial" w:cs="Arial" w:eastAsia="Arial" w:hAnsi="Arial"/>
            <w:sz w:val="12"/>
            <w:szCs w:val="12"/>
            <w:u w:val="single" w:color="auto"/>
            <w:color w:val="0000EE"/>
          </w:rPr>
          <w:t>Proposal</w:t>
        </w:r>
        <w:r>
          <w:rPr>
            <w:rFonts w:ascii="Arial" w:cs="Arial" w:eastAsia="Arial" w:hAnsi="Arial"/>
            <w:sz w:val="12"/>
            <w:szCs w:val="12"/>
            <w:color w:val="000000"/>
          </w:rPr>
          <w:t>” beginning on page 139 of the Proxy Statement, which is incorporated herein by reference. The foregoing description of the 2020 Plan is</w:t>
        </w:r>
      </w:hyperlink>
      <w:r>
        <w:rPr>
          <w:rFonts w:ascii="Arial" w:cs="Arial" w:eastAsia="Arial" w:hAnsi="Arial"/>
          <w:sz w:val="12"/>
          <w:szCs w:val="12"/>
          <w:color w:val="0000EE"/>
        </w:rPr>
        <w:t xml:space="preserve"> </w:t>
      </w:r>
      <w:r>
        <w:rPr>
          <w:rFonts w:ascii="Arial" w:cs="Arial" w:eastAsia="Arial" w:hAnsi="Arial"/>
          <w:sz w:val="12"/>
          <w:szCs w:val="12"/>
          <w:color w:val="000000"/>
        </w:rPr>
        <w:t>qualified in its entirety by the full text of the 2020 Plan, which is attached hereto as Exhibit 10.8 and incorporated herein by reference.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QuantumScape Corporation 2020 Employee Stock Purchase Plan</w:t>
      </w:r>
    </w:p>
    <w:p>
      <w:pPr>
        <w:spacing w:after="0" w:line="85" w:lineRule="exact"/>
        <w:rPr>
          <w:sz w:val="20"/>
          <w:szCs w:val="20"/>
          <w:color w:val="auto"/>
        </w:rPr>
      </w:pPr>
    </w:p>
    <w:p>
      <w:pPr>
        <w:jc w:val="both"/>
        <w:ind w:left="360" w:right="379" w:firstLine="745"/>
        <w:spacing w:after="0" w:line="250" w:lineRule="auto"/>
        <w:rPr>
          <w:sz w:val="20"/>
          <w:szCs w:val="20"/>
          <w:color w:val="auto"/>
        </w:rPr>
      </w:pPr>
      <w:r>
        <w:rPr>
          <w:rFonts w:ascii="Arial" w:cs="Arial" w:eastAsia="Arial" w:hAnsi="Arial"/>
          <w:sz w:val="14"/>
          <w:szCs w:val="14"/>
          <w:color w:val="auto"/>
        </w:rPr>
        <w:t>As previously disclosed at the Special Meeting, the stockholders of the Company considered and approved the QuantumScape Corporation 2020 Employee Stock Purchase Plan (the “</w:t>
      </w:r>
      <w:r>
        <w:rPr>
          <w:rFonts w:ascii="Arial" w:cs="Arial" w:eastAsia="Arial" w:hAnsi="Arial"/>
          <w:sz w:val="14"/>
          <w:szCs w:val="14"/>
          <w:u w:val="single" w:color="auto"/>
          <w:color w:val="auto"/>
        </w:rPr>
        <w:t>2020 ESPP</w:t>
      </w:r>
      <w:r>
        <w:rPr>
          <w:rFonts w:ascii="Arial" w:cs="Arial" w:eastAsia="Arial" w:hAnsi="Arial"/>
          <w:sz w:val="14"/>
          <w:szCs w:val="14"/>
          <w:color w:val="auto"/>
        </w:rPr>
        <w:t>”). The 2020 ESPP was approved, subject to stockholder approval, by the Board on November 25, 2020. The 2020 ESPP became effective immediately upon the Closing.</w:t>
      </w:r>
    </w:p>
    <w:p>
      <w:pPr>
        <w:spacing w:after="0" w:line="146" w:lineRule="exact"/>
        <w:rPr>
          <w:sz w:val="20"/>
          <w:szCs w:val="20"/>
          <w:color w:val="auto"/>
        </w:rPr>
      </w:pPr>
    </w:p>
    <w:p>
      <w:pPr>
        <w:jc w:val="both"/>
        <w:ind w:left="360" w:right="399" w:firstLine="745"/>
        <w:spacing w:after="0" w:line="312" w:lineRule="auto"/>
        <w:rPr>
          <w:rFonts w:ascii="Arial" w:cs="Arial" w:eastAsia="Arial" w:hAnsi="Arial"/>
          <w:sz w:val="12"/>
          <w:szCs w:val="12"/>
          <w:color w:val="0000EE"/>
        </w:rPr>
      </w:pPr>
      <w:hyperlink r:id="rId53">
        <w:r>
          <w:rPr>
            <w:rFonts w:ascii="Arial" w:cs="Arial" w:eastAsia="Arial" w:hAnsi="Arial"/>
            <w:sz w:val="12"/>
            <w:szCs w:val="12"/>
            <w:color w:val="auto"/>
          </w:rPr>
          <w:t>A description of the 2020 ESPP is included in the Proxy Statement in the section entitled “</w:t>
        </w:r>
        <w:r>
          <w:rPr>
            <w:rFonts w:ascii="Arial" w:cs="Arial" w:eastAsia="Arial" w:hAnsi="Arial"/>
            <w:sz w:val="12"/>
            <w:szCs w:val="12"/>
            <w:u w:val="single" w:color="auto"/>
            <w:color w:val="0000EE"/>
          </w:rPr>
          <w:t>Proposal No. 9—The Employee Stock Purchase</w:t>
        </w:r>
      </w:hyperlink>
      <w:r>
        <w:rPr>
          <w:rFonts w:ascii="Arial" w:cs="Arial" w:eastAsia="Arial" w:hAnsi="Arial"/>
          <w:sz w:val="12"/>
          <w:szCs w:val="12"/>
          <w:color w:val="auto"/>
        </w:rPr>
        <w:t xml:space="preserve"> </w:t>
      </w:r>
      <w:hyperlink r:id="rId53">
        <w:r>
          <w:rPr>
            <w:rFonts w:ascii="Arial" w:cs="Arial" w:eastAsia="Arial" w:hAnsi="Arial"/>
            <w:sz w:val="12"/>
            <w:szCs w:val="12"/>
            <w:u w:val="single" w:color="auto"/>
            <w:color w:val="0000EE"/>
          </w:rPr>
          <w:t>Plan Proposal</w:t>
        </w:r>
        <w:r>
          <w:rPr>
            <w:rFonts w:ascii="Arial" w:cs="Arial" w:eastAsia="Arial" w:hAnsi="Arial"/>
            <w:sz w:val="12"/>
            <w:szCs w:val="12"/>
            <w:color w:val="000000"/>
          </w:rPr>
          <w:t>” beginning on page 149 of the Proxy Statement, which is incorporated herein by reference. The foregoing description of the 2020 ESPP is</w:t>
        </w:r>
      </w:hyperlink>
      <w:r>
        <w:rPr>
          <w:rFonts w:ascii="Arial" w:cs="Arial" w:eastAsia="Arial" w:hAnsi="Arial"/>
          <w:sz w:val="12"/>
          <w:szCs w:val="12"/>
          <w:color w:val="0000EE"/>
        </w:rPr>
        <w:t xml:space="preserve"> </w:t>
      </w:r>
      <w:r>
        <w:rPr>
          <w:rFonts w:ascii="Arial" w:cs="Arial" w:eastAsia="Arial" w:hAnsi="Arial"/>
          <w:sz w:val="12"/>
          <w:szCs w:val="12"/>
          <w:color w:val="000000"/>
        </w:rPr>
        <w:t>qualified in its entirety by the full text of the 2020 ESPP, which is attached hereto as Exhibit 10.12 and incorporated herein by reference.</w:t>
      </w:r>
    </w:p>
    <w:p>
      <w:pPr>
        <w:spacing w:after="0" w:line="221"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4"/>
          <w:szCs w:val="14"/>
          <w:b w:val="1"/>
          <w:bCs w:val="1"/>
          <w:color w:val="auto"/>
        </w:rPr>
        <w:t>Item 5.06</w:t>
      </w:r>
      <w:r>
        <w:rPr>
          <w:sz w:val="20"/>
          <w:szCs w:val="20"/>
          <w:color w:val="auto"/>
        </w:rPr>
        <w:tab/>
      </w:r>
      <w:r>
        <w:rPr>
          <w:rFonts w:ascii="Arial" w:cs="Arial" w:eastAsia="Arial" w:hAnsi="Arial"/>
          <w:sz w:val="12"/>
          <w:szCs w:val="12"/>
          <w:b w:val="1"/>
          <w:bCs w:val="1"/>
          <w:color w:val="auto"/>
        </w:rPr>
        <w:t>Change in Shell Company Status.</w:t>
      </w:r>
    </w:p>
    <w:p>
      <w:pPr>
        <w:spacing w:after="0" w:line="85" w:lineRule="exact"/>
        <w:rPr>
          <w:sz w:val="20"/>
          <w:szCs w:val="20"/>
          <w:color w:val="auto"/>
        </w:rPr>
      </w:pPr>
    </w:p>
    <w:p>
      <w:pPr>
        <w:ind w:left="360" w:right="419" w:firstLine="745"/>
        <w:spacing w:after="0" w:line="294" w:lineRule="auto"/>
        <w:rPr>
          <w:rFonts w:ascii="Arial" w:cs="Arial" w:eastAsia="Arial" w:hAnsi="Arial"/>
          <w:sz w:val="12"/>
          <w:szCs w:val="12"/>
          <w:color w:val="auto"/>
        </w:rPr>
      </w:pPr>
      <w:r>
        <w:rPr>
          <w:rFonts w:ascii="Arial" w:cs="Arial" w:eastAsia="Arial" w:hAnsi="Arial"/>
          <w:sz w:val="12"/>
          <w:szCs w:val="12"/>
          <w:color w:val="auto"/>
        </w:rPr>
        <w:t>As a result of the Merger, which fulfilled the definition of a business combination as required by the Amended and Restated Certificate of Incorporation of the Company, as in effect immediately prior to the Closing, the Company ceased to be a shell company (as defined in Rule 12b-2 of the Exchange Act) as of the Closing. A description of the Business Combination and the terms of the Business Combination Agreement are included in the Proxy Statement in the sections entitled “</w:t>
      </w:r>
      <w:hyperlink r:id="rId18">
        <w:r>
          <w:rPr>
            <w:rFonts w:ascii="Arial" w:cs="Arial" w:eastAsia="Arial" w:hAnsi="Arial"/>
            <w:sz w:val="12"/>
            <w:szCs w:val="12"/>
            <w:u w:val="single" w:color="auto"/>
            <w:color w:val="0000EE"/>
          </w:rPr>
          <w:t>The Business Combination</w:t>
        </w:r>
      </w:hyperlink>
      <w:r>
        <w:rPr>
          <w:rFonts w:ascii="Arial" w:cs="Arial" w:eastAsia="Arial" w:hAnsi="Arial"/>
          <w:sz w:val="12"/>
          <w:szCs w:val="12"/>
          <w:color w:val="auto"/>
        </w:rPr>
        <w:t>” beginning on page 93, “</w:t>
      </w:r>
      <w:hyperlink r:id="rId19">
        <w:r>
          <w:rPr>
            <w:rFonts w:ascii="Arial" w:cs="Arial" w:eastAsia="Arial" w:hAnsi="Arial"/>
            <w:sz w:val="12"/>
            <w:szCs w:val="12"/>
            <w:u w:val="single" w:color="auto"/>
            <w:color w:val="0000EE"/>
          </w:rPr>
          <w:t>The Business Combination Agreement</w:t>
        </w:r>
      </w:hyperlink>
      <w:r>
        <w:rPr>
          <w:rFonts w:ascii="Arial" w:cs="Arial" w:eastAsia="Arial" w:hAnsi="Arial"/>
          <w:sz w:val="12"/>
          <w:szCs w:val="12"/>
          <w:color w:val="auto"/>
        </w:rPr>
        <w:t>” beginning on page 107 of the Proxy Statement and in the information set forth under “Introductory Note” and in the information set forth under Item 2.01 in this Current Report on Form 8-K, which are incorporated herein by reference.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9019"/>
          </w:cols>
          <w:pgMar w:left="1440" w:top="240" w:right="1440" w:bottom="1440" w:gutter="0" w:footer="0" w:header="0"/>
        </w:sectPr>
      </w:pPr>
    </w:p>
    <w:bookmarkStart w:id="20" w:name="page21"/>
    <w:bookmarkEnd w:id="20"/>
    <w:p>
      <w:pPr>
        <w:ind w:left="360"/>
        <w:spacing w:after="0"/>
        <w:tabs>
          <w:tab w:leader="none" w:pos="11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93" w:lineRule="exact"/>
        <w:rPr>
          <w:sz w:val="20"/>
          <w:szCs w:val="20"/>
          <w:color w:val="auto"/>
        </w:rPr>
      </w:pPr>
    </w:p>
    <w:p>
      <w:pPr>
        <w:ind w:left="680" w:hanging="317"/>
        <w:spacing w:after="0"/>
        <w:tabs>
          <w:tab w:leader="none" w:pos="6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w:t>
      </w:r>
    </w:p>
    <w:p>
      <w:pPr>
        <w:spacing w:after="0" w:line="85" w:lineRule="exact"/>
        <w:rPr>
          <w:sz w:val="20"/>
          <w:szCs w:val="20"/>
          <w:color w:val="auto"/>
        </w:rPr>
      </w:pPr>
    </w:p>
    <w:p>
      <w:pPr>
        <w:jc w:val="both"/>
        <w:ind w:left="360" w:right="639" w:firstLine="745"/>
        <w:spacing w:after="0" w:line="250" w:lineRule="auto"/>
        <w:rPr>
          <w:rFonts w:ascii="Arial" w:cs="Arial" w:eastAsia="Arial" w:hAnsi="Arial"/>
          <w:sz w:val="14"/>
          <w:szCs w:val="14"/>
          <w:color w:val="auto"/>
        </w:rPr>
      </w:pPr>
      <w:r>
        <w:rPr>
          <w:rFonts w:ascii="Arial" w:cs="Arial" w:eastAsia="Arial" w:hAnsi="Arial"/>
          <w:sz w:val="14"/>
          <w:szCs w:val="14"/>
          <w:color w:val="auto"/>
        </w:rPr>
        <w:t>The unaudited financial statements of the Company as of and for the three months ended September 30, 2020 and the related notes are included in the Company’s quarterly report on Form 10-Q for the quarter ended September 30, 2020 (the “</w:t>
      </w:r>
      <w:r>
        <w:rPr>
          <w:rFonts w:ascii="Arial" w:cs="Arial" w:eastAsia="Arial" w:hAnsi="Arial"/>
          <w:sz w:val="14"/>
          <w:szCs w:val="14"/>
          <w:u w:val="single" w:color="auto"/>
          <w:color w:val="auto"/>
        </w:rPr>
        <w:t>Form 10-Q</w:t>
      </w:r>
      <w:r>
        <w:rPr>
          <w:rFonts w:ascii="Arial" w:cs="Arial" w:eastAsia="Arial" w:hAnsi="Arial"/>
          <w:sz w:val="14"/>
          <w:szCs w:val="14"/>
          <w:color w:val="auto"/>
        </w:rPr>
        <w:t xml:space="preserve">”) beginning on page </w:t>
      </w:r>
      <w:hyperlink r:id="rId55">
        <w:r>
          <w:rPr>
            <w:rFonts w:ascii="Arial" w:cs="Arial" w:eastAsia="Arial" w:hAnsi="Arial"/>
            <w:sz w:val="14"/>
            <w:szCs w:val="14"/>
            <w:u w:val="single" w:color="auto"/>
            <w:color w:val="0000EE"/>
          </w:rPr>
          <w:t>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Form 10-Q and are incorporated herein by reference.</w:t>
      </w:r>
    </w:p>
    <w:p>
      <w:pPr>
        <w:spacing w:after="0" w:line="165" w:lineRule="exact"/>
        <w:rPr>
          <w:sz w:val="20"/>
          <w:szCs w:val="20"/>
          <w:color w:val="auto"/>
        </w:rPr>
      </w:pPr>
    </w:p>
    <w:p>
      <w:pPr>
        <w:ind w:left="680" w:hanging="317"/>
        <w:spacing w:after="0"/>
        <w:tabs>
          <w:tab w:leader="none" w:pos="68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Financial Statements of Businesses Acquired.</w:t>
      </w:r>
    </w:p>
    <w:p>
      <w:pPr>
        <w:spacing w:after="0" w:line="85" w:lineRule="exact"/>
        <w:rPr>
          <w:sz w:val="20"/>
          <w:szCs w:val="20"/>
          <w:color w:val="auto"/>
        </w:rPr>
      </w:pPr>
    </w:p>
    <w:p>
      <w:pPr>
        <w:ind w:left="360" w:right="559" w:firstLine="745"/>
        <w:spacing w:after="0" w:line="342" w:lineRule="auto"/>
        <w:rPr>
          <w:rFonts w:ascii="Arial" w:cs="Arial" w:eastAsia="Arial" w:hAnsi="Arial"/>
          <w:sz w:val="12"/>
          <w:szCs w:val="12"/>
          <w:color w:val="auto"/>
        </w:rPr>
      </w:pPr>
      <w:r>
        <w:rPr>
          <w:rFonts w:ascii="Arial" w:cs="Arial" w:eastAsia="Arial" w:hAnsi="Arial"/>
          <w:sz w:val="12"/>
          <w:szCs w:val="12"/>
          <w:color w:val="auto"/>
        </w:rPr>
        <w:t xml:space="preserve">The audited consolidated financial statements of Legacy QuantumScape as of and for the years ended December 31, 2019 and 2018 and the related notes are included in the Proxy Statement beginning on page </w:t>
      </w:r>
      <w:hyperlink r:id="rId56">
        <w:r>
          <w:rPr>
            <w:rFonts w:ascii="Arial" w:cs="Arial" w:eastAsia="Arial" w:hAnsi="Arial"/>
            <w:sz w:val="12"/>
            <w:szCs w:val="12"/>
            <w:u w:val="single" w:color="auto"/>
            <w:color w:val="0000EE"/>
          </w:rPr>
          <w:t>F-2</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of the Proxy Statement and are incorporated herein by reference.</w:t>
      </w:r>
    </w:p>
    <w:p>
      <w:pPr>
        <w:spacing w:after="0" w:line="94" w:lineRule="exact"/>
        <w:rPr>
          <w:sz w:val="20"/>
          <w:szCs w:val="20"/>
          <w:color w:val="auto"/>
        </w:rPr>
      </w:pPr>
    </w:p>
    <w:p>
      <w:pPr>
        <w:ind w:left="360" w:right="539" w:firstLine="745"/>
        <w:spacing w:after="0" w:line="259" w:lineRule="auto"/>
        <w:rPr>
          <w:sz w:val="20"/>
          <w:szCs w:val="20"/>
          <w:color w:val="auto"/>
        </w:rPr>
      </w:pPr>
      <w:r>
        <w:rPr>
          <w:rFonts w:ascii="Arial" w:cs="Arial" w:eastAsia="Arial" w:hAnsi="Arial"/>
          <w:sz w:val="14"/>
          <w:szCs w:val="14"/>
          <w:color w:val="auto"/>
        </w:rPr>
        <w:t>The unaudited consolidated financial statements of Legacy QuantumScape as of and for the nine months ended September 30, 2020 and 2019 are set forth in Exhibit 99.1 hereto and are incorporated herein by reference.</w:t>
      </w:r>
    </w:p>
    <w:p>
      <w:pPr>
        <w:spacing w:after="0" w:line="158" w:lineRule="exact"/>
        <w:rPr>
          <w:sz w:val="20"/>
          <w:szCs w:val="20"/>
          <w:color w:val="auto"/>
        </w:rPr>
      </w:pPr>
    </w:p>
    <w:p>
      <w:pPr>
        <w:ind w:left="680" w:hanging="317"/>
        <w:spacing w:after="0"/>
        <w:tabs>
          <w:tab w:leader="none" w:pos="68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Pro Forma Financial Information.</w:t>
      </w:r>
    </w:p>
    <w:p>
      <w:pPr>
        <w:spacing w:after="0" w:line="85" w:lineRule="exact"/>
        <w:rPr>
          <w:sz w:val="20"/>
          <w:szCs w:val="20"/>
          <w:color w:val="auto"/>
        </w:rPr>
      </w:pPr>
    </w:p>
    <w:p>
      <w:pPr>
        <w:ind w:left="360" w:right="399" w:firstLine="745"/>
        <w:spacing w:after="0" w:line="312" w:lineRule="auto"/>
        <w:rPr>
          <w:rFonts w:ascii="Arial" w:cs="Arial" w:eastAsia="Arial" w:hAnsi="Arial"/>
          <w:sz w:val="12"/>
          <w:szCs w:val="12"/>
          <w:color w:val="0000EE"/>
        </w:rPr>
      </w:pPr>
      <w:r>
        <w:rPr>
          <w:rFonts w:ascii="Arial" w:cs="Arial" w:eastAsia="Arial" w:hAnsi="Arial"/>
          <w:sz w:val="12"/>
          <w:szCs w:val="12"/>
          <w:color w:val="auto"/>
        </w:rPr>
        <w:t xml:space="preserve">The unaudited pro forma condensed combined financial information of the Company as of and for the six months ended June 30, 2020 and </w:t>
      </w:r>
      <w:hyperlink r:id="rId30">
        <w:r>
          <w:rPr>
            <w:rFonts w:ascii="Arial" w:cs="Arial" w:eastAsia="Arial" w:hAnsi="Arial"/>
            <w:sz w:val="12"/>
            <w:szCs w:val="12"/>
            <w:color w:val="auto"/>
          </w:rPr>
          <w:t>for the year ended December 31, 2019 are included in the Proxy Statement in the section entitled “</w:t>
        </w:r>
        <w:r>
          <w:rPr>
            <w:rFonts w:ascii="Arial" w:cs="Arial" w:eastAsia="Arial" w:hAnsi="Arial"/>
            <w:sz w:val="12"/>
            <w:szCs w:val="12"/>
            <w:u w:val="single" w:color="auto"/>
            <w:color w:val="0000EE"/>
          </w:rPr>
          <w:t>Unaudited Pro Forma Condensed Combined</w:t>
        </w:r>
      </w:hyperlink>
      <w:r>
        <w:rPr>
          <w:rFonts w:ascii="Arial" w:cs="Arial" w:eastAsia="Arial" w:hAnsi="Arial"/>
          <w:sz w:val="12"/>
          <w:szCs w:val="12"/>
          <w:color w:val="auto"/>
        </w:rPr>
        <w:t xml:space="preserve"> </w:t>
      </w:r>
      <w:hyperlink r:id="rId30">
        <w:r>
          <w:rPr>
            <w:rFonts w:ascii="Arial" w:cs="Arial" w:eastAsia="Arial" w:hAnsi="Arial"/>
            <w:sz w:val="12"/>
            <w:szCs w:val="12"/>
            <w:u w:val="single" w:color="auto"/>
            <w:color w:val="0000EE"/>
          </w:rPr>
          <w:t>Financial Information</w:t>
        </w:r>
        <w:r>
          <w:rPr>
            <w:rFonts w:ascii="Arial" w:cs="Arial" w:eastAsia="Arial" w:hAnsi="Arial"/>
            <w:sz w:val="12"/>
            <w:szCs w:val="12"/>
            <w:color w:val="000000"/>
          </w:rPr>
          <w:t>” beginning on page 73 of the Proxy Statement is incorporated herein by reference.</w:t>
        </w:r>
      </w:hyperlink>
    </w:p>
    <w:p>
      <w:pPr>
        <w:spacing w:after="0" w:line="111" w:lineRule="exact"/>
        <w:rPr>
          <w:sz w:val="20"/>
          <w:szCs w:val="20"/>
          <w:color w:val="auto"/>
        </w:rPr>
      </w:pPr>
    </w:p>
    <w:p>
      <w:pPr>
        <w:ind w:left="360" w:right="519" w:firstLine="745"/>
        <w:spacing w:after="0" w:line="259" w:lineRule="auto"/>
        <w:rPr>
          <w:sz w:val="20"/>
          <w:szCs w:val="20"/>
          <w:color w:val="auto"/>
        </w:rPr>
      </w:pPr>
      <w:r>
        <w:rPr>
          <w:rFonts w:ascii="Arial" w:cs="Arial" w:eastAsia="Arial" w:hAnsi="Arial"/>
          <w:sz w:val="14"/>
          <w:szCs w:val="14"/>
          <w:color w:val="auto"/>
        </w:rPr>
        <w:t>The unaudited pro forma condensed combined financial information of the Company as of and for the nine months ended September 30, 2020 is set forth in Exhibit 99.2 hereto and is incorporated herein by reference.</w:t>
      </w:r>
    </w:p>
    <w:p>
      <w:pPr>
        <w:spacing w:after="0" w:line="249" w:lineRule="exact"/>
        <w:rPr>
          <w:sz w:val="20"/>
          <w:szCs w:val="20"/>
          <w:color w:val="auto"/>
        </w:rPr>
      </w:pPr>
    </w:p>
    <w:p>
      <w:pPr>
        <w:ind w:left="680" w:hanging="317"/>
        <w:spacing w:after="0"/>
        <w:tabs>
          <w:tab w:leader="none" w:pos="6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165"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340" w:type="dxa"/>
            <w:vAlign w:val="bottom"/>
          </w:tcPr>
          <w:p>
            <w:pPr>
              <w:spacing w:after="0"/>
              <w:rPr>
                <w:sz w:val="20"/>
                <w:szCs w:val="20"/>
                <w:color w:val="auto"/>
              </w:rPr>
            </w:pPr>
            <w:r>
              <w:rPr>
                <w:rFonts w:ascii="Arial" w:cs="Arial" w:eastAsia="Arial" w:hAnsi="Arial"/>
                <w:sz w:val="11"/>
                <w:szCs w:val="11"/>
                <w:b w:val="1"/>
                <w:bCs w:val="1"/>
                <w:color w:val="auto"/>
                <w:w w:val="87"/>
              </w:rPr>
              <w:t>Exhibit</w:t>
            </w: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40" w:type="dxa"/>
            <w:vAlign w:val="bottom"/>
            <w:gridSpan w:val="8"/>
            <w:vMerge w:val="restart"/>
          </w:tcPr>
          <w:p>
            <w:pPr>
              <w:ind w:left="54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29"/>
        </w:trPr>
        <w:tc>
          <w:tcPr>
            <w:tcW w:w="3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No.</w:t>
            </w:r>
          </w:p>
        </w:tc>
        <w:tc>
          <w:tcPr>
            <w:tcW w:w="2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40" w:type="dxa"/>
            <w:vAlign w:val="bottom"/>
            <w:tcBorders>
              <w:bottom w:val="single" w:sz="8" w:color="auto"/>
            </w:tcBorders>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17"/>
                <w:szCs w:val="17"/>
                <w:color w:val="auto"/>
              </w:rPr>
            </w:pPr>
          </w:p>
        </w:tc>
        <w:tc>
          <w:tcPr>
            <w:tcW w:w="7680" w:type="dxa"/>
            <w:vAlign w:val="bottom"/>
            <w:gridSpan w:val="12"/>
          </w:tcPr>
          <w:p>
            <w:pPr>
              <w:spacing w:after="0"/>
              <w:rPr>
                <w:rFonts w:ascii="Arial" w:cs="Arial" w:eastAsia="Arial" w:hAnsi="Arial"/>
                <w:sz w:val="14"/>
                <w:szCs w:val="14"/>
                <w:color w:val="0000EE"/>
                <w:w w:val="88"/>
              </w:rPr>
            </w:pPr>
            <w:hyperlink r:id="rId57">
              <w:r>
                <w:rPr>
                  <w:rFonts w:ascii="Arial" w:cs="Arial" w:eastAsia="Arial" w:hAnsi="Arial"/>
                  <w:sz w:val="14"/>
                  <w:szCs w:val="14"/>
                  <w:color w:val="0000EE"/>
                  <w:w w:val="88"/>
                </w:rPr>
                <w:t>Business Combination Agreement, dated as of September 2, 2020, by and among Kensington Capital Acquisition Corp., Kensington Capital</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380" w:type="dxa"/>
            <w:vAlign w:val="bottom"/>
            <w:tcBorders>
              <w:top w:val="single" w:sz="8" w:color="0000EE"/>
              <w:bottom w:val="single" w:sz="8" w:color="0000EE"/>
            </w:tcBorders>
            <w:gridSpan w:val="7"/>
          </w:tcPr>
          <w:p>
            <w:pPr>
              <w:spacing w:after="0" w:line="143" w:lineRule="exact"/>
              <w:rPr>
                <w:rFonts w:ascii="Arial" w:cs="Arial" w:eastAsia="Arial" w:hAnsi="Arial"/>
                <w:sz w:val="14"/>
                <w:szCs w:val="14"/>
                <w:color w:val="0000EE"/>
                <w:w w:val="87"/>
              </w:rPr>
            </w:pPr>
            <w:hyperlink r:id="rId57">
              <w:r>
                <w:rPr>
                  <w:rFonts w:ascii="Arial" w:cs="Arial" w:eastAsia="Arial" w:hAnsi="Arial"/>
                  <w:sz w:val="14"/>
                  <w:szCs w:val="14"/>
                  <w:color w:val="0000EE"/>
                  <w:w w:val="87"/>
                </w:rPr>
                <w:t>Merger Sub Corp. and QuantumScape Corporation (incorporated by reference from Annex A to the Company’s proxy</w:t>
              </w:r>
            </w:hyperlink>
          </w:p>
        </w:tc>
        <w:tc>
          <w:tcPr>
            <w:tcW w:w="1240" w:type="dxa"/>
            <w:vAlign w:val="bottom"/>
            <w:tcBorders>
              <w:top w:val="single" w:sz="8" w:color="0000EE"/>
            </w:tcBorders>
            <w:gridSpan w:val="4"/>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60" w:type="dxa"/>
            <w:vAlign w:val="bottom"/>
            <w:tcBorders>
              <w:bottom w:val="single" w:sz="8" w:color="0000EE"/>
            </w:tcBorders>
            <w:gridSpan w:val="5"/>
          </w:tcPr>
          <w:p>
            <w:pPr>
              <w:spacing w:after="0" w:line="143" w:lineRule="exact"/>
              <w:rPr>
                <w:rFonts w:ascii="Arial" w:cs="Arial" w:eastAsia="Arial" w:hAnsi="Arial"/>
                <w:sz w:val="14"/>
                <w:szCs w:val="14"/>
                <w:color w:val="0000EE"/>
                <w:w w:val="87"/>
              </w:rPr>
            </w:pPr>
            <w:hyperlink r:id="rId57">
              <w:r>
                <w:rPr>
                  <w:rFonts w:ascii="Arial" w:cs="Arial" w:eastAsia="Arial" w:hAnsi="Arial"/>
                  <w:sz w:val="14"/>
                  <w:szCs w:val="14"/>
                  <w:color w:val="0000EE"/>
                  <w:w w:val="87"/>
                </w:rPr>
                <w:t>statement/prospectus/information statement filed with the SEC on November 12, 2020).</w:t>
              </w:r>
            </w:hyperlink>
          </w:p>
        </w:tc>
        <w:tc>
          <w:tcPr>
            <w:tcW w:w="292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20"/>
                <w:szCs w:val="20"/>
                <w:color w:val="auto"/>
              </w:rPr>
            </w:pPr>
            <w:r>
              <w:rPr>
                <w:rFonts w:ascii="Arial" w:cs="Arial" w:eastAsia="Arial" w:hAnsi="Arial"/>
                <w:sz w:val="14"/>
                <w:szCs w:val="14"/>
                <w:color w:val="auto"/>
              </w:rPr>
              <w:t>2.2+</w:t>
            </w:r>
          </w:p>
        </w:tc>
        <w:tc>
          <w:tcPr>
            <w:tcW w:w="260" w:type="dxa"/>
            <w:vAlign w:val="bottom"/>
          </w:tcPr>
          <w:p>
            <w:pPr>
              <w:spacing w:after="0"/>
              <w:rPr>
                <w:sz w:val="19"/>
                <w:szCs w:val="19"/>
                <w:color w:val="auto"/>
              </w:rPr>
            </w:pPr>
          </w:p>
        </w:tc>
        <w:tc>
          <w:tcPr>
            <w:tcW w:w="7420" w:type="dxa"/>
            <w:vAlign w:val="bottom"/>
            <w:tcBorders>
              <w:bottom w:val="single" w:sz="8" w:color="0000EE"/>
            </w:tcBorders>
            <w:gridSpan w:val="9"/>
          </w:tcPr>
          <w:p>
            <w:pPr>
              <w:spacing w:after="0"/>
              <w:rPr>
                <w:rFonts w:ascii="Arial" w:cs="Arial" w:eastAsia="Arial" w:hAnsi="Arial"/>
                <w:sz w:val="14"/>
                <w:szCs w:val="14"/>
                <w:color w:val="0000EE"/>
                <w:w w:val="87"/>
              </w:rPr>
            </w:pPr>
            <w:hyperlink r:id="rId57">
              <w:r>
                <w:rPr>
                  <w:rFonts w:ascii="Arial" w:cs="Arial" w:eastAsia="Arial" w:hAnsi="Arial"/>
                  <w:sz w:val="14"/>
                  <w:szCs w:val="14"/>
                  <w:color w:val="0000EE"/>
                  <w:w w:val="87"/>
                </w:rPr>
                <w:t>Amendment No. 1 to Business Combination Agreement, dated as of September 21, 2020, by and among Kensington Capital Acquisition</w:t>
              </w:r>
            </w:hyperlink>
          </w:p>
        </w:tc>
        <w:tc>
          <w:tcPr>
            <w:tcW w:w="2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80" w:type="dxa"/>
            <w:vAlign w:val="bottom"/>
            <w:tcBorders>
              <w:bottom w:val="single" w:sz="8" w:color="0000EE"/>
            </w:tcBorders>
            <w:gridSpan w:val="10"/>
          </w:tcPr>
          <w:p>
            <w:pPr>
              <w:spacing w:after="0" w:line="143" w:lineRule="exact"/>
              <w:rPr>
                <w:rFonts w:ascii="Arial" w:cs="Arial" w:eastAsia="Arial" w:hAnsi="Arial"/>
                <w:sz w:val="14"/>
                <w:szCs w:val="14"/>
                <w:color w:val="0000EE"/>
                <w:w w:val="87"/>
              </w:rPr>
            </w:pPr>
            <w:hyperlink r:id="rId57">
              <w:r>
                <w:rPr>
                  <w:rFonts w:ascii="Arial" w:cs="Arial" w:eastAsia="Arial" w:hAnsi="Arial"/>
                  <w:sz w:val="14"/>
                  <w:szCs w:val="14"/>
                  <w:color w:val="0000EE"/>
                  <w:w w:val="87"/>
                </w:rPr>
                <w:t>Corp., Kensington Capital Merger Sub Corp. and QuantumScape Corporation (incorporated by reference from Annex A to the Company’s</w:t>
              </w:r>
            </w:hyperlink>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80" w:type="dxa"/>
            <w:vAlign w:val="bottom"/>
            <w:gridSpan w:val="12"/>
          </w:tcPr>
          <w:p>
            <w:pPr>
              <w:spacing w:after="0" w:line="143" w:lineRule="exact"/>
              <w:rPr>
                <w:rFonts w:ascii="Arial" w:cs="Arial" w:eastAsia="Arial" w:hAnsi="Arial"/>
                <w:sz w:val="14"/>
                <w:szCs w:val="14"/>
                <w:color w:val="0000EE"/>
              </w:rPr>
            </w:pPr>
            <w:hyperlink r:id="rId57">
              <w:r>
                <w:rPr>
                  <w:rFonts w:ascii="Arial" w:cs="Arial" w:eastAsia="Arial" w:hAnsi="Arial"/>
                  <w:sz w:val="14"/>
                  <w:szCs w:val="14"/>
                  <w:color w:val="0000EE"/>
                </w:rPr>
                <w:t>proxy statement/prospectus/information statement filed with the SEC on November 12, 2020).</w:t>
              </w:r>
            </w:hyperlink>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22"/>
                <w:szCs w:val="22"/>
                <w:color w:val="auto"/>
              </w:rPr>
            </w:pPr>
          </w:p>
        </w:tc>
        <w:tc>
          <w:tcPr>
            <w:tcW w:w="5100" w:type="dxa"/>
            <w:vAlign w:val="bottom"/>
            <w:tcBorders>
              <w:top w:val="single" w:sz="8" w:color="0000EE"/>
            </w:tcBorders>
            <w:gridSpan w:val="6"/>
          </w:tcPr>
          <w:p>
            <w:pPr>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Amended and Restated Certificate of Incorporation of the Company.</w:t>
              </w:r>
            </w:hyperlink>
          </w:p>
        </w:tc>
        <w:tc>
          <w:tcPr>
            <w:tcW w:w="25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r>
              <w:rPr>
                <w:rFonts w:ascii="Arial" w:cs="Arial" w:eastAsia="Arial" w:hAnsi="Arial"/>
                <w:sz w:val="14"/>
                <w:szCs w:val="14"/>
                <w:color w:val="auto"/>
              </w:rPr>
              <w:t>3.2</w:t>
            </w:r>
          </w:p>
        </w:tc>
        <w:tc>
          <w:tcPr>
            <w:tcW w:w="260" w:type="dxa"/>
            <w:vAlign w:val="bottom"/>
          </w:tcPr>
          <w:p>
            <w:pPr>
              <w:spacing w:after="0"/>
              <w:rPr>
                <w:sz w:val="21"/>
                <w:szCs w:val="21"/>
                <w:color w:val="auto"/>
              </w:rPr>
            </w:pPr>
          </w:p>
        </w:tc>
        <w:tc>
          <w:tcPr>
            <w:tcW w:w="3040" w:type="dxa"/>
            <w:vAlign w:val="bottom"/>
            <w:gridSpan w:val="4"/>
          </w:tcPr>
          <w:p>
            <w:pPr>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Amended and Restated Bylaws of the Company.</w:t>
              </w:r>
            </w:hyperlink>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21"/>
                <w:szCs w:val="21"/>
                <w:color w:val="auto"/>
              </w:rPr>
            </w:pPr>
          </w:p>
        </w:tc>
        <w:tc>
          <w:tcPr>
            <w:tcW w:w="3040" w:type="dxa"/>
            <w:vAlign w:val="bottom"/>
            <w:gridSpan w:val="4"/>
          </w:tcPr>
          <w:p>
            <w:pPr>
              <w:spacing w:after="0"/>
              <w:rPr>
                <w:rFonts w:ascii="Arial" w:cs="Arial" w:eastAsia="Arial" w:hAnsi="Arial"/>
                <w:sz w:val="14"/>
                <w:szCs w:val="14"/>
                <w:u w:val="single" w:color="auto"/>
                <w:color w:val="0000EE"/>
              </w:rPr>
            </w:pPr>
            <w:hyperlink w:anchor="page56">
              <w:r>
                <w:rPr>
                  <w:rFonts w:ascii="Arial" w:cs="Arial" w:eastAsia="Arial" w:hAnsi="Arial"/>
                  <w:sz w:val="14"/>
                  <w:szCs w:val="14"/>
                  <w:u w:val="single" w:color="auto"/>
                  <w:color w:val="0000EE"/>
                </w:rPr>
                <w:t>Specimen Common Stock Certificate.</w:t>
              </w:r>
            </w:hyperlink>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r>
              <w:rPr>
                <w:rFonts w:ascii="Arial" w:cs="Arial" w:eastAsia="Arial" w:hAnsi="Arial"/>
                <w:sz w:val="14"/>
                <w:szCs w:val="14"/>
                <w:color w:val="auto"/>
              </w:rPr>
              <w:t>4.3+</w:t>
            </w:r>
          </w:p>
        </w:tc>
        <w:tc>
          <w:tcPr>
            <w:tcW w:w="260" w:type="dxa"/>
            <w:vAlign w:val="bottom"/>
          </w:tcPr>
          <w:p>
            <w:pPr>
              <w:spacing w:after="0"/>
              <w:rPr>
                <w:sz w:val="21"/>
                <w:szCs w:val="21"/>
                <w:color w:val="auto"/>
              </w:rPr>
            </w:pPr>
          </w:p>
        </w:tc>
        <w:tc>
          <w:tcPr>
            <w:tcW w:w="7680" w:type="dxa"/>
            <w:vAlign w:val="bottom"/>
            <w:gridSpan w:val="12"/>
          </w:tcPr>
          <w:p>
            <w:pPr>
              <w:spacing w:after="0"/>
              <w:rPr>
                <w:rFonts w:ascii="Arial" w:cs="Arial" w:eastAsia="Arial" w:hAnsi="Arial"/>
                <w:sz w:val="14"/>
                <w:szCs w:val="14"/>
                <w:u w:val="single" w:color="auto"/>
                <w:color w:val="0000EE"/>
                <w:w w:val="96"/>
              </w:rPr>
            </w:pPr>
            <w:hyperlink r:id="rId58">
              <w:r>
                <w:rPr>
                  <w:rFonts w:ascii="Arial" w:cs="Arial" w:eastAsia="Arial" w:hAnsi="Arial"/>
                  <w:sz w:val="14"/>
                  <w:szCs w:val="14"/>
                  <w:u w:val="single" w:color="auto"/>
                  <w:color w:val="0000EE"/>
                  <w:w w:val="96"/>
                </w:rPr>
                <w:t>Warrant Agreement, dated June 25, 2020, by and between the Registrant and Continental Stock Transfer &amp; Trust Company. (1)</w:t>
              </w:r>
            </w:hyperlink>
          </w:p>
        </w:tc>
        <w:tc>
          <w:tcPr>
            <w:tcW w:w="0" w:type="dxa"/>
            <w:vAlign w:val="bottom"/>
          </w:tcPr>
          <w:p>
            <w:pPr>
              <w:spacing w:after="0"/>
              <w:rPr>
                <w:sz w:val="1"/>
                <w:szCs w:val="1"/>
                <w:color w:val="auto"/>
              </w:rPr>
            </w:pPr>
          </w:p>
        </w:tc>
      </w:tr>
      <w:tr>
        <w:trPr>
          <w:trHeight w:val="214"/>
        </w:trPr>
        <w:tc>
          <w:tcPr>
            <w:tcW w:w="340" w:type="dxa"/>
            <w:vAlign w:val="bottom"/>
          </w:tcPr>
          <w:p>
            <w:pPr>
              <w:spacing w:after="0"/>
              <w:rPr>
                <w:sz w:val="20"/>
                <w:szCs w:val="20"/>
                <w:color w:val="auto"/>
              </w:rPr>
            </w:pPr>
            <w:r>
              <w:rPr>
                <w:rFonts w:ascii="Arial" w:cs="Arial" w:eastAsia="Arial" w:hAnsi="Arial"/>
                <w:sz w:val="14"/>
                <w:szCs w:val="14"/>
                <w:color w:val="auto"/>
                <w:w w:val="90"/>
              </w:rPr>
              <w:t>10.1+</w:t>
            </w:r>
          </w:p>
        </w:tc>
        <w:tc>
          <w:tcPr>
            <w:tcW w:w="260" w:type="dxa"/>
            <w:vAlign w:val="bottom"/>
          </w:tcPr>
          <w:p>
            <w:pPr>
              <w:spacing w:after="0"/>
              <w:rPr>
                <w:sz w:val="18"/>
                <w:szCs w:val="18"/>
                <w:color w:val="auto"/>
              </w:rPr>
            </w:pPr>
          </w:p>
        </w:tc>
        <w:tc>
          <w:tcPr>
            <w:tcW w:w="7680" w:type="dxa"/>
            <w:vAlign w:val="bottom"/>
            <w:gridSpan w:val="12"/>
          </w:tcPr>
          <w:p>
            <w:pPr>
              <w:spacing w:after="0"/>
              <w:rPr>
                <w:rFonts w:ascii="Arial" w:cs="Arial" w:eastAsia="Arial" w:hAnsi="Arial"/>
                <w:sz w:val="14"/>
                <w:szCs w:val="14"/>
                <w:color w:val="0000EE"/>
                <w:w w:val="90"/>
              </w:rPr>
            </w:pPr>
            <w:hyperlink r:id="rId59">
              <w:r>
                <w:rPr>
                  <w:rFonts w:ascii="Arial" w:cs="Arial" w:eastAsia="Arial" w:hAnsi="Arial"/>
                  <w:sz w:val="14"/>
                  <w:szCs w:val="14"/>
                  <w:color w:val="0000EE"/>
                  <w:w w:val="90"/>
                </w:rPr>
                <w:t>Registration Rights and Lock-up Agreement, dated as of September 2, 2020, by and among Kensington Capital Acquisition Corp. and the</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Borders>
              <w:top w:val="single" w:sz="8" w:color="0000EE"/>
              <w:bottom w:val="single" w:sz="8" w:color="0000EE"/>
            </w:tcBorders>
            <w:gridSpan w:val="2"/>
          </w:tcPr>
          <w:p>
            <w:pPr>
              <w:spacing w:after="0" w:line="143" w:lineRule="exact"/>
              <w:rPr>
                <w:rFonts w:ascii="Arial" w:cs="Arial" w:eastAsia="Arial" w:hAnsi="Arial"/>
                <w:sz w:val="14"/>
                <w:szCs w:val="14"/>
                <w:color w:val="0000EE"/>
                <w:w w:val="84"/>
              </w:rPr>
            </w:pPr>
            <w:hyperlink r:id="rId59">
              <w:r>
                <w:rPr>
                  <w:rFonts w:ascii="Arial" w:cs="Arial" w:eastAsia="Arial" w:hAnsi="Arial"/>
                  <w:sz w:val="14"/>
                  <w:szCs w:val="14"/>
                  <w:color w:val="0000EE"/>
                  <w:w w:val="84"/>
                </w:rPr>
                <w:t>persons named therein. (2)</w:t>
              </w:r>
            </w:hyperlink>
          </w:p>
        </w:tc>
        <w:tc>
          <w:tcPr>
            <w:tcW w:w="1600" w:type="dxa"/>
            <w:vAlign w:val="bottom"/>
            <w:tcBorders>
              <w:top w:val="single" w:sz="8" w:color="0000EE"/>
            </w:tcBorders>
            <w:gridSpan w:val="2"/>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Arial" w:cs="Arial" w:eastAsia="Arial" w:hAnsi="Arial"/>
                <w:sz w:val="14"/>
                <w:szCs w:val="14"/>
                <w:color w:val="auto"/>
                <w:w w:val="90"/>
              </w:rPr>
              <w:t>10.2+</w:t>
            </w:r>
          </w:p>
        </w:tc>
        <w:tc>
          <w:tcPr>
            <w:tcW w:w="260" w:type="dxa"/>
            <w:vAlign w:val="bottom"/>
          </w:tcPr>
          <w:p>
            <w:pPr>
              <w:spacing w:after="0"/>
              <w:rPr>
                <w:sz w:val="22"/>
                <w:szCs w:val="22"/>
                <w:color w:val="auto"/>
              </w:rPr>
            </w:pPr>
          </w:p>
        </w:tc>
        <w:tc>
          <w:tcPr>
            <w:tcW w:w="3040" w:type="dxa"/>
            <w:vAlign w:val="bottom"/>
            <w:gridSpan w:val="4"/>
          </w:tcPr>
          <w:p>
            <w:pPr>
              <w:spacing w:after="0"/>
              <w:rPr>
                <w:rFonts w:ascii="Arial" w:cs="Arial" w:eastAsia="Arial" w:hAnsi="Arial"/>
                <w:sz w:val="14"/>
                <w:szCs w:val="14"/>
                <w:u w:val="single" w:color="auto"/>
                <w:color w:val="0000EE"/>
                <w:w w:val="96"/>
              </w:rPr>
            </w:pPr>
            <w:hyperlink r:id="rId60">
              <w:r>
                <w:rPr>
                  <w:rFonts w:ascii="Arial" w:cs="Arial" w:eastAsia="Arial" w:hAnsi="Arial"/>
                  <w:sz w:val="14"/>
                  <w:szCs w:val="14"/>
                  <w:u w:val="single" w:color="auto"/>
                  <w:color w:val="0000EE"/>
                  <w:w w:val="96"/>
                </w:rPr>
                <w:t>Form of Senior Employee Lock-Up Agreement. (2)</w:t>
              </w:r>
            </w:hyperlink>
          </w:p>
        </w:tc>
        <w:tc>
          <w:tcPr>
            <w:tcW w:w="1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21"/>
                <w:szCs w:val="21"/>
                <w:color w:val="auto"/>
              </w:rPr>
            </w:pPr>
          </w:p>
        </w:tc>
        <w:tc>
          <w:tcPr>
            <w:tcW w:w="3040" w:type="dxa"/>
            <w:vAlign w:val="bottom"/>
            <w:gridSpan w:val="4"/>
          </w:tcPr>
          <w:p>
            <w:pPr>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Form of Lock-Up Agreement.</w:t>
              </w:r>
            </w:hyperlink>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0"/>
                <w:szCs w:val="20"/>
                <w:color w:val="auto"/>
              </w:rPr>
            </w:pPr>
            <w:r>
              <w:rPr>
                <w:rFonts w:ascii="Arial" w:cs="Arial" w:eastAsia="Arial" w:hAnsi="Arial"/>
                <w:sz w:val="14"/>
                <w:szCs w:val="14"/>
                <w:color w:val="auto"/>
                <w:w w:val="90"/>
              </w:rPr>
              <w:t>10.4+</w:t>
            </w:r>
          </w:p>
        </w:tc>
        <w:tc>
          <w:tcPr>
            <w:tcW w:w="260" w:type="dxa"/>
            <w:vAlign w:val="bottom"/>
          </w:tcPr>
          <w:p>
            <w:pPr>
              <w:spacing w:after="0"/>
              <w:rPr>
                <w:sz w:val="21"/>
                <w:szCs w:val="21"/>
                <w:color w:val="auto"/>
              </w:rPr>
            </w:pPr>
          </w:p>
        </w:tc>
        <w:tc>
          <w:tcPr>
            <w:tcW w:w="3040" w:type="dxa"/>
            <w:vAlign w:val="bottom"/>
            <w:gridSpan w:val="4"/>
          </w:tcPr>
          <w:p>
            <w:pPr>
              <w:spacing w:after="0"/>
              <w:rPr>
                <w:rFonts w:ascii="Arial" w:cs="Arial" w:eastAsia="Arial" w:hAnsi="Arial"/>
                <w:sz w:val="14"/>
                <w:szCs w:val="14"/>
                <w:u w:val="single" w:color="auto"/>
                <w:color w:val="0000EE"/>
              </w:rPr>
            </w:pPr>
            <w:hyperlink r:id="rId61">
              <w:r>
                <w:rPr>
                  <w:rFonts w:ascii="Arial" w:cs="Arial" w:eastAsia="Arial" w:hAnsi="Arial"/>
                  <w:sz w:val="14"/>
                  <w:szCs w:val="14"/>
                  <w:u w:val="single" w:color="auto"/>
                  <w:color w:val="0000EE"/>
                </w:rPr>
                <w:t>Form of Subscription Agreement. (2)</w:t>
              </w:r>
            </w:hyperlink>
          </w:p>
        </w:tc>
        <w:tc>
          <w:tcPr>
            <w:tcW w:w="1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20"/>
                <w:szCs w:val="20"/>
                <w:color w:val="auto"/>
              </w:rPr>
            </w:pPr>
            <w:r>
              <w:rPr>
                <w:rFonts w:ascii="Arial" w:cs="Arial" w:eastAsia="Arial" w:hAnsi="Arial"/>
                <w:sz w:val="14"/>
                <w:szCs w:val="14"/>
                <w:color w:val="auto"/>
                <w:w w:val="90"/>
              </w:rPr>
              <w:t>10.5+</w:t>
            </w:r>
          </w:p>
        </w:tc>
        <w:tc>
          <w:tcPr>
            <w:tcW w:w="260" w:type="dxa"/>
            <w:vAlign w:val="bottom"/>
          </w:tcPr>
          <w:p>
            <w:pPr>
              <w:spacing w:after="0"/>
              <w:rPr>
                <w:sz w:val="18"/>
                <w:szCs w:val="18"/>
                <w:color w:val="auto"/>
              </w:rPr>
            </w:pPr>
          </w:p>
        </w:tc>
        <w:tc>
          <w:tcPr>
            <w:tcW w:w="3040" w:type="dxa"/>
            <w:vAlign w:val="bottom"/>
            <w:gridSpan w:val="4"/>
          </w:tcPr>
          <w:p>
            <w:pPr>
              <w:spacing w:after="0"/>
              <w:rPr>
                <w:rFonts w:ascii="Arial" w:cs="Arial" w:eastAsia="Arial" w:hAnsi="Arial"/>
                <w:sz w:val="14"/>
                <w:szCs w:val="14"/>
                <w:color w:val="0000EE"/>
                <w:w w:val="86"/>
              </w:rPr>
            </w:pPr>
            <w:hyperlink r:id="rId62">
              <w:r>
                <w:rPr>
                  <w:rFonts w:ascii="Arial" w:cs="Arial" w:eastAsia="Arial" w:hAnsi="Arial"/>
                  <w:sz w:val="14"/>
                  <w:szCs w:val="14"/>
                  <w:color w:val="0000EE"/>
                  <w:w w:val="86"/>
                </w:rPr>
                <w:t>Stockholder Support Agreement, dated as of September</w:t>
              </w:r>
            </w:hyperlink>
          </w:p>
        </w:tc>
        <w:tc>
          <w:tcPr>
            <w:tcW w:w="4640" w:type="dxa"/>
            <w:vAlign w:val="bottom"/>
            <w:gridSpan w:val="8"/>
          </w:tcPr>
          <w:p>
            <w:pPr>
              <w:ind w:left="40"/>
              <w:spacing w:after="0"/>
              <w:rPr>
                <w:rFonts w:ascii="Arial" w:cs="Arial" w:eastAsia="Arial" w:hAnsi="Arial"/>
                <w:sz w:val="14"/>
                <w:szCs w:val="14"/>
                <w:color w:val="0000EE"/>
                <w:w w:val="93"/>
              </w:rPr>
            </w:pPr>
            <w:hyperlink r:id="rId62">
              <w:r>
                <w:rPr>
                  <w:rFonts w:ascii="Arial" w:cs="Arial" w:eastAsia="Arial" w:hAnsi="Arial"/>
                  <w:sz w:val="14"/>
                  <w:szCs w:val="14"/>
                  <w:color w:val="0000EE"/>
                  <w:w w:val="93"/>
                </w:rPr>
                <w:t>2, 2020, by and between Kensington Capital Acquisition Corp. and Volkswagen</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Borders>
              <w:top w:val="single" w:sz="8" w:color="0000EE"/>
              <w:bottom w:val="single" w:sz="8" w:color="0000EE"/>
            </w:tcBorders>
            <w:gridSpan w:val="3"/>
          </w:tcPr>
          <w:p>
            <w:pPr>
              <w:spacing w:after="0" w:line="143" w:lineRule="exact"/>
              <w:rPr>
                <w:rFonts w:ascii="Arial" w:cs="Arial" w:eastAsia="Arial" w:hAnsi="Arial"/>
                <w:sz w:val="14"/>
                <w:szCs w:val="14"/>
                <w:color w:val="0000EE"/>
                <w:w w:val="88"/>
              </w:rPr>
            </w:pPr>
            <w:hyperlink r:id="rId62">
              <w:r>
                <w:rPr>
                  <w:rFonts w:ascii="Arial" w:cs="Arial" w:eastAsia="Arial" w:hAnsi="Arial"/>
                  <w:sz w:val="14"/>
                  <w:szCs w:val="14"/>
                  <w:color w:val="0000EE"/>
                  <w:w w:val="88"/>
                </w:rPr>
                <w:t>Group of America Investments, LLC. (2)</w:t>
              </w:r>
            </w:hyperlink>
          </w:p>
        </w:tc>
        <w:tc>
          <w:tcPr>
            <w:tcW w:w="820" w:type="dxa"/>
            <w:vAlign w:val="bottom"/>
            <w:tcBorders>
              <w:top w:val="single" w:sz="8" w:color="0000EE"/>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10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20"/>
                <w:szCs w:val="20"/>
                <w:color w:val="auto"/>
              </w:rPr>
            </w:pPr>
            <w:r>
              <w:rPr>
                <w:rFonts w:ascii="Arial" w:cs="Arial" w:eastAsia="Arial" w:hAnsi="Arial"/>
                <w:sz w:val="14"/>
                <w:szCs w:val="14"/>
                <w:color w:val="auto"/>
                <w:w w:val="90"/>
              </w:rPr>
              <w:t>10.6+</w:t>
            </w:r>
          </w:p>
        </w:tc>
        <w:tc>
          <w:tcPr>
            <w:tcW w:w="260" w:type="dxa"/>
            <w:vAlign w:val="bottom"/>
          </w:tcPr>
          <w:p>
            <w:pPr>
              <w:spacing w:after="0"/>
              <w:rPr>
                <w:sz w:val="19"/>
                <w:szCs w:val="19"/>
                <w:color w:val="auto"/>
              </w:rPr>
            </w:pPr>
          </w:p>
        </w:tc>
        <w:tc>
          <w:tcPr>
            <w:tcW w:w="3040" w:type="dxa"/>
            <w:vAlign w:val="bottom"/>
            <w:tcBorders>
              <w:bottom w:val="single" w:sz="8" w:color="0000EE"/>
            </w:tcBorders>
            <w:gridSpan w:val="4"/>
          </w:tcPr>
          <w:p>
            <w:pPr>
              <w:spacing w:after="0"/>
              <w:rPr>
                <w:rFonts w:ascii="Arial" w:cs="Arial" w:eastAsia="Arial" w:hAnsi="Arial"/>
                <w:sz w:val="14"/>
                <w:szCs w:val="14"/>
                <w:color w:val="0000EE"/>
                <w:w w:val="86"/>
              </w:rPr>
            </w:pPr>
            <w:hyperlink r:id="rId63">
              <w:r>
                <w:rPr>
                  <w:rFonts w:ascii="Arial" w:cs="Arial" w:eastAsia="Arial" w:hAnsi="Arial"/>
                  <w:sz w:val="14"/>
                  <w:szCs w:val="14"/>
                  <w:color w:val="0000EE"/>
                  <w:w w:val="86"/>
                </w:rPr>
                <w:t>Stockholder Support Agreement, dated as of September</w:t>
              </w:r>
            </w:hyperlink>
          </w:p>
        </w:tc>
        <w:tc>
          <w:tcPr>
            <w:tcW w:w="4640" w:type="dxa"/>
            <w:vAlign w:val="bottom"/>
            <w:tcBorders>
              <w:bottom w:val="single" w:sz="8" w:color="0000EE"/>
            </w:tcBorders>
            <w:gridSpan w:val="8"/>
          </w:tcPr>
          <w:p>
            <w:pPr>
              <w:ind w:left="40"/>
              <w:spacing w:after="0"/>
              <w:rPr>
                <w:rFonts w:ascii="Arial" w:cs="Arial" w:eastAsia="Arial" w:hAnsi="Arial"/>
                <w:sz w:val="14"/>
                <w:szCs w:val="14"/>
                <w:color w:val="0000EE"/>
                <w:w w:val="87"/>
              </w:rPr>
            </w:pPr>
            <w:hyperlink r:id="rId63">
              <w:r>
                <w:rPr>
                  <w:rFonts w:ascii="Arial" w:cs="Arial" w:eastAsia="Arial" w:hAnsi="Arial"/>
                  <w:sz w:val="14"/>
                  <w:szCs w:val="14"/>
                  <w:color w:val="0000EE"/>
                  <w:w w:val="87"/>
                </w:rPr>
                <w:t>2, 2020, by and among Kensington Capital Acquisition Corp. and the persons named</w:t>
              </w:r>
            </w:hyperlink>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bottom w:val="single" w:sz="8" w:color="0000EE"/>
            </w:tcBorders>
          </w:tcPr>
          <w:p>
            <w:pPr>
              <w:spacing w:after="0" w:line="143" w:lineRule="exact"/>
              <w:rPr>
                <w:rFonts w:ascii="Arial" w:cs="Arial" w:eastAsia="Arial" w:hAnsi="Arial"/>
                <w:sz w:val="14"/>
                <w:szCs w:val="14"/>
                <w:color w:val="0000EE"/>
                <w:w w:val="85"/>
              </w:rPr>
            </w:pPr>
            <w:hyperlink r:id="rId63">
              <w:r>
                <w:rPr>
                  <w:rFonts w:ascii="Arial" w:cs="Arial" w:eastAsia="Arial" w:hAnsi="Arial"/>
                  <w:sz w:val="14"/>
                  <w:szCs w:val="14"/>
                  <w:color w:val="0000EE"/>
                  <w:w w:val="85"/>
                </w:rPr>
                <w:t>therein. (2)</w:t>
              </w:r>
            </w:hyperlink>
          </w:p>
        </w:tc>
        <w:tc>
          <w:tcPr>
            <w:tcW w:w="2440" w:type="dxa"/>
            <w:vAlign w:val="bottom"/>
            <w:gridSpan w:val="3"/>
          </w:tcPr>
          <w:p>
            <w:pPr>
              <w:spacing w:after="0"/>
              <w:rPr>
                <w:sz w:val="12"/>
                <w:szCs w:val="12"/>
                <w:color w:val="auto"/>
              </w:rPr>
            </w:pPr>
          </w:p>
        </w:tc>
        <w:tc>
          <w:tcPr>
            <w:tcW w:w="1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40" w:type="dxa"/>
            <w:vAlign w:val="bottom"/>
          </w:tcPr>
          <w:p>
            <w:pPr>
              <w:spacing w:after="0"/>
              <w:rPr>
                <w:sz w:val="20"/>
                <w:szCs w:val="20"/>
                <w:color w:val="auto"/>
              </w:rPr>
            </w:pPr>
            <w:r>
              <w:rPr>
                <w:rFonts w:ascii="Arial" w:cs="Arial" w:eastAsia="Arial" w:hAnsi="Arial"/>
                <w:sz w:val="14"/>
                <w:szCs w:val="14"/>
                <w:color w:val="auto"/>
                <w:w w:val="91"/>
              </w:rPr>
              <w:t>10.7#</w:t>
            </w:r>
          </w:p>
        </w:tc>
        <w:tc>
          <w:tcPr>
            <w:tcW w:w="260" w:type="dxa"/>
            <w:vAlign w:val="bottom"/>
          </w:tcPr>
          <w:p>
            <w:pPr>
              <w:spacing w:after="0"/>
              <w:rPr>
                <w:sz w:val="22"/>
                <w:szCs w:val="22"/>
                <w:color w:val="auto"/>
              </w:rPr>
            </w:pPr>
          </w:p>
        </w:tc>
        <w:tc>
          <w:tcPr>
            <w:tcW w:w="7680" w:type="dxa"/>
            <w:vAlign w:val="bottom"/>
            <w:gridSpan w:val="12"/>
          </w:tcPr>
          <w:p>
            <w:pPr>
              <w:spacing w:after="0"/>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Form of Indemnification Agreement by and between the Company and its directors and officers.</w:t>
              </w:r>
            </w:hyperlink>
          </w:p>
        </w:tc>
        <w:tc>
          <w:tcPr>
            <w:tcW w:w="0" w:type="dxa"/>
            <w:vAlign w:val="bottom"/>
          </w:tcPr>
          <w:p>
            <w:pPr>
              <w:spacing w:after="0"/>
              <w:rPr>
                <w:sz w:val="1"/>
                <w:szCs w:val="1"/>
                <w:color w:val="auto"/>
              </w:rPr>
            </w:pPr>
          </w:p>
        </w:tc>
      </w:tr>
      <w:tr>
        <w:trPr>
          <w:trHeight w:val="274"/>
        </w:trPr>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20" w:type="dxa"/>
            <w:vAlign w:val="bottom"/>
          </w:tcPr>
          <w:p>
            <w:pPr>
              <w:jc w:val="right"/>
              <w:ind w:right="1076"/>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8" w:right="1440"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79310" cy="19050"/>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173"/>
        </w:trPr>
        <w:tc>
          <w:tcPr>
            <w:tcW w:w="760" w:type="dxa"/>
            <w:vAlign w:val="bottom"/>
          </w:tcPr>
          <w:p>
            <w:pPr>
              <w:spacing w:after="0"/>
              <w:rPr>
                <w:sz w:val="20"/>
                <w:szCs w:val="20"/>
                <w:color w:val="auto"/>
              </w:rPr>
            </w:pPr>
            <w:r>
              <w:rPr>
                <w:rFonts w:ascii="Arial" w:cs="Arial" w:eastAsia="Arial" w:hAnsi="Arial"/>
                <w:sz w:val="14"/>
                <w:szCs w:val="14"/>
                <w:color w:val="auto"/>
              </w:rPr>
              <w:t>10.8#</w:t>
            </w:r>
          </w:p>
        </w:tc>
        <w:tc>
          <w:tcPr>
            <w:tcW w:w="7500" w:type="dxa"/>
            <w:vAlign w:val="bottom"/>
            <w:gridSpan w:val="17"/>
          </w:tcPr>
          <w:p>
            <w:pPr>
              <w:spacing w:after="0"/>
              <w:rPr>
                <w:rFonts w:ascii="Arial" w:cs="Arial" w:eastAsia="Arial" w:hAnsi="Arial"/>
                <w:sz w:val="14"/>
                <w:szCs w:val="14"/>
                <w:u w:val="single" w:color="auto"/>
                <w:color w:val="0000EE"/>
              </w:rPr>
            </w:pPr>
            <w:hyperlink w:anchor="page77">
              <w:r>
                <w:rPr>
                  <w:rFonts w:ascii="Arial" w:cs="Arial" w:eastAsia="Arial" w:hAnsi="Arial"/>
                  <w:sz w:val="14"/>
                  <w:szCs w:val="14"/>
                  <w:u w:val="single" w:color="auto"/>
                  <w:color w:val="0000EE"/>
                </w:rPr>
                <w:t>QuantumScape Corporation 2020 Equity Incentive Plan.</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10.9#</w:t>
            </w:r>
          </w:p>
        </w:tc>
        <w:tc>
          <w:tcPr>
            <w:tcW w:w="7500" w:type="dxa"/>
            <w:vAlign w:val="bottom"/>
            <w:gridSpan w:val="17"/>
          </w:tcPr>
          <w:p>
            <w:pPr>
              <w:spacing w:after="0"/>
              <w:rPr>
                <w:rFonts w:ascii="Arial" w:cs="Arial" w:eastAsia="Arial" w:hAnsi="Arial"/>
                <w:sz w:val="14"/>
                <w:szCs w:val="14"/>
                <w:u w:val="single" w:color="auto"/>
                <w:color w:val="0000EE"/>
              </w:rPr>
            </w:pPr>
            <w:hyperlink w:anchor="page93">
              <w:r>
                <w:rPr>
                  <w:rFonts w:ascii="Arial" w:cs="Arial" w:eastAsia="Arial" w:hAnsi="Arial"/>
                  <w:sz w:val="14"/>
                  <w:szCs w:val="14"/>
                  <w:u w:val="single" w:color="auto"/>
                  <w:color w:val="0000EE"/>
                </w:rPr>
                <w:t>QuantumScape Corporation 2020 Equity Incentive Plan — Form of Stock Option Agreement.</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10.10#</w:t>
            </w:r>
          </w:p>
        </w:tc>
        <w:tc>
          <w:tcPr>
            <w:tcW w:w="7500" w:type="dxa"/>
            <w:vAlign w:val="bottom"/>
            <w:gridSpan w:val="17"/>
          </w:tcPr>
          <w:p>
            <w:pPr>
              <w:spacing w:after="0"/>
              <w:rPr>
                <w:rFonts w:ascii="Arial" w:cs="Arial" w:eastAsia="Arial" w:hAnsi="Arial"/>
                <w:sz w:val="14"/>
                <w:szCs w:val="14"/>
                <w:u w:val="single" w:color="auto"/>
                <w:color w:val="0000EE"/>
              </w:rPr>
            </w:pPr>
            <w:hyperlink w:anchor="page107">
              <w:r>
                <w:rPr>
                  <w:rFonts w:ascii="Arial" w:cs="Arial" w:eastAsia="Arial" w:hAnsi="Arial"/>
                  <w:sz w:val="14"/>
                  <w:szCs w:val="14"/>
                  <w:u w:val="single" w:color="auto"/>
                  <w:color w:val="0000EE"/>
                </w:rPr>
                <w:t>QuantumScape Corporation 2020 Equity Incentive Plan — Form of Restricted Stock Unit Agreement.</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10.11#</w:t>
            </w:r>
          </w:p>
        </w:tc>
        <w:tc>
          <w:tcPr>
            <w:tcW w:w="7500" w:type="dxa"/>
            <w:vAlign w:val="bottom"/>
            <w:gridSpan w:val="17"/>
          </w:tcPr>
          <w:p>
            <w:pPr>
              <w:spacing w:after="0"/>
              <w:rPr>
                <w:rFonts w:ascii="Arial" w:cs="Arial" w:eastAsia="Arial" w:hAnsi="Arial"/>
                <w:sz w:val="14"/>
                <w:szCs w:val="14"/>
                <w:u w:val="single" w:color="auto"/>
                <w:color w:val="0000EE"/>
              </w:rPr>
            </w:pPr>
            <w:hyperlink w:anchor="page119">
              <w:r>
                <w:rPr>
                  <w:rFonts w:ascii="Arial" w:cs="Arial" w:eastAsia="Arial" w:hAnsi="Arial"/>
                  <w:sz w:val="14"/>
                  <w:szCs w:val="14"/>
                  <w:u w:val="single" w:color="auto"/>
                  <w:color w:val="0000EE"/>
                </w:rPr>
                <w:t>QuantumScape Corporation 2020 Equity Incentive Plan — Form of Restricted Stock Agreement.</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10.12#</w:t>
            </w:r>
          </w:p>
        </w:tc>
        <w:tc>
          <w:tcPr>
            <w:tcW w:w="7500" w:type="dxa"/>
            <w:vAlign w:val="bottom"/>
            <w:gridSpan w:val="17"/>
          </w:tcPr>
          <w:p>
            <w:pPr>
              <w:spacing w:after="0"/>
              <w:rPr>
                <w:rFonts w:ascii="Arial" w:cs="Arial" w:eastAsia="Arial" w:hAnsi="Arial"/>
                <w:sz w:val="14"/>
                <w:szCs w:val="14"/>
                <w:u w:val="single" w:color="auto"/>
                <w:color w:val="0000EE"/>
              </w:rPr>
            </w:pPr>
            <w:hyperlink w:anchor="page131">
              <w:r>
                <w:rPr>
                  <w:rFonts w:ascii="Arial" w:cs="Arial" w:eastAsia="Arial" w:hAnsi="Arial"/>
                  <w:sz w:val="14"/>
                  <w:szCs w:val="14"/>
                  <w:u w:val="single" w:color="auto"/>
                  <w:color w:val="0000EE"/>
                </w:rPr>
                <w:t>QuantumScape Corporation 2020 Employee Stock Purchase Plan.</w:t>
              </w:r>
            </w:hyperlink>
          </w:p>
        </w:tc>
      </w:tr>
      <w:tr>
        <w:trPr>
          <w:trHeight w:val="214"/>
        </w:trPr>
        <w:tc>
          <w:tcPr>
            <w:tcW w:w="760" w:type="dxa"/>
            <w:vAlign w:val="bottom"/>
          </w:tcPr>
          <w:p>
            <w:pPr>
              <w:spacing w:after="0"/>
              <w:rPr>
                <w:sz w:val="20"/>
                <w:szCs w:val="20"/>
                <w:color w:val="auto"/>
              </w:rPr>
            </w:pPr>
            <w:r>
              <w:rPr>
                <w:rFonts w:ascii="Arial" w:cs="Arial" w:eastAsia="Arial" w:hAnsi="Arial"/>
                <w:sz w:val="14"/>
                <w:szCs w:val="14"/>
                <w:color w:val="auto"/>
              </w:rPr>
              <w:t>10.13+</w:t>
            </w:r>
          </w:p>
        </w:tc>
        <w:tc>
          <w:tcPr>
            <w:tcW w:w="7500" w:type="dxa"/>
            <w:vAlign w:val="bottom"/>
            <w:tcBorders>
              <w:bottom w:val="single" w:sz="8" w:color="0000EE"/>
            </w:tcBorders>
            <w:gridSpan w:val="17"/>
          </w:tcPr>
          <w:p>
            <w:pPr>
              <w:spacing w:after="0"/>
              <w:rPr>
                <w:rFonts w:ascii="Arial" w:cs="Arial" w:eastAsia="Arial" w:hAnsi="Arial"/>
                <w:sz w:val="14"/>
                <w:szCs w:val="14"/>
                <w:color w:val="0000EE"/>
                <w:w w:val="87"/>
              </w:rPr>
            </w:pPr>
            <w:hyperlink r:id="rId65">
              <w:r>
                <w:rPr>
                  <w:rFonts w:ascii="Arial" w:cs="Arial" w:eastAsia="Arial" w:hAnsi="Arial"/>
                  <w:sz w:val="14"/>
                  <w:szCs w:val="14"/>
                  <w:color w:val="0000EE"/>
                  <w:w w:val="87"/>
                </w:rPr>
                <w:t>First Letter Agreement, dated as of September 2, 2020, by and among Kensington Capital Acquisition Corp., QuantumScape Corporation,</w:t>
              </w:r>
            </w:hyperlink>
          </w:p>
        </w:tc>
      </w:tr>
      <w:tr>
        <w:trPr>
          <w:trHeight w:val="142"/>
        </w:trPr>
        <w:tc>
          <w:tcPr>
            <w:tcW w:w="760" w:type="dxa"/>
            <w:vAlign w:val="bottom"/>
          </w:tcPr>
          <w:p>
            <w:pPr>
              <w:spacing w:after="0"/>
              <w:rPr>
                <w:sz w:val="12"/>
                <w:szCs w:val="12"/>
                <w:color w:val="auto"/>
              </w:rPr>
            </w:pPr>
          </w:p>
        </w:tc>
        <w:tc>
          <w:tcPr>
            <w:tcW w:w="7500" w:type="dxa"/>
            <w:vAlign w:val="bottom"/>
            <w:gridSpan w:val="17"/>
          </w:tcPr>
          <w:p>
            <w:pPr>
              <w:spacing w:after="0" w:line="143" w:lineRule="exact"/>
              <w:rPr>
                <w:rFonts w:ascii="Arial" w:cs="Arial" w:eastAsia="Arial" w:hAnsi="Arial"/>
                <w:sz w:val="14"/>
                <w:szCs w:val="14"/>
                <w:color w:val="0000EE"/>
              </w:rPr>
            </w:pPr>
            <w:hyperlink r:id="rId65">
              <w:r>
                <w:rPr>
                  <w:rFonts w:ascii="Arial" w:cs="Arial" w:eastAsia="Arial" w:hAnsi="Arial"/>
                  <w:sz w:val="14"/>
                  <w:szCs w:val="14"/>
                  <w:color w:val="0000EE"/>
                </w:rPr>
                <w:t>and Volkswagen Group of America Investments, LLC. (2)</w:t>
              </w:r>
            </w:hyperlink>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10.14+</w:t>
            </w:r>
          </w:p>
        </w:tc>
        <w:tc>
          <w:tcPr>
            <w:tcW w:w="6940" w:type="dxa"/>
            <w:vAlign w:val="bottom"/>
            <w:tcBorders>
              <w:bottom w:val="single" w:sz="8" w:color="0000EE"/>
            </w:tcBorders>
            <w:gridSpan w:val="11"/>
          </w:tcPr>
          <w:p>
            <w:pPr>
              <w:spacing w:after="0"/>
              <w:rPr>
                <w:rFonts w:ascii="Arial" w:cs="Arial" w:eastAsia="Arial" w:hAnsi="Arial"/>
                <w:sz w:val="14"/>
                <w:szCs w:val="14"/>
                <w:color w:val="0000EE"/>
                <w:w w:val="87"/>
              </w:rPr>
            </w:pPr>
            <w:hyperlink r:id="rId66">
              <w:r>
                <w:rPr>
                  <w:rFonts w:ascii="Arial" w:cs="Arial" w:eastAsia="Arial" w:hAnsi="Arial"/>
                  <w:sz w:val="14"/>
                  <w:szCs w:val="14"/>
                  <w:color w:val="0000EE"/>
                  <w:w w:val="87"/>
                </w:rPr>
                <w:t>Second Letter Agreement, dated as of September 2, 2020, by and among Kensington Capital Acquisition Corp., QuantumScape</w:t>
              </w:r>
            </w:hyperlink>
          </w:p>
        </w:tc>
        <w:tc>
          <w:tcPr>
            <w:tcW w:w="560" w:type="dxa"/>
            <w:vAlign w:val="bottom"/>
            <w:gridSpan w:val="6"/>
          </w:tcPr>
          <w:p>
            <w:pPr>
              <w:spacing w:after="0"/>
              <w:rPr>
                <w:sz w:val="19"/>
                <w:szCs w:val="19"/>
                <w:color w:val="auto"/>
              </w:rPr>
            </w:pPr>
          </w:p>
        </w:tc>
      </w:tr>
      <w:tr>
        <w:trPr>
          <w:trHeight w:val="142"/>
        </w:trPr>
        <w:tc>
          <w:tcPr>
            <w:tcW w:w="760" w:type="dxa"/>
            <w:vAlign w:val="bottom"/>
          </w:tcPr>
          <w:p>
            <w:pPr>
              <w:spacing w:after="0"/>
              <w:rPr>
                <w:sz w:val="12"/>
                <w:szCs w:val="12"/>
                <w:color w:val="auto"/>
              </w:rPr>
            </w:pPr>
          </w:p>
        </w:tc>
        <w:tc>
          <w:tcPr>
            <w:tcW w:w="7500" w:type="dxa"/>
            <w:vAlign w:val="bottom"/>
            <w:gridSpan w:val="17"/>
          </w:tcPr>
          <w:p>
            <w:pPr>
              <w:spacing w:after="0" w:line="143" w:lineRule="exact"/>
              <w:rPr>
                <w:rFonts w:ascii="Arial" w:cs="Arial" w:eastAsia="Arial" w:hAnsi="Arial"/>
                <w:sz w:val="14"/>
                <w:szCs w:val="14"/>
                <w:color w:val="0000EE"/>
              </w:rPr>
            </w:pPr>
            <w:hyperlink r:id="rId66">
              <w:r>
                <w:rPr>
                  <w:rFonts w:ascii="Arial" w:cs="Arial" w:eastAsia="Arial" w:hAnsi="Arial"/>
                  <w:sz w:val="14"/>
                  <w:szCs w:val="14"/>
                  <w:color w:val="0000EE"/>
                </w:rPr>
                <w:t>Corporation, and Volkswagen Group of America Investments, LLC. (2)</w:t>
              </w:r>
            </w:hyperlink>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10.15+</w:t>
            </w:r>
          </w:p>
        </w:tc>
        <w:tc>
          <w:tcPr>
            <w:tcW w:w="6840" w:type="dxa"/>
            <w:vAlign w:val="bottom"/>
            <w:tcBorders>
              <w:bottom w:val="single" w:sz="8" w:color="0000EE"/>
            </w:tcBorders>
            <w:gridSpan w:val="9"/>
          </w:tcPr>
          <w:p>
            <w:pPr>
              <w:spacing w:after="0"/>
              <w:rPr>
                <w:rFonts w:ascii="Arial" w:cs="Arial" w:eastAsia="Arial" w:hAnsi="Arial"/>
                <w:sz w:val="14"/>
                <w:szCs w:val="14"/>
                <w:color w:val="0000EE"/>
                <w:w w:val="87"/>
              </w:rPr>
            </w:pPr>
            <w:hyperlink r:id="rId67">
              <w:r>
                <w:rPr>
                  <w:rFonts w:ascii="Arial" w:cs="Arial" w:eastAsia="Arial" w:hAnsi="Arial"/>
                  <w:sz w:val="14"/>
                  <w:szCs w:val="14"/>
                  <w:color w:val="0000EE"/>
                  <w:w w:val="87"/>
                </w:rPr>
                <w:t>Third Letter Agreement, dated as of September 2, 2020, by and among Kensington Capital Acquisition Corp., QuantumScape</w:t>
              </w:r>
            </w:hyperlink>
          </w:p>
        </w:tc>
        <w:tc>
          <w:tcPr>
            <w:tcW w:w="660" w:type="dxa"/>
            <w:vAlign w:val="bottom"/>
            <w:gridSpan w:val="8"/>
          </w:tcPr>
          <w:p>
            <w:pPr>
              <w:spacing w:after="0"/>
              <w:rPr>
                <w:sz w:val="19"/>
                <w:szCs w:val="19"/>
                <w:color w:val="auto"/>
              </w:rPr>
            </w:pPr>
          </w:p>
        </w:tc>
      </w:tr>
      <w:tr>
        <w:trPr>
          <w:trHeight w:val="142"/>
        </w:trPr>
        <w:tc>
          <w:tcPr>
            <w:tcW w:w="760" w:type="dxa"/>
            <w:vAlign w:val="bottom"/>
          </w:tcPr>
          <w:p>
            <w:pPr>
              <w:spacing w:after="0"/>
              <w:rPr>
                <w:sz w:val="12"/>
                <w:szCs w:val="12"/>
                <w:color w:val="auto"/>
              </w:rPr>
            </w:pPr>
          </w:p>
        </w:tc>
        <w:tc>
          <w:tcPr>
            <w:tcW w:w="7500" w:type="dxa"/>
            <w:vAlign w:val="bottom"/>
            <w:gridSpan w:val="17"/>
          </w:tcPr>
          <w:p>
            <w:pPr>
              <w:spacing w:after="0" w:line="143" w:lineRule="exact"/>
              <w:rPr>
                <w:rFonts w:ascii="Arial" w:cs="Arial" w:eastAsia="Arial" w:hAnsi="Arial"/>
                <w:sz w:val="14"/>
                <w:szCs w:val="14"/>
                <w:color w:val="0000EE"/>
              </w:rPr>
            </w:pPr>
            <w:hyperlink r:id="rId67">
              <w:r>
                <w:rPr>
                  <w:rFonts w:ascii="Arial" w:cs="Arial" w:eastAsia="Arial" w:hAnsi="Arial"/>
                  <w:sz w:val="14"/>
                  <w:szCs w:val="14"/>
                  <w:color w:val="0000EE"/>
                </w:rPr>
                <w:t>Corporation, and Volkswagen Group of America Investments, LLC. (2)</w:t>
              </w:r>
            </w:hyperlink>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3"/>
        </w:trPr>
        <w:tc>
          <w:tcPr>
            <w:tcW w:w="760" w:type="dxa"/>
            <w:vAlign w:val="bottom"/>
          </w:tcPr>
          <w:p>
            <w:pPr>
              <w:spacing w:after="0"/>
              <w:rPr>
                <w:sz w:val="20"/>
                <w:szCs w:val="20"/>
                <w:color w:val="auto"/>
              </w:rPr>
            </w:pPr>
            <w:r>
              <w:rPr>
                <w:rFonts w:ascii="Arial" w:cs="Arial" w:eastAsia="Arial" w:hAnsi="Arial"/>
                <w:sz w:val="14"/>
                <w:szCs w:val="14"/>
                <w:color w:val="auto"/>
              </w:rPr>
              <w:t>10.16+</w:t>
            </w:r>
          </w:p>
        </w:tc>
        <w:tc>
          <w:tcPr>
            <w:tcW w:w="7500" w:type="dxa"/>
            <w:vAlign w:val="bottom"/>
            <w:gridSpan w:val="17"/>
          </w:tcPr>
          <w:p>
            <w:pPr>
              <w:spacing w:after="0"/>
              <w:rPr>
                <w:rFonts w:ascii="Arial" w:cs="Arial" w:eastAsia="Arial" w:hAnsi="Arial"/>
                <w:sz w:val="14"/>
                <w:szCs w:val="14"/>
                <w:u w:val="single" w:color="auto"/>
                <w:color w:val="0000EE"/>
                <w:w w:val="94"/>
              </w:rPr>
            </w:pPr>
            <w:hyperlink r:id="rId68">
              <w:r>
                <w:rPr>
                  <w:rFonts w:ascii="Arial" w:cs="Arial" w:eastAsia="Arial" w:hAnsi="Arial"/>
                  <w:sz w:val="14"/>
                  <w:szCs w:val="14"/>
                  <w:u w:val="single" w:color="auto"/>
                  <w:color w:val="0000EE"/>
                  <w:w w:val="94"/>
                </w:rPr>
                <w:t>Services Agreement, dated as of September 1, 2020, by and between Kensington Capital Acquisition Corp. and DEHC LLC. (2)</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10.17+</w:t>
            </w:r>
          </w:p>
        </w:tc>
        <w:tc>
          <w:tcPr>
            <w:tcW w:w="7500" w:type="dxa"/>
            <w:vAlign w:val="bottom"/>
            <w:gridSpan w:val="17"/>
          </w:tcPr>
          <w:p>
            <w:pPr>
              <w:spacing w:after="0"/>
              <w:rPr>
                <w:rFonts w:ascii="Arial" w:cs="Arial" w:eastAsia="Arial" w:hAnsi="Arial"/>
                <w:sz w:val="14"/>
                <w:szCs w:val="14"/>
                <w:u w:val="single" w:color="auto"/>
                <w:color w:val="0000EE"/>
                <w:w w:val="93"/>
              </w:rPr>
            </w:pPr>
            <w:hyperlink r:id="rId69">
              <w:r>
                <w:rPr>
                  <w:rFonts w:ascii="Arial" w:cs="Arial" w:eastAsia="Arial" w:hAnsi="Arial"/>
                  <w:sz w:val="14"/>
                  <w:szCs w:val="14"/>
                  <w:u w:val="single" w:color="auto"/>
                  <w:color w:val="0000EE"/>
                  <w:w w:val="93"/>
                </w:rPr>
                <w:t>Services Agreement, dated as of September 1, 2020, by and between Kensington Capital Acquisition Corp. and Simon Boag. (2)</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10.18+#</w:t>
            </w:r>
          </w:p>
        </w:tc>
        <w:tc>
          <w:tcPr>
            <w:tcW w:w="7500" w:type="dxa"/>
            <w:vAlign w:val="bottom"/>
            <w:gridSpan w:val="17"/>
          </w:tcPr>
          <w:p>
            <w:pPr>
              <w:spacing w:after="0"/>
              <w:rPr>
                <w:rFonts w:ascii="Arial" w:cs="Arial" w:eastAsia="Arial" w:hAnsi="Arial"/>
                <w:sz w:val="14"/>
                <w:szCs w:val="14"/>
                <w:u w:val="single" w:color="auto"/>
                <w:color w:val="0000EE"/>
              </w:rPr>
            </w:pPr>
            <w:hyperlink r:id="rId70">
              <w:r>
                <w:rPr>
                  <w:rFonts w:ascii="Arial" w:cs="Arial" w:eastAsia="Arial" w:hAnsi="Arial"/>
                  <w:sz w:val="14"/>
                  <w:szCs w:val="14"/>
                  <w:u w:val="single" w:color="auto"/>
                  <w:color w:val="0000EE"/>
                </w:rPr>
                <w:t>Offer Letter from QuantumScape Corporation to Kevin Hettrich, dated October 11, 2011. (3)</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10.19+#</w:t>
            </w:r>
          </w:p>
        </w:tc>
        <w:tc>
          <w:tcPr>
            <w:tcW w:w="7500" w:type="dxa"/>
            <w:vAlign w:val="bottom"/>
            <w:gridSpan w:val="17"/>
          </w:tcPr>
          <w:p>
            <w:pPr>
              <w:spacing w:after="0"/>
              <w:rPr>
                <w:rFonts w:ascii="Arial" w:cs="Arial" w:eastAsia="Arial" w:hAnsi="Arial"/>
                <w:sz w:val="14"/>
                <w:szCs w:val="14"/>
                <w:u w:val="single" w:color="auto"/>
                <w:color w:val="0000EE"/>
              </w:rPr>
            </w:pPr>
            <w:hyperlink r:id="rId71">
              <w:r>
                <w:rPr>
                  <w:rFonts w:ascii="Arial" w:cs="Arial" w:eastAsia="Arial" w:hAnsi="Arial"/>
                  <w:sz w:val="14"/>
                  <w:szCs w:val="14"/>
                  <w:u w:val="single" w:color="auto"/>
                  <w:color w:val="0000EE"/>
                </w:rPr>
                <w:t>Offer Letter from QuantumScape Corporation to Howard Lukens, dated February 13, 2012. (3)</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10.20+#</w:t>
            </w:r>
          </w:p>
        </w:tc>
        <w:tc>
          <w:tcPr>
            <w:tcW w:w="7500" w:type="dxa"/>
            <w:vAlign w:val="bottom"/>
            <w:gridSpan w:val="17"/>
          </w:tcPr>
          <w:p>
            <w:pPr>
              <w:spacing w:after="0"/>
              <w:rPr>
                <w:rFonts w:ascii="Arial" w:cs="Arial" w:eastAsia="Arial" w:hAnsi="Arial"/>
                <w:sz w:val="14"/>
                <w:szCs w:val="14"/>
                <w:u w:val="single" w:color="auto"/>
                <w:color w:val="0000EE"/>
              </w:rPr>
            </w:pPr>
            <w:hyperlink r:id="rId72">
              <w:r>
                <w:rPr>
                  <w:rFonts w:ascii="Arial" w:cs="Arial" w:eastAsia="Arial" w:hAnsi="Arial"/>
                  <w:sz w:val="14"/>
                  <w:szCs w:val="14"/>
                  <w:u w:val="single" w:color="auto"/>
                  <w:color w:val="0000EE"/>
                </w:rPr>
                <w:t>Offer Letter from QuantumScape Corporation to Michael McCarthy, dated December 21, 2012. (3)</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10.21+#</w:t>
            </w:r>
          </w:p>
        </w:tc>
        <w:tc>
          <w:tcPr>
            <w:tcW w:w="7500" w:type="dxa"/>
            <w:vAlign w:val="bottom"/>
            <w:gridSpan w:val="17"/>
          </w:tcPr>
          <w:p>
            <w:pPr>
              <w:spacing w:after="0"/>
              <w:rPr>
                <w:rFonts w:ascii="Arial" w:cs="Arial" w:eastAsia="Arial" w:hAnsi="Arial"/>
                <w:sz w:val="14"/>
                <w:szCs w:val="14"/>
                <w:u w:val="single" w:color="auto"/>
                <w:color w:val="0000EE"/>
              </w:rPr>
            </w:pPr>
            <w:hyperlink r:id="rId73">
              <w:r>
                <w:rPr>
                  <w:rFonts w:ascii="Arial" w:cs="Arial" w:eastAsia="Arial" w:hAnsi="Arial"/>
                  <w:sz w:val="14"/>
                  <w:szCs w:val="14"/>
                  <w:u w:val="single" w:color="auto"/>
                  <w:color w:val="0000EE"/>
                </w:rPr>
                <w:t>Offer Letter from QuantumScape Corporation to Mohit Singh, dated April 3, 2013. (3)</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10.22+</w:t>
            </w:r>
          </w:p>
        </w:tc>
        <w:tc>
          <w:tcPr>
            <w:tcW w:w="7500" w:type="dxa"/>
            <w:vAlign w:val="bottom"/>
            <w:gridSpan w:val="17"/>
          </w:tcPr>
          <w:p>
            <w:pPr>
              <w:spacing w:after="0"/>
              <w:rPr>
                <w:rFonts w:ascii="Arial" w:cs="Arial" w:eastAsia="Arial" w:hAnsi="Arial"/>
                <w:sz w:val="14"/>
                <w:szCs w:val="14"/>
                <w:u w:val="single" w:color="auto"/>
                <w:color w:val="0000EE"/>
              </w:rPr>
            </w:pPr>
            <w:hyperlink r:id="rId74">
              <w:r>
                <w:rPr>
                  <w:rFonts w:ascii="Arial" w:cs="Arial" w:eastAsia="Arial" w:hAnsi="Arial"/>
                  <w:sz w:val="14"/>
                  <w:szCs w:val="14"/>
                  <w:u w:val="single" w:color="auto"/>
                  <w:color w:val="0000EE"/>
                </w:rPr>
                <w:t>Lease, dated May 31, 2013, by and between SI 55, LLC and QuantumScape Corporation. (3)</w:t>
              </w:r>
            </w:hyperlink>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10.23+</w:t>
            </w:r>
          </w:p>
        </w:tc>
        <w:tc>
          <w:tcPr>
            <w:tcW w:w="7500" w:type="dxa"/>
            <w:vAlign w:val="bottom"/>
            <w:gridSpan w:val="17"/>
          </w:tcPr>
          <w:p>
            <w:pPr>
              <w:spacing w:after="0"/>
              <w:rPr>
                <w:rFonts w:ascii="Arial" w:cs="Arial" w:eastAsia="Arial" w:hAnsi="Arial"/>
                <w:sz w:val="14"/>
                <w:szCs w:val="14"/>
                <w:u w:val="single" w:color="auto"/>
                <w:color w:val="0000EE"/>
              </w:rPr>
            </w:pPr>
            <w:hyperlink r:id="rId75">
              <w:r>
                <w:rPr>
                  <w:rFonts w:ascii="Arial" w:cs="Arial" w:eastAsia="Arial" w:hAnsi="Arial"/>
                  <w:sz w:val="14"/>
                  <w:szCs w:val="14"/>
                  <w:u w:val="single" w:color="auto"/>
                  <w:color w:val="0000EE"/>
                </w:rPr>
                <w:t>Amendment to Lease, dated May 19, 2014, by and between SI 55, LLC and QuantumScape Corporation. (3)</w:t>
              </w:r>
            </w:hyperlink>
          </w:p>
        </w:tc>
      </w:tr>
      <w:tr>
        <w:trPr>
          <w:trHeight w:val="214"/>
        </w:trPr>
        <w:tc>
          <w:tcPr>
            <w:tcW w:w="760" w:type="dxa"/>
            <w:vAlign w:val="bottom"/>
          </w:tcPr>
          <w:p>
            <w:pPr>
              <w:spacing w:after="0"/>
              <w:rPr>
                <w:sz w:val="20"/>
                <w:szCs w:val="20"/>
                <w:color w:val="auto"/>
              </w:rPr>
            </w:pPr>
            <w:r>
              <w:rPr>
                <w:rFonts w:ascii="Arial" w:cs="Arial" w:eastAsia="Arial" w:hAnsi="Arial"/>
                <w:sz w:val="14"/>
                <w:szCs w:val="14"/>
                <w:color w:val="auto"/>
              </w:rPr>
              <w:t>10.24+*</w:t>
            </w:r>
          </w:p>
        </w:tc>
        <w:tc>
          <w:tcPr>
            <w:tcW w:w="6880" w:type="dxa"/>
            <w:vAlign w:val="bottom"/>
            <w:tcBorders>
              <w:bottom w:val="single" w:sz="8" w:color="0000EE"/>
            </w:tcBorders>
            <w:gridSpan w:val="10"/>
          </w:tcPr>
          <w:p>
            <w:pPr>
              <w:spacing w:after="0"/>
              <w:rPr>
                <w:rFonts w:ascii="Arial" w:cs="Arial" w:eastAsia="Arial" w:hAnsi="Arial"/>
                <w:sz w:val="14"/>
                <w:szCs w:val="14"/>
                <w:color w:val="0000EE"/>
                <w:w w:val="88"/>
              </w:rPr>
            </w:pPr>
            <w:hyperlink r:id="rId76">
              <w:r>
                <w:rPr>
                  <w:rFonts w:ascii="Arial" w:cs="Arial" w:eastAsia="Arial" w:hAnsi="Arial"/>
                  <w:sz w:val="14"/>
                  <w:szCs w:val="14"/>
                  <w:color w:val="0000EE"/>
                  <w:w w:val="88"/>
                </w:rPr>
                <w:t>Amended and Restated Limited Liability Company Agreement of QSV Operations LLC, dated May 14, 2020, by and between</w:t>
              </w:r>
            </w:hyperlink>
          </w:p>
        </w:tc>
        <w:tc>
          <w:tcPr>
            <w:tcW w:w="620" w:type="dxa"/>
            <w:vAlign w:val="bottom"/>
            <w:gridSpan w:val="7"/>
          </w:tcPr>
          <w:p>
            <w:pPr>
              <w:spacing w:after="0"/>
              <w:rPr>
                <w:sz w:val="18"/>
                <w:szCs w:val="18"/>
                <w:color w:val="auto"/>
              </w:rPr>
            </w:pPr>
          </w:p>
        </w:tc>
      </w:tr>
      <w:tr>
        <w:trPr>
          <w:trHeight w:val="142"/>
        </w:trPr>
        <w:tc>
          <w:tcPr>
            <w:tcW w:w="760" w:type="dxa"/>
            <w:vAlign w:val="bottom"/>
          </w:tcPr>
          <w:p>
            <w:pPr>
              <w:spacing w:after="0"/>
              <w:rPr>
                <w:sz w:val="12"/>
                <w:szCs w:val="12"/>
                <w:color w:val="auto"/>
              </w:rPr>
            </w:pPr>
          </w:p>
        </w:tc>
        <w:tc>
          <w:tcPr>
            <w:tcW w:w="4700" w:type="dxa"/>
            <w:vAlign w:val="bottom"/>
            <w:tcBorders>
              <w:bottom w:val="single" w:sz="8" w:color="0000EE"/>
            </w:tcBorders>
            <w:gridSpan w:val="7"/>
          </w:tcPr>
          <w:p>
            <w:pPr>
              <w:spacing w:after="0" w:line="143" w:lineRule="exact"/>
              <w:rPr>
                <w:rFonts w:ascii="Arial" w:cs="Arial" w:eastAsia="Arial" w:hAnsi="Arial"/>
                <w:sz w:val="14"/>
                <w:szCs w:val="14"/>
                <w:color w:val="0000EE"/>
                <w:w w:val="87"/>
              </w:rPr>
            </w:pPr>
            <w:hyperlink r:id="rId76">
              <w:r>
                <w:rPr>
                  <w:rFonts w:ascii="Arial" w:cs="Arial" w:eastAsia="Arial" w:hAnsi="Arial"/>
                  <w:sz w:val="14"/>
                  <w:szCs w:val="14"/>
                  <w:color w:val="0000EE"/>
                  <w:w w:val="87"/>
                </w:rPr>
                <w:t>QuantumScape Corporation and Volkswagen Group of America Investments, LLC. (3)</w:t>
              </w:r>
            </w:hyperlink>
          </w:p>
        </w:tc>
        <w:tc>
          <w:tcPr>
            <w:tcW w:w="2800" w:type="dxa"/>
            <w:vAlign w:val="bottom"/>
            <w:gridSpan w:val="10"/>
          </w:tcPr>
          <w:p>
            <w:pPr>
              <w:spacing w:after="0"/>
              <w:rPr>
                <w:sz w:val="12"/>
                <w:szCs w:val="12"/>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10.25+*</w:t>
            </w:r>
          </w:p>
        </w:tc>
        <w:tc>
          <w:tcPr>
            <w:tcW w:w="7500" w:type="dxa"/>
            <w:vAlign w:val="bottom"/>
            <w:gridSpan w:val="17"/>
          </w:tcPr>
          <w:p>
            <w:pPr>
              <w:spacing w:after="0"/>
              <w:rPr>
                <w:rFonts w:ascii="Arial" w:cs="Arial" w:eastAsia="Arial" w:hAnsi="Arial"/>
                <w:sz w:val="14"/>
                <w:szCs w:val="14"/>
                <w:color w:val="0000EE"/>
                <w:w w:val="86"/>
              </w:rPr>
            </w:pPr>
            <w:hyperlink r:id="rId77">
              <w:r>
                <w:rPr>
                  <w:rFonts w:ascii="Arial" w:cs="Arial" w:eastAsia="Arial" w:hAnsi="Arial"/>
                  <w:sz w:val="14"/>
                  <w:szCs w:val="14"/>
                  <w:color w:val="0000EE"/>
                  <w:w w:val="86"/>
                </w:rPr>
                <w:t>Amended and Restated Joint Venture Agreement, dated May 14, 2020, by and among QuantumScape Corporation and the persons named</w:t>
              </w:r>
            </w:hyperlink>
          </w:p>
        </w:tc>
      </w:tr>
      <w:tr>
        <w:trPr>
          <w:trHeight w:val="142"/>
        </w:trPr>
        <w:tc>
          <w:tcPr>
            <w:tcW w:w="760" w:type="dxa"/>
            <w:vAlign w:val="bottom"/>
          </w:tcPr>
          <w:p>
            <w:pPr>
              <w:spacing w:after="0"/>
              <w:rPr>
                <w:sz w:val="12"/>
                <w:szCs w:val="12"/>
                <w:color w:val="auto"/>
              </w:rPr>
            </w:pPr>
          </w:p>
        </w:tc>
        <w:tc>
          <w:tcPr>
            <w:tcW w:w="600" w:type="dxa"/>
            <w:vAlign w:val="bottom"/>
            <w:tcBorders>
              <w:top w:val="single" w:sz="8" w:color="0000EE"/>
              <w:bottom w:val="single" w:sz="8" w:color="0000EE"/>
            </w:tcBorders>
          </w:tcPr>
          <w:p>
            <w:pPr>
              <w:spacing w:after="0" w:line="143" w:lineRule="exact"/>
              <w:rPr>
                <w:rFonts w:ascii="Arial" w:cs="Arial" w:eastAsia="Arial" w:hAnsi="Arial"/>
                <w:sz w:val="14"/>
                <w:szCs w:val="14"/>
                <w:color w:val="0000EE"/>
                <w:w w:val="85"/>
              </w:rPr>
            </w:pPr>
            <w:hyperlink r:id="rId77">
              <w:r>
                <w:rPr>
                  <w:rFonts w:ascii="Arial" w:cs="Arial" w:eastAsia="Arial" w:hAnsi="Arial"/>
                  <w:sz w:val="14"/>
                  <w:szCs w:val="14"/>
                  <w:color w:val="0000EE"/>
                  <w:w w:val="85"/>
                </w:rPr>
                <w:t>therein. (3)</w:t>
              </w:r>
            </w:hyperlink>
          </w:p>
        </w:tc>
        <w:tc>
          <w:tcPr>
            <w:tcW w:w="6860" w:type="dxa"/>
            <w:vAlign w:val="bottom"/>
            <w:tcBorders>
              <w:top w:val="single" w:sz="8" w:color="0000EE"/>
            </w:tcBorders>
            <w:gridSpan w:val="15"/>
          </w:tcPr>
          <w:p>
            <w:pPr>
              <w:spacing w:after="0"/>
              <w:rPr>
                <w:sz w:val="12"/>
                <w:szCs w:val="12"/>
                <w:color w:val="auto"/>
              </w:rPr>
            </w:pPr>
          </w:p>
        </w:tc>
        <w:tc>
          <w:tcPr>
            <w:tcW w:w="40" w:type="dxa"/>
            <w:vAlign w:val="bottom"/>
          </w:tcPr>
          <w:p>
            <w:pPr>
              <w:spacing w:after="0"/>
              <w:rPr>
                <w:sz w:val="12"/>
                <w:szCs w:val="12"/>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10.26+</w:t>
            </w:r>
          </w:p>
        </w:tc>
        <w:tc>
          <w:tcPr>
            <w:tcW w:w="7500" w:type="dxa"/>
            <w:vAlign w:val="bottom"/>
            <w:gridSpan w:val="17"/>
          </w:tcPr>
          <w:p>
            <w:pPr>
              <w:spacing w:after="0"/>
              <w:rPr>
                <w:rFonts w:ascii="Arial" w:cs="Arial" w:eastAsia="Arial" w:hAnsi="Arial"/>
                <w:sz w:val="14"/>
                <w:szCs w:val="14"/>
                <w:color w:val="0000EE"/>
                <w:w w:val="93"/>
              </w:rPr>
            </w:pPr>
            <w:hyperlink r:id="rId78">
              <w:r>
                <w:rPr>
                  <w:rFonts w:ascii="Arial" w:cs="Arial" w:eastAsia="Arial" w:hAnsi="Arial"/>
                  <w:sz w:val="14"/>
                  <w:szCs w:val="14"/>
                  <w:color w:val="0000EE"/>
                  <w:w w:val="93"/>
                </w:rPr>
                <w:t>First Amendment to Amended and Restated Joint Venture Agreement, dated September 21, 2020, by and among QuantumScape</w:t>
              </w:r>
            </w:hyperlink>
          </w:p>
        </w:tc>
      </w:tr>
      <w:tr>
        <w:trPr>
          <w:trHeight w:val="142"/>
        </w:trPr>
        <w:tc>
          <w:tcPr>
            <w:tcW w:w="760" w:type="dxa"/>
            <w:vAlign w:val="bottom"/>
          </w:tcPr>
          <w:p>
            <w:pPr>
              <w:spacing w:after="0"/>
              <w:rPr>
                <w:sz w:val="12"/>
                <w:szCs w:val="12"/>
                <w:color w:val="auto"/>
              </w:rPr>
            </w:pPr>
          </w:p>
        </w:tc>
        <w:tc>
          <w:tcPr>
            <w:tcW w:w="2560" w:type="dxa"/>
            <w:vAlign w:val="bottom"/>
            <w:tcBorders>
              <w:top w:val="single" w:sz="8" w:color="0000EE"/>
              <w:bottom w:val="single" w:sz="8" w:color="0000EE"/>
            </w:tcBorders>
            <w:gridSpan w:val="4"/>
          </w:tcPr>
          <w:p>
            <w:pPr>
              <w:spacing w:after="0" w:line="143" w:lineRule="exact"/>
              <w:rPr>
                <w:rFonts w:ascii="Arial" w:cs="Arial" w:eastAsia="Arial" w:hAnsi="Arial"/>
                <w:sz w:val="14"/>
                <w:szCs w:val="14"/>
                <w:color w:val="0000EE"/>
                <w:w w:val="85"/>
              </w:rPr>
            </w:pPr>
            <w:hyperlink r:id="rId78">
              <w:r>
                <w:rPr>
                  <w:rFonts w:ascii="Arial" w:cs="Arial" w:eastAsia="Arial" w:hAnsi="Arial"/>
                  <w:sz w:val="14"/>
                  <w:szCs w:val="14"/>
                  <w:color w:val="0000EE"/>
                  <w:w w:val="85"/>
                </w:rPr>
                <w:t>Corporation and the persons named therein. (3)</w:t>
              </w:r>
            </w:hyperlink>
          </w:p>
        </w:tc>
        <w:tc>
          <w:tcPr>
            <w:tcW w:w="4400" w:type="dxa"/>
            <w:vAlign w:val="bottom"/>
            <w:tcBorders>
              <w:top w:val="single" w:sz="8" w:color="0000EE"/>
            </w:tcBorders>
            <w:gridSpan w:val="8"/>
          </w:tcPr>
          <w:p>
            <w:pPr>
              <w:spacing w:after="0"/>
              <w:rPr>
                <w:sz w:val="12"/>
                <w:szCs w:val="12"/>
                <w:color w:val="auto"/>
              </w:rPr>
            </w:pPr>
          </w:p>
        </w:tc>
        <w:tc>
          <w:tcPr>
            <w:tcW w:w="540" w:type="dxa"/>
            <w:vAlign w:val="bottom"/>
            <w:gridSpan w:val="5"/>
          </w:tcPr>
          <w:p>
            <w:pPr>
              <w:spacing w:after="0"/>
              <w:rPr>
                <w:sz w:val="12"/>
                <w:szCs w:val="12"/>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10.27+*</w:t>
            </w:r>
          </w:p>
        </w:tc>
        <w:tc>
          <w:tcPr>
            <w:tcW w:w="7420" w:type="dxa"/>
            <w:vAlign w:val="bottom"/>
            <w:tcBorders>
              <w:bottom w:val="single" w:sz="8" w:color="0000EE"/>
            </w:tcBorders>
            <w:gridSpan w:val="15"/>
          </w:tcPr>
          <w:p>
            <w:pPr>
              <w:spacing w:after="0"/>
              <w:rPr>
                <w:rFonts w:ascii="Arial" w:cs="Arial" w:eastAsia="Arial" w:hAnsi="Arial"/>
                <w:sz w:val="14"/>
                <w:szCs w:val="14"/>
                <w:color w:val="0000EE"/>
                <w:w w:val="86"/>
              </w:rPr>
            </w:pPr>
            <w:hyperlink r:id="rId79">
              <w:r>
                <w:rPr>
                  <w:rFonts w:ascii="Arial" w:cs="Arial" w:eastAsia="Arial" w:hAnsi="Arial"/>
                  <w:sz w:val="14"/>
                  <w:szCs w:val="14"/>
                  <w:color w:val="0000EE"/>
                  <w:w w:val="86"/>
                </w:rPr>
                <w:t>Series F Preferred Stock Purchase Agreement, dated May 14, 2020, by and between QuantumScape Corporation and Volkswagen Group</w:t>
              </w:r>
            </w:hyperlink>
          </w:p>
        </w:tc>
        <w:tc>
          <w:tcPr>
            <w:tcW w:w="80" w:type="dxa"/>
            <w:vAlign w:val="bottom"/>
            <w:gridSpan w:val="2"/>
          </w:tcPr>
          <w:p>
            <w:pPr>
              <w:spacing w:after="0"/>
              <w:rPr>
                <w:sz w:val="19"/>
                <w:szCs w:val="19"/>
                <w:color w:val="auto"/>
              </w:rPr>
            </w:pPr>
          </w:p>
        </w:tc>
      </w:tr>
      <w:tr>
        <w:trPr>
          <w:trHeight w:val="142"/>
        </w:trPr>
        <w:tc>
          <w:tcPr>
            <w:tcW w:w="760" w:type="dxa"/>
            <w:vAlign w:val="bottom"/>
          </w:tcPr>
          <w:p>
            <w:pPr>
              <w:spacing w:after="0"/>
              <w:rPr>
                <w:sz w:val="12"/>
                <w:szCs w:val="12"/>
                <w:color w:val="auto"/>
              </w:rPr>
            </w:pPr>
          </w:p>
        </w:tc>
        <w:tc>
          <w:tcPr>
            <w:tcW w:w="7500" w:type="dxa"/>
            <w:vAlign w:val="bottom"/>
            <w:gridSpan w:val="17"/>
          </w:tcPr>
          <w:p>
            <w:pPr>
              <w:spacing w:after="0" w:line="143" w:lineRule="exact"/>
              <w:rPr>
                <w:rFonts w:ascii="Arial" w:cs="Arial" w:eastAsia="Arial" w:hAnsi="Arial"/>
                <w:sz w:val="14"/>
                <w:szCs w:val="14"/>
                <w:color w:val="0000EE"/>
              </w:rPr>
            </w:pPr>
            <w:hyperlink r:id="rId79">
              <w:r>
                <w:rPr>
                  <w:rFonts w:ascii="Arial" w:cs="Arial" w:eastAsia="Arial" w:hAnsi="Arial"/>
                  <w:sz w:val="14"/>
                  <w:szCs w:val="14"/>
                  <w:color w:val="0000EE"/>
                </w:rPr>
                <w:t>of America Investments, LLC. (3)</w:t>
              </w:r>
            </w:hyperlink>
          </w:p>
        </w:tc>
      </w:tr>
      <w:tr>
        <w:trPr>
          <w:trHeight w:val="20"/>
        </w:trPr>
        <w:tc>
          <w:tcPr>
            <w:tcW w:w="7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4"/>
                <w:szCs w:val="14"/>
                <w:color w:val="auto"/>
              </w:rPr>
              <w:t>10.28+</w:t>
            </w:r>
          </w:p>
        </w:tc>
        <w:tc>
          <w:tcPr>
            <w:tcW w:w="7500" w:type="dxa"/>
            <w:vAlign w:val="bottom"/>
            <w:gridSpan w:val="17"/>
          </w:tcPr>
          <w:p>
            <w:pPr>
              <w:spacing w:after="0"/>
              <w:rPr>
                <w:rFonts w:ascii="Arial" w:cs="Arial" w:eastAsia="Arial" w:hAnsi="Arial"/>
                <w:sz w:val="14"/>
                <w:szCs w:val="14"/>
                <w:color w:val="0000EE"/>
                <w:w w:val="92"/>
              </w:rPr>
            </w:pPr>
            <w:hyperlink r:id="rId80">
              <w:r>
                <w:rPr>
                  <w:rFonts w:ascii="Arial" w:cs="Arial" w:eastAsia="Arial" w:hAnsi="Arial"/>
                  <w:sz w:val="14"/>
                  <w:szCs w:val="14"/>
                  <w:color w:val="0000EE"/>
                  <w:w w:val="92"/>
                </w:rPr>
                <w:t>Amendment No. 1 to Series F Preferred Stock Purchase Agreement, dated September 3, 2020, by and among Kensington Capital</w:t>
              </w:r>
            </w:hyperlink>
          </w:p>
        </w:tc>
      </w:tr>
      <w:tr>
        <w:trPr>
          <w:trHeight w:val="142"/>
        </w:trPr>
        <w:tc>
          <w:tcPr>
            <w:tcW w:w="760" w:type="dxa"/>
            <w:vAlign w:val="bottom"/>
          </w:tcPr>
          <w:p>
            <w:pPr>
              <w:spacing w:after="0"/>
              <w:rPr>
                <w:sz w:val="12"/>
                <w:szCs w:val="12"/>
                <w:color w:val="auto"/>
              </w:rPr>
            </w:pPr>
          </w:p>
        </w:tc>
        <w:tc>
          <w:tcPr>
            <w:tcW w:w="7000" w:type="dxa"/>
            <w:vAlign w:val="bottom"/>
            <w:tcBorders>
              <w:top w:val="single" w:sz="8" w:color="0000EE"/>
            </w:tcBorders>
            <w:gridSpan w:val="13"/>
          </w:tcPr>
          <w:p>
            <w:pPr>
              <w:spacing w:after="0" w:line="143" w:lineRule="exact"/>
              <w:rPr>
                <w:rFonts w:ascii="Arial" w:cs="Arial" w:eastAsia="Arial" w:hAnsi="Arial"/>
                <w:sz w:val="14"/>
                <w:szCs w:val="14"/>
                <w:color w:val="0000EE"/>
              </w:rPr>
            </w:pPr>
            <w:hyperlink r:id="rId80">
              <w:r>
                <w:rPr>
                  <w:rFonts w:ascii="Arial" w:cs="Arial" w:eastAsia="Arial" w:hAnsi="Arial"/>
                  <w:sz w:val="14"/>
                  <w:szCs w:val="14"/>
                  <w:color w:val="0000EE"/>
                </w:rPr>
                <w:t>Acquisition Corp., QuantumScape Corporation and Volkswagen Group of America Investments, LLC. (3)</w:t>
              </w:r>
            </w:hyperlink>
          </w:p>
        </w:tc>
        <w:tc>
          <w:tcPr>
            <w:tcW w:w="500" w:type="dxa"/>
            <w:vAlign w:val="bottom"/>
            <w:gridSpan w:val="4"/>
          </w:tcPr>
          <w:p>
            <w:pPr>
              <w:spacing w:after="0"/>
              <w:rPr>
                <w:sz w:val="12"/>
                <w:szCs w:val="12"/>
                <w:color w:val="auto"/>
              </w:rPr>
            </w:pPr>
          </w:p>
        </w:tc>
      </w:tr>
      <w:tr>
        <w:trPr>
          <w:trHeight w:val="20"/>
        </w:trPr>
        <w:tc>
          <w:tcPr>
            <w:tcW w:w="76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600" w:type="dxa"/>
            <w:vAlign w:val="bottom"/>
            <w:gridSpan w:val="6"/>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253"/>
        </w:trPr>
        <w:tc>
          <w:tcPr>
            <w:tcW w:w="760" w:type="dxa"/>
            <w:vAlign w:val="bottom"/>
          </w:tcPr>
          <w:p>
            <w:pPr>
              <w:spacing w:after="0"/>
              <w:rPr>
                <w:sz w:val="20"/>
                <w:szCs w:val="20"/>
                <w:color w:val="auto"/>
              </w:rPr>
            </w:pPr>
            <w:r>
              <w:rPr>
                <w:rFonts w:ascii="Arial" w:cs="Arial" w:eastAsia="Arial" w:hAnsi="Arial"/>
                <w:sz w:val="14"/>
                <w:szCs w:val="14"/>
                <w:color w:val="auto"/>
              </w:rPr>
              <w:t>99.1</w:t>
            </w:r>
          </w:p>
        </w:tc>
        <w:tc>
          <w:tcPr>
            <w:tcW w:w="7500" w:type="dxa"/>
            <w:vAlign w:val="bottom"/>
            <w:gridSpan w:val="17"/>
          </w:tcPr>
          <w:p>
            <w:pPr>
              <w:spacing w:after="0"/>
              <w:rPr>
                <w:rFonts w:ascii="Arial" w:cs="Arial" w:eastAsia="Arial" w:hAnsi="Arial"/>
                <w:sz w:val="14"/>
                <w:szCs w:val="14"/>
                <w:u w:val="single" w:color="auto"/>
                <w:color w:val="0000EE"/>
                <w:w w:val="86"/>
              </w:rPr>
            </w:pPr>
            <w:hyperlink w:anchor="page147">
              <w:r>
                <w:rPr>
                  <w:rFonts w:ascii="Arial" w:cs="Arial" w:eastAsia="Arial" w:hAnsi="Arial"/>
                  <w:sz w:val="14"/>
                  <w:szCs w:val="14"/>
                  <w:u w:val="single" w:color="auto"/>
                  <w:color w:val="0000EE"/>
                  <w:w w:val="86"/>
                </w:rPr>
                <w:t>Unaudited consolidated financial statements of Legacy QuantumScape as of and for the nine months ended September 30, 2020 and 2019.</w:t>
              </w:r>
            </w:hyperlink>
          </w:p>
        </w:tc>
      </w:tr>
      <w:tr>
        <w:trPr>
          <w:trHeight w:val="214"/>
        </w:trPr>
        <w:tc>
          <w:tcPr>
            <w:tcW w:w="760" w:type="dxa"/>
            <w:vAlign w:val="bottom"/>
          </w:tcPr>
          <w:p>
            <w:pPr>
              <w:spacing w:after="0"/>
              <w:rPr>
                <w:sz w:val="20"/>
                <w:szCs w:val="20"/>
                <w:color w:val="auto"/>
              </w:rPr>
            </w:pPr>
            <w:r>
              <w:rPr>
                <w:rFonts w:ascii="Arial" w:cs="Arial" w:eastAsia="Arial" w:hAnsi="Arial"/>
                <w:sz w:val="14"/>
                <w:szCs w:val="14"/>
                <w:color w:val="auto"/>
              </w:rPr>
              <w:t>99.2</w:t>
            </w:r>
          </w:p>
        </w:tc>
        <w:tc>
          <w:tcPr>
            <w:tcW w:w="7080" w:type="dxa"/>
            <w:vAlign w:val="bottom"/>
            <w:tcBorders>
              <w:bottom w:val="single" w:sz="8" w:color="0000EE"/>
            </w:tcBorders>
            <w:gridSpan w:val="14"/>
          </w:tcPr>
          <w:p>
            <w:pPr>
              <w:spacing w:after="0"/>
              <w:rPr>
                <w:rFonts w:ascii="Arial" w:cs="Arial" w:eastAsia="Arial" w:hAnsi="Arial"/>
                <w:sz w:val="14"/>
                <w:szCs w:val="14"/>
                <w:color w:val="0000EE"/>
                <w:w w:val="87"/>
              </w:rPr>
            </w:pPr>
            <w:hyperlink w:anchor="page166">
              <w:r>
                <w:rPr>
                  <w:rFonts w:ascii="Arial" w:cs="Arial" w:eastAsia="Arial" w:hAnsi="Arial"/>
                  <w:sz w:val="14"/>
                  <w:szCs w:val="14"/>
                  <w:color w:val="0000EE"/>
                  <w:w w:val="87"/>
                </w:rPr>
                <w:t>Unaudited pro forma condensed consolidated combined financial information of the Company as of and for the nine months ended</w:t>
              </w:r>
            </w:hyperlink>
          </w:p>
        </w:tc>
        <w:tc>
          <w:tcPr>
            <w:tcW w:w="420" w:type="dxa"/>
            <w:vAlign w:val="bottom"/>
            <w:gridSpan w:val="3"/>
          </w:tcPr>
          <w:p>
            <w:pPr>
              <w:spacing w:after="0"/>
              <w:rPr>
                <w:sz w:val="18"/>
                <w:szCs w:val="18"/>
                <w:color w:val="auto"/>
              </w:rPr>
            </w:pPr>
          </w:p>
        </w:tc>
      </w:tr>
      <w:tr>
        <w:trPr>
          <w:trHeight w:val="142"/>
        </w:trPr>
        <w:tc>
          <w:tcPr>
            <w:tcW w:w="760" w:type="dxa"/>
            <w:vAlign w:val="bottom"/>
          </w:tcPr>
          <w:p>
            <w:pPr>
              <w:spacing w:after="0"/>
              <w:rPr>
                <w:sz w:val="12"/>
                <w:szCs w:val="12"/>
                <w:color w:val="auto"/>
              </w:rPr>
            </w:pPr>
          </w:p>
        </w:tc>
        <w:tc>
          <w:tcPr>
            <w:tcW w:w="1120" w:type="dxa"/>
            <w:vAlign w:val="bottom"/>
            <w:tcBorders>
              <w:bottom w:val="single" w:sz="8" w:color="0000EE"/>
            </w:tcBorders>
            <w:gridSpan w:val="2"/>
          </w:tcPr>
          <w:p>
            <w:pPr>
              <w:spacing w:after="0" w:line="143" w:lineRule="exact"/>
              <w:rPr>
                <w:rFonts w:ascii="Arial" w:cs="Arial" w:eastAsia="Arial" w:hAnsi="Arial"/>
                <w:sz w:val="14"/>
                <w:szCs w:val="14"/>
                <w:color w:val="0000EE"/>
                <w:w w:val="84"/>
              </w:rPr>
            </w:pPr>
            <w:hyperlink w:anchor="page166">
              <w:r>
                <w:rPr>
                  <w:rFonts w:ascii="Arial" w:cs="Arial" w:eastAsia="Arial" w:hAnsi="Arial"/>
                  <w:sz w:val="14"/>
                  <w:szCs w:val="14"/>
                  <w:color w:val="0000EE"/>
                  <w:w w:val="84"/>
                </w:rPr>
                <w:t>September 30, 2020.</w:t>
              </w:r>
            </w:hyperlink>
          </w:p>
        </w:tc>
        <w:tc>
          <w:tcPr>
            <w:tcW w:w="6380" w:type="dxa"/>
            <w:vAlign w:val="bottom"/>
            <w:gridSpan w:val="15"/>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77470</wp:posOffset>
            </wp:positionV>
            <wp:extent cx="579755"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1">
                      <a:extLst>
                        <a:ext uri="{28A0092B-C50C-407E-A947-70E740481C1C}"/>
                      </a:extLst>
                    </a:blip>
                    <a:srcRect/>
                    <a:stretch>
                      <a:fillRect/>
                    </a:stretch>
                  </pic:blipFill>
                  <pic:spPr bwMode="auto">
                    <a:xfrm>
                      <a:off x="0" y="0"/>
                      <a:ext cx="579755" cy="6350"/>
                    </a:xfrm>
                    <a:prstGeom prst="rect">
                      <a:avLst/>
                    </a:prstGeom>
                    <a:noFill/>
                  </pic:spPr>
                </pic:pic>
              </a:graphicData>
            </a:graphic>
          </wp:anchor>
        </w:drawing>
      </w:r>
    </w:p>
    <w:p>
      <w:pPr>
        <w:spacing w:after="0" w:line="132" w:lineRule="exact"/>
        <w:rPr>
          <w:sz w:val="20"/>
          <w:szCs w:val="20"/>
          <w:color w:val="auto"/>
        </w:rPr>
      </w:pPr>
    </w:p>
    <w:p>
      <w:pPr>
        <w:ind w:left="360" w:right="4559" w:firstLine="3"/>
        <w:spacing w:after="0" w:line="249" w:lineRule="auto"/>
        <w:tabs>
          <w:tab w:leader="none" w:pos="6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 + Previously filed.</w:t>
      </w:r>
    </w:p>
    <w:p>
      <w:pPr>
        <w:ind w:left="36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Portions of this exhibit have been omitted in accordance with Item 601 of Regulation S-K.</w:t>
      </w:r>
    </w:p>
    <w:p>
      <w:pPr>
        <w:spacing w:after="0" w:line="1" w:lineRule="exact"/>
        <w:rPr>
          <w:sz w:val="20"/>
          <w:szCs w:val="20"/>
          <w:color w:val="auto"/>
        </w:rPr>
      </w:pPr>
    </w:p>
    <w:p>
      <w:pPr>
        <w:ind w:left="680" w:hanging="317"/>
        <w:spacing w:after="0"/>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 to an exhibit to the Company’s Current Report on Form 8-K filed with the SEC on June 30, 2020.</w:t>
      </w:r>
    </w:p>
    <w:p>
      <w:pPr>
        <w:spacing w:after="0" w:line="1" w:lineRule="exact"/>
        <w:rPr>
          <w:rFonts w:ascii="Arial" w:cs="Arial" w:eastAsia="Arial" w:hAnsi="Arial"/>
          <w:sz w:val="14"/>
          <w:szCs w:val="14"/>
          <w:color w:val="auto"/>
        </w:rPr>
      </w:pPr>
    </w:p>
    <w:p>
      <w:pPr>
        <w:ind w:left="680" w:hanging="317"/>
        <w:spacing w:after="0"/>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 to an exhibit to the Company’s Current Report on Form 8-K filed with the SEC on September 3, 2020.</w:t>
      </w:r>
    </w:p>
    <w:p>
      <w:pPr>
        <w:spacing w:after="0" w:line="1" w:lineRule="exact"/>
        <w:rPr>
          <w:rFonts w:ascii="Arial" w:cs="Arial" w:eastAsia="Arial" w:hAnsi="Arial"/>
          <w:sz w:val="14"/>
          <w:szCs w:val="14"/>
          <w:color w:val="auto"/>
        </w:rPr>
      </w:pPr>
    </w:p>
    <w:p>
      <w:pPr>
        <w:ind w:left="680" w:right="479" w:hanging="317"/>
        <w:spacing w:after="0" w:line="244" w:lineRule="auto"/>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 to an exhibit to the Company’s proxy statement/prospectus/information statement filed with the SEC on November 12, 2020.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9019"/>
          </w:cols>
          <w:pgMar w:left="1440" w:top="240"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SIGNATURE</w:t>
      </w:r>
    </w:p>
    <w:p>
      <w:pPr>
        <w:spacing w:after="0" w:line="166" w:lineRule="exact"/>
        <w:rPr>
          <w:sz w:val="20"/>
          <w:szCs w:val="20"/>
          <w:color w:val="auto"/>
        </w:rPr>
      </w:pPr>
    </w:p>
    <w:p>
      <w:pPr>
        <w:ind w:left="360" w:right="379" w:firstLine="745"/>
        <w:spacing w:after="0" w:line="259"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Dated: December 2, 2020</w:t>
      </w:r>
    </w:p>
    <w:p>
      <w:pPr>
        <w:spacing w:after="0" w:line="184"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QUANTUMSCAPE CORPORATION</w:t>
      </w:r>
    </w:p>
    <w:p>
      <w:pPr>
        <w:spacing w:after="0" w:line="164"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By: /s/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7620</wp:posOffset>
            </wp:positionV>
            <wp:extent cx="1933575"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3">
                      <a:extLst>
                        <a:ext uri="{28A0092B-C50C-407E-A947-70E740481C1C}"/>
                      </a:extLst>
                    </a:blip>
                    <a:srcRect/>
                    <a:stretch>
                      <a:fillRect/>
                    </a:stretch>
                  </pic:blipFill>
                  <pic:spPr bwMode="auto">
                    <a:xfrm>
                      <a:off x="0" y="0"/>
                      <a:ext cx="1933575" cy="6350"/>
                    </a:xfrm>
                    <a:prstGeom prst="rect">
                      <a:avLst/>
                    </a:prstGeom>
                    <a:noFill/>
                  </pic:spPr>
                </pic:pic>
              </a:graphicData>
            </a:graphic>
          </wp:anchor>
        </w:drawing>
      </w:r>
    </w:p>
    <w:p>
      <w:pPr>
        <w:spacing w:after="0" w:line="2"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Name: Michael McCarthy</w:t>
      </w:r>
    </w:p>
    <w:p>
      <w:pPr>
        <w:spacing w:after="0" w:line="12" w:lineRule="exact"/>
        <w:rPr>
          <w:sz w:val="20"/>
          <w:szCs w:val="20"/>
          <w:color w:val="auto"/>
        </w:rPr>
      </w:pPr>
    </w:p>
    <w:p>
      <w:pPr>
        <w:ind w:left="5600"/>
        <w:spacing w:after="0"/>
        <w:tabs>
          <w:tab w:leader="none" w:pos="6020" w:val="left"/>
        </w:tabs>
        <w:rPr>
          <w:sz w:val="20"/>
          <w:szCs w:val="20"/>
          <w:color w:val="auto"/>
        </w:rPr>
      </w:pPr>
      <w:r>
        <w:rPr>
          <w:rFonts w:ascii="Arial" w:cs="Arial" w:eastAsia="Arial" w:hAnsi="Arial"/>
          <w:sz w:val="14"/>
          <w:szCs w:val="14"/>
          <w:color w:val="auto"/>
        </w:rPr>
        <w:t>Title:</w:t>
        <w:tab/>
        <w:t>Chief Legal Officer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9019"/>
          </w:cols>
          <w:pgMar w:left="1440" w:top="238" w:right="1440" w:bottom="1440" w:gutter="0" w:footer="0" w:header="0"/>
        </w:sectPr>
      </w:pPr>
    </w:p>
    <w:bookmarkStart w:id="23" w:name="page24"/>
    <w:bookmarkEnd w:id="23"/>
    <w:p>
      <w:pPr>
        <w:jc w:val="right"/>
        <w:ind w:right="379"/>
        <w:spacing w:after="0"/>
        <w:rPr>
          <w:sz w:val="20"/>
          <w:szCs w:val="20"/>
          <w:color w:val="auto"/>
        </w:rPr>
      </w:pPr>
      <w:r>
        <w:rPr>
          <w:rFonts w:ascii="Arial" w:cs="Arial" w:eastAsia="Arial" w:hAnsi="Arial"/>
          <w:sz w:val="14"/>
          <w:szCs w:val="14"/>
          <w:b w:val="1"/>
          <w:bCs w:val="1"/>
          <w:color w:val="auto"/>
        </w:rPr>
        <w:t>Exhibit 3.1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KENSINGTON CAPITAL ACQUISITION CORP.</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Kensington Capital Acquisition Corp., a Delaware corporation, hereby certifies that:</w:t>
      </w:r>
    </w:p>
    <w:p>
      <w:pPr>
        <w:spacing w:after="0" w:line="83" w:lineRule="exact"/>
        <w:rPr>
          <w:sz w:val="20"/>
          <w:szCs w:val="20"/>
          <w:color w:val="auto"/>
        </w:rPr>
      </w:pPr>
    </w:p>
    <w:p>
      <w:pPr>
        <w:ind w:left="360" w:right="459" w:firstLine="3"/>
        <w:spacing w:after="0" w:line="259" w:lineRule="auto"/>
        <w:tabs>
          <w:tab w:leader="none" w:pos="49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Corporation was incorporated under the name Kensington Capital Acquisition Corp. The original Certificate of Incorporation of the Corporation was filed with the Secretary of State of the State of Delaware on April 17, 2020.</w:t>
      </w:r>
    </w:p>
    <w:p>
      <w:pPr>
        <w:spacing w:after="0" w:line="139" w:lineRule="exact"/>
        <w:rPr>
          <w:rFonts w:ascii="Arial" w:cs="Arial" w:eastAsia="Arial" w:hAnsi="Arial"/>
          <w:sz w:val="14"/>
          <w:szCs w:val="14"/>
          <w:color w:val="auto"/>
        </w:rPr>
      </w:pPr>
    </w:p>
    <w:p>
      <w:pPr>
        <w:ind w:left="360" w:right="439" w:firstLine="3"/>
        <w:spacing w:after="0" w:line="247" w:lineRule="auto"/>
        <w:tabs>
          <w:tab w:leader="none" w:pos="49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Amended and Restated Certificate of Incorporation of the Corporation attached hereto as Exhibit A, which is incorporated herein by this reference, and which restates, integrates and further amends the provisions of the Certificate of Incorporation of this Corporation as heretofore amended and restated, has been duly adopted by the Corporation’s Board of Directors and by the stockholders in accordance with Sections 242 and 245 of the General Corporation Law of the State of Delaware.</w:t>
      </w:r>
    </w:p>
    <w:p>
      <w:pPr>
        <w:spacing w:after="0" w:line="149" w:lineRule="exact"/>
        <w:rPr>
          <w:rFonts w:ascii="Arial" w:cs="Arial" w:eastAsia="Arial" w:hAnsi="Arial"/>
          <w:sz w:val="14"/>
          <w:szCs w:val="14"/>
          <w:color w:val="auto"/>
        </w:rPr>
      </w:pPr>
    </w:p>
    <w:p>
      <w:pPr>
        <w:ind w:left="500" w:hanging="137"/>
        <w:spacing w:after="0"/>
        <w:tabs>
          <w:tab w:leader="none" w:pos="5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This Amended and Restated Certificate of Incorporation of the Corporation shall be effective as of 1:02 pm Eastern Time on November 25, 2020.</w:t>
      </w:r>
    </w:p>
    <w:p>
      <w:pPr>
        <w:spacing w:after="0" w:line="187" w:lineRule="exact"/>
        <w:rPr>
          <w:sz w:val="20"/>
          <w:szCs w:val="20"/>
          <w:color w:val="auto"/>
        </w:rPr>
      </w:pPr>
    </w:p>
    <w:p>
      <w:pPr>
        <w:ind w:left="360" w:right="739"/>
        <w:spacing w:after="0" w:line="259" w:lineRule="auto"/>
        <w:rPr>
          <w:sz w:val="20"/>
          <w:szCs w:val="20"/>
          <w:color w:val="auto"/>
        </w:rPr>
      </w:pPr>
      <w:r>
        <w:rPr>
          <w:rFonts w:ascii="Arial" w:cs="Arial" w:eastAsia="Arial" w:hAnsi="Arial"/>
          <w:sz w:val="14"/>
          <w:szCs w:val="14"/>
          <w:color w:val="auto"/>
        </w:rPr>
        <w:t>IN WITNESS WHEREOF, the Corporation has caused this Amended and Restated Certificate of Incorporation to be signed by its duly authorized officer on November 25, 2020 and the foregoing facts stated herein are true and correct.</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KENSINGTON CAPITAL ACQUISITION CORP.</w:t>
      </w:r>
    </w:p>
    <w:p>
      <w:pPr>
        <w:spacing w:after="0" w:line="166"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By: /s/ Daniel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7620</wp:posOffset>
            </wp:positionV>
            <wp:extent cx="192722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4">
                      <a:extLst>
                        <a:ext uri="{28A0092B-C50C-407E-A947-70E740481C1C}"/>
                      </a:extLst>
                    </a:blip>
                    <a:srcRect/>
                    <a:stretch>
                      <a:fillRect/>
                    </a:stretch>
                  </pic:blipFill>
                  <pic:spPr bwMode="auto">
                    <a:xfrm>
                      <a:off x="0" y="0"/>
                      <a:ext cx="1927225" cy="635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Daniel Huber, Chief</w:t>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Financial Officer</w:t>
      </w:r>
    </w:p>
    <w:p>
      <w:pPr>
        <w:sectPr>
          <w:pgSz w:w="11900" w:h="16838" w:orient="portrait"/>
          <w:cols w:equalWidth="0" w:num="1">
            <w:col w:w="9019"/>
          </w:cols>
          <w:pgMar w:left="1440" w:top="127"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AMENDED AND RESTATED CERTIFICATE OF INCORPORATION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ARTICLE I</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name of the corporation is QuantumScape Corporation (the “</w:t>
      </w:r>
      <w:r>
        <w:rPr>
          <w:rFonts w:ascii="Arial" w:cs="Arial" w:eastAsia="Arial" w:hAnsi="Arial"/>
          <w:sz w:val="14"/>
          <w:szCs w:val="14"/>
          <w:b w:val="1"/>
          <w:bCs w:val="1"/>
          <w:i w:val="1"/>
          <w:iCs w:val="1"/>
          <w:color w:val="auto"/>
        </w:rPr>
        <w:t>Corporation</w:t>
      </w:r>
      <w:r>
        <w:rPr>
          <w:rFonts w:ascii="Arial" w:cs="Arial" w:eastAsia="Arial" w:hAnsi="Arial"/>
          <w:sz w:val="14"/>
          <w:szCs w:val="14"/>
          <w:color w:val="auto"/>
        </w:rPr>
        <w: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66" w:lineRule="exact"/>
        <w:rPr>
          <w:sz w:val="20"/>
          <w:szCs w:val="20"/>
          <w:color w:val="auto"/>
        </w:rPr>
      </w:pPr>
    </w:p>
    <w:p>
      <w:pPr>
        <w:ind w:left="360" w:right="579"/>
        <w:spacing w:after="0" w:line="342" w:lineRule="auto"/>
        <w:rPr>
          <w:sz w:val="20"/>
          <w:szCs w:val="20"/>
          <w:color w:val="auto"/>
        </w:rPr>
      </w:pPr>
      <w:r>
        <w:rPr>
          <w:rFonts w:ascii="Arial" w:cs="Arial" w:eastAsia="Arial" w:hAnsi="Arial"/>
          <w:sz w:val="12"/>
          <w:szCs w:val="12"/>
          <w:color w:val="auto"/>
        </w:rPr>
        <w:t>The address of the registered office of the Corporation in the State of Delaware is Corporation Trust Center, 1209 Orange Street, City of Wilmington, County of New Castle, DE 19801. The name of its registered agent at such address is The Corporation Trust Company.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w:t>
      </w:r>
    </w:p>
    <w:p>
      <w:pPr>
        <w:spacing w:after="0" w:line="166" w:lineRule="exact"/>
        <w:rPr>
          <w:sz w:val="20"/>
          <w:szCs w:val="20"/>
          <w:color w:val="auto"/>
        </w:rPr>
      </w:pPr>
    </w:p>
    <w:p>
      <w:pPr>
        <w:ind w:left="360" w:right="479"/>
        <w:spacing w:after="0" w:line="259" w:lineRule="auto"/>
        <w:rPr>
          <w:sz w:val="20"/>
          <w:szCs w:val="20"/>
          <w:color w:val="auto"/>
        </w:rPr>
      </w:pPr>
      <w:r>
        <w:rPr>
          <w:rFonts w:ascii="Arial" w:cs="Arial" w:eastAsia="Arial" w:hAnsi="Arial"/>
          <w:sz w:val="14"/>
          <w:szCs w:val="14"/>
          <w:color w:val="auto"/>
        </w:rPr>
        <w:t>The purpose of the Corporation is to engage in any lawful act or activity for which a corporation may be organized under the General Corporation Law of the State of Delaware (the “</w:t>
      </w:r>
      <w:r>
        <w:rPr>
          <w:rFonts w:ascii="Arial" w:cs="Arial" w:eastAsia="Arial" w:hAnsi="Arial"/>
          <w:sz w:val="14"/>
          <w:szCs w:val="14"/>
          <w:b w:val="1"/>
          <w:bCs w:val="1"/>
          <w:i w:val="1"/>
          <w:iCs w:val="1"/>
          <w:color w:val="auto"/>
        </w:rPr>
        <w:t>Delaware General Corporation Law</w:t>
      </w:r>
      <w:r>
        <w:rPr>
          <w:rFonts w:ascii="Arial" w:cs="Arial" w:eastAsia="Arial" w:hAnsi="Arial"/>
          <w:sz w:val="14"/>
          <w:szCs w:val="14"/>
          <w:color w:val="auto"/>
        </w:rPr>
        <w: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166" w:lineRule="exact"/>
        <w:rPr>
          <w:sz w:val="20"/>
          <w:szCs w:val="20"/>
          <w:color w:val="auto"/>
        </w:rPr>
      </w:pPr>
    </w:p>
    <w:p>
      <w:pPr>
        <w:ind w:left="360" w:right="479"/>
        <w:spacing w:after="0" w:line="247" w:lineRule="auto"/>
        <w:rPr>
          <w:sz w:val="20"/>
          <w:szCs w:val="20"/>
          <w:color w:val="auto"/>
        </w:rPr>
      </w:pPr>
      <w:r>
        <w:rPr>
          <w:rFonts w:ascii="Arial" w:cs="Arial" w:eastAsia="Arial" w:hAnsi="Arial"/>
          <w:sz w:val="14"/>
          <w:szCs w:val="14"/>
          <w:color w:val="auto"/>
        </w:rPr>
        <w:t>The Corporation is authorized to issue 1,250,000,000 shares of common stock, of which there are (i) 1,000,000,000 shares of Class A Common Stock, par value $0.0001 per share (the “</w:t>
      </w:r>
      <w:r>
        <w:rPr>
          <w:rFonts w:ascii="Arial" w:cs="Arial" w:eastAsia="Arial" w:hAnsi="Arial"/>
          <w:sz w:val="14"/>
          <w:szCs w:val="14"/>
          <w:b w:val="1"/>
          <w:bCs w:val="1"/>
          <w:i w:val="1"/>
          <w:iCs w:val="1"/>
          <w:color w:val="auto"/>
        </w:rPr>
        <w:t>Class A Common Stock</w:t>
      </w:r>
      <w:r>
        <w:rPr>
          <w:rFonts w:ascii="Arial" w:cs="Arial" w:eastAsia="Arial" w:hAnsi="Arial"/>
          <w:sz w:val="14"/>
          <w:szCs w:val="14"/>
          <w:color w:val="auto"/>
        </w:rPr>
        <w:t>”) and (ii) 250,000,000 shares of Class B Common Stock, par value $0.0001 per share (the “</w:t>
      </w:r>
      <w:r>
        <w:rPr>
          <w:rFonts w:ascii="Arial" w:cs="Arial" w:eastAsia="Arial" w:hAnsi="Arial"/>
          <w:sz w:val="14"/>
          <w:szCs w:val="14"/>
          <w:b w:val="1"/>
          <w:bCs w:val="1"/>
          <w:i w:val="1"/>
          <w:iCs w:val="1"/>
          <w:color w:val="auto"/>
        </w:rPr>
        <w:t>Class B Common Stock</w:t>
      </w:r>
      <w:r>
        <w:rPr>
          <w:rFonts w:ascii="Arial" w:cs="Arial" w:eastAsia="Arial" w:hAnsi="Arial"/>
          <w:sz w:val="14"/>
          <w:szCs w:val="14"/>
          <w:color w:val="auto"/>
        </w:rPr>
        <w:t>” and together with the Class A Common Stock, the “</w:t>
      </w:r>
      <w:r>
        <w:rPr>
          <w:rFonts w:ascii="Arial" w:cs="Arial" w:eastAsia="Arial" w:hAnsi="Arial"/>
          <w:sz w:val="14"/>
          <w:szCs w:val="14"/>
          <w:b w:val="1"/>
          <w:bCs w:val="1"/>
          <w:i w:val="1"/>
          <w:iCs w:val="1"/>
          <w:color w:val="auto"/>
        </w:rPr>
        <w:t>Common Stock</w:t>
      </w:r>
      <w:r>
        <w:rPr>
          <w:rFonts w:ascii="Arial" w:cs="Arial" w:eastAsia="Arial" w:hAnsi="Arial"/>
          <w:sz w:val="14"/>
          <w:szCs w:val="14"/>
          <w:color w:val="auto"/>
        </w:rPr>
        <w:t>”); and 100,000,000 shares of Preferred Stock, par value $0.0001 per share (the “</w:t>
      </w:r>
      <w:r>
        <w:rPr>
          <w:rFonts w:ascii="Arial" w:cs="Arial" w:eastAsia="Arial" w:hAnsi="Arial"/>
          <w:sz w:val="14"/>
          <w:szCs w:val="14"/>
          <w:b w:val="1"/>
          <w:bCs w:val="1"/>
          <w:i w:val="1"/>
          <w:iCs w:val="1"/>
          <w:color w:val="auto"/>
        </w:rPr>
        <w:t>Preferred Stock</w:t>
      </w:r>
      <w:r>
        <w:rPr>
          <w:rFonts w:ascii="Arial" w:cs="Arial" w:eastAsia="Arial" w:hAnsi="Arial"/>
          <w:sz w:val="14"/>
          <w:szCs w:val="14"/>
          <w:color w:val="auto"/>
        </w:rPr>
        <w: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rights, powers, preferences, privileges, restrictions and other matters relating to the Common Stock are as follows: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u w:val="single" w:color="auto"/>
          <w:color w:val="auto"/>
        </w:rPr>
        <w:t>Definitions</w:t>
      </w:r>
      <w:r>
        <w:rPr>
          <w:rFonts w:ascii="Arial" w:cs="Arial" w:eastAsia="Arial" w:hAnsi="Arial"/>
          <w:sz w:val="14"/>
          <w:szCs w:val="14"/>
          <w:color w:val="auto"/>
        </w:rPr>
        <w:t>. For purposes of this Amended and Restated Certificate, the following definitions apply:</w:t>
      </w:r>
    </w:p>
    <w:p>
      <w:pPr>
        <w:spacing w:after="0" w:line="83" w:lineRule="exact"/>
        <w:rPr>
          <w:sz w:val="20"/>
          <w:szCs w:val="20"/>
          <w:color w:val="auto"/>
        </w:rPr>
      </w:pPr>
    </w:p>
    <w:p>
      <w:pPr>
        <w:ind w:left="360" w:right="399"/>
        <w:spacing w:after="0" w:line="291" w:lineRule="auto"/>
        <w:rPr>
          <w:sz w:val="20"/>
          <w:szCs w:val="20"/>
          <w:color w:val="auto"/>
        </w:rPr>
      </w:pPr>
      <w:r>
        <w:rPr>
          <w:rFonts w:ascii="Arial" w:cs="Arial" w:eastAsia="Arial" w:hAnsi="Arial"/>
          <w:sz w:val="12"/>
          <w:szCs w:val="12"/>
          <w:color w:val="auto"/>
        </w:rPr>
        <w:t>1.1 “</w:t>
      </w:r>
      <w:r>
        <w:rPr>
          <w:rFonts w:ascii="Arial" w:cs="Arial" w:eastAsia="Arial" w:hAnsi="Arial"/>
          <w:sz w:val="12"/>
          <w:szCs w:val="12"/>
          <w:b w:val="1"/>
          <w:bCs w:val="1"/>
          <w:i w:val="1"/>
          <w:iCs w:val="1"/>
          <w:color w:val="auto"/>
        </w:rPr>
        <w:t>Acquisition</w:t>
      </w:r>
      <w:r>
        <w:rPr>
          <w:rFonts w:ascii="Arial" w:cs="Arial" w:eastAsia="Arial" w:hAnsi="Arial"/>
          <w:sz w:val="12"/>
          <w:szCs w:val="12"/>
          <w:color w:val="auto"/>
        </w:rPr>
        <w:t xml:space="preserve">” means (i) any consolidation or merger of the Corporation with or into any other corporation or other entity or person, or any other corporate reorganization,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or (ii) any transaction or series of related transactions to which the Corporation is a party in which issued and outstanding shares of the Corporation are transferred or shares of the Corporation are issued, such that in excess of fifty percent (50%) of the Corporation’s voting power is transferred;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 Acquisition shall not include any transaction or series of transactions principally for bona fide equity financing purposes in which cash is received by the Corporation or any successor or indebtedness of the Corporation is cancelled or converted or a combination thereof.</w:t>
      </w:r>
    </w:p>
    <w:p>
      <w:pPr>
        <w:spacing w:after="0" w:line="123" w:lineRule="exact"/>
        <w:rPr>
          <w:sz w:val="20"/>
          <w:szCs w:val="20"/>
          <w:color w:val="auto"/>
        </w:rPr>
      </w:pPr>
    </w:p>
    <w:p>
      <w:pPr>
        <w:ind w:left="360" w:right="619"/>
        <w:spacing w:after="0" w:line="259" w:lineRule="auto"/>
        <w:rPr>
          <w:sz w:val="20"/>
          <w:szCs w:val="20"/>
          <w:color w:val="auto"/>
        </w:rPr>
      </w:pPr>
      <w:r>
        <w:rPr>
          <w:rFonts w:ascii="Arial" w:cs="Arial" w:eastAsia="Arial" w:hAnsi="Arial"/>
          <w:sz w:val="14"/>
          <w:szCs w:val="14"/>
          <w:color w:val="auto"/>
        </w:rPr>
        <w:t>1.2 “</w:t>
      </w:r>
      <w:r>
        <w:rPr>
          <w:rFonts w:ascii="Arial" w:cs="Arial" w:eastAsia="Arial" w:hAnsi="Arial"/>
          <w:sz w:val="14"/>
          <w:szCs w:val="14"/>
          <w:b w:val="1"/>
          <w:bCs w:val="1"/>
          <w:i w:val="1"/>
          <w:iCs w:val="1"/>
          <w:color w:val="auto"/>
        </w:rPr>
        <w:t>Amended and Restated Certificate</w:t>
      </w:r>
      <w:r>
        <w:rPr>
          <w:rFonts w:ascii="Arial" w:cs="Arial" w:eastAsia="Arial" w:hAnsi="Arial"/>
          <w:sz w:val="14"/>
          <w:szCs w:val="14"/>
          <w:color w:val="auto"/>
        </w:rPr>
        <w:t>” means this Amended and Restated Certificate of Incorporation of the Corporation (including any Preferred Stock Designation, as defined below), as may be further amended and restated from time to time.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38" w:right="1440" w:bottom="1440" w:gutter="0" w:footer="0" w:header="0"/>
        </w:sectPr>
      </w:pPr>
    </w:p>
    <w:bookmarkStart w:id="25" w:name="page26"/>
    <w:bookmarkEnd w:id="25"/>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1.3 “</w:t>
      </w:r>
      <w:r>
        <w:rPr>
          <w:rFonts w:ascii="Arial" w:cs="Arial" w:eastAsia="Arial" w:hAnsi="Arial"/>
          <w:sz w:val="12"/>
          <w:szCs w:val="12"/>
          <w:b w:val="1"/>
          <w:bCs w:val="1"/>
          <w:i w:val="1"/>
          <w:iCs w:val="1"/>
          <w:color w:val="auto"/>
        </w:rPr>
        <w:t>Asset Transfer</w:t>
      </w:r>
      <w:r>
        <w:rPr>
          <w:rFonts w:ascii="Arial" w:cs="Arial" w:eastAsia="Arial" w:hAnsi="Arial"/>
          <w:sz w:val="12"/>
          <w:szCs w:val="12"/>
          <w:color w:val="auto"/>
        </w:rPr>
        <w:t>” means a sale, lease, exclusive license or other disposition of all or substantially all of the assets of the Corporation.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1.4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means the Board of Directors of the Corporation.</w:t>
      </w:r>
    </w:p>
    <w:p>
      <w:pPr>
        <w:spacing w:after="0" w:line="164" w:lineRule="exact"/>
        <w:rPr>
          <w:sz w:val="20"/>
          <w:szCs w:val="20"/>
          <w:color w:val="auto"/>
        </w:rPr>
      </w:pPr>
    </w:p>
    <w:p>
      <w:pPr>
        <w:ind w:left="360" w:right="579"/>
        <w:spacing w:after="0" w:line="312" w:lineRule="auto"/>
        <w:rPr>
          <w:sz w:val="20"/>
          <w:szCs w:val="20"/>
          <w:color w:val="auto"/>
        </w:rPr>
      </w:pPr>
      <w:r>
        <w:rPr>
          <w:rFonts w:ascii="Arial" w:cs="Arial" w:eastAsia="Arial" w:hAnsi="Arial"/>
          <w:sz w:val="12"/>
          <w:szCs w:val="12"/>
          <w:color w:val="auto"/>
        </w:rPr>
        <w:t>1.5 “</w:t>
      </w:r>
      <w:r>
        <w:rPr>
          <w:rFonts w:ascii="Arial" w:cs="Arial" w:eastAsia="Arial" w:hAnsi="Arial"/>
          <w:sz w:val="12"/>
          <w:szCs w:val="12"/>
          <w:b w:val="1"/>
          <w:bCs w:val="1"/>
          <w:i w:val="1"/>
          <w:iCs w:val="1"/>
          <w:color w:val="auto"/>
        </w:rPr>
        <w:t>Class B Stockholder</w:t>
      </w:r>
      <w:r>
        <w:rPr>
          <w:rFonts w:ascii="Arial" w:cs="Arial" w:eastAsia="Arial" w:hAnsi="Arial"/>
          <w:sz w:val="12"/>
          <w:szCs w:val="12"/>
          <w:color w:val="auto"/>
        </w:rPr>
        <w:t>” shall mean those persons who have the right to receive shares of Class B Common Stock pursuant to that certain Business Combination Agreement dated as of September 2, 2020 among Kensington Capital Acquisition Corp., a Delaware corporation, Kensington Capital Merger Sub Corp., a Delaware corporation and QuantumScape Corporation, a Delaware corporation (the “</w:t>
      </w:r>
      <w:r>
        <w:rPr>
          <w:rFonts w:ascii="Arial" w:cs="Arial" w:eastAsia="Arial" w:hAnsi="Arial"/>
          <w:sz w:val="12"/>
          <w:szCs w:val="12"/>
          <w:b w:val="1"/>
          <w:bCs w:val="1"/>
          <w:i w:val="1"/>
          <w:iCs w:val="1"/>
          <w:color w:val="auto"/>
        </w:rPr>
        <w:t>BCA</w:t>
      </w:r>
      <w:r>
        <w:rPr>
          <w:rFonts w:ascii="Arial" w:cs="Arial" w:eastAsia="Arial" w:hAnsi="Arial"/>
          <w:sz w:val="12"/>
          <w:szCs w:val="12"/>
          <w:color w:val="auto"/>
        </w:rPr>
        <w:t>”).</w:t>
      </w:r>
    </w:p>
    <w:p>
      <w:pPr>
        <w:spacing w:after="0" w:line="111" w:lineRule="exact"/>
        <w:rPr>
          <w:sz w:val="20"/>
          <w:szCs w:val="20"/>
          <w:color w:val="auto"/>
        </w:rPr>
      </w:pPr>
    </w:p>
    <w:p>
      <w:pPr>
        <w:ind w:left="360" w:right="499"/>
        <w:spacing w:after="0" w:line="297" w:lineRule="auto"/>
        <w:rPr>
          <w:sz w:val="20"/>
          <w:szCs w:val="20"/>
          <w:color w:val="auto"/>
        </w:rPr>
      </w:pPr>
      <w:r>
        <w:rPr>
          <w:rFonts w:ascii="Arial" w:cs="Arial" w:eastAsia="Arial" w:hAnsi="Arial"/>
          <w:sz w:val="12"/>
          <w:szCs w:val="12"/>
          <w:color w:val="auto"/>
        </w:rPr>
        <w:t>1.6 “</w:t>
      </w:r>
      <w:r>
        <w:rPr>
          <w:rFonts w:ascii="Arial" w:cs="Arial" w:eastAsia="Arial" w:hAnsi="Arial"/>
          <w:sz w:val="12"/>
          <w:szCs w:val="12"/>
          <w:b w:val="1"/>
          <w:bCs w:val="1"/>
          <w:i w:val="1"/>
          <w:iCs w:val="1"/>
          <w:color w:val="auto"/>
        </w:rPr>
        <w:t>Disability</w:t>
      </w:r>
      <w:r>
        <w:rPr>
          <w:rFonts w:ascii="Arial" w:cs="Arial" w:eastAsia="Arial" w:hAnsi="Arial"/>
          <w:sz w:val="12"/>
          <w:szCs w:val="12"/>
          <w:color w:val="auto"/>
        </w:rPr>
        <w:t>” or “</w:t>
      </w:r>
      <w:r>
        <w:rPr>
          <w:rFonts w:ascii="Arial" w:cs="Arial" w:eastAsia="Arial" w:hAnsi="Arial"/>
          <w:sz w:val="12"/>
          <w:szCs w:val="12"/>
          <w:b w:val="1"/>
          <w:bCs w:val="1"/>
          <w:i w:val="1"/>
          <w:iCs w:val="1"/>
          <w:color w:val="auto"/>
        </w:rPr>
        <w:t>Disabled</w:t>
      </w:r>
      <w:r>
        <w:rPr>
          <w:rFonts w:ascii="Arial" w:cs="Arial" w:eastAsia="Arial" w:hAnsi="Arial"/>
          <w:sz w:val="12"/>
          <w:szCs w:val="12"/>
          <w:color w:val="auto"/>
        </w:rPr>
        <w:t>” means the permanent and total disability such that an Excluded Party is unable to engage in any substantial gainful activity by reason of any medically determinable mental impairment which can be expected to result in death or which has lasted or can be expected to last for a continuous period of not less than 12 months as determined by a licensed medical practitioner. In the event of a dispute whether an Excluded Party has suffered a Disability, no Disability of the Excluded Party shall be deemed to have occurred unless and until an affirmative ruling regarding such Disability has been made by a court of competent jurisdiction, and such ruling has become final and non-appealable.</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1.7 “</w:t>
      </w:r>
      <w:r>
        <w:rPr>
          <w:rFonts w:ascii="Arial" w:cs="Arial" w:eastAsia="Arial" w:hAnsi="Arial"/>
          <w:sz w:val="14"/>
          <w:szCs w:val="14"/>
          <w:b w:val="1"/>
          <w:bCs w:val="1"/>
          <w:i w:val="1"/>
          <w:iCs w:val="1"/>
          <w:color w:val="auto"/>
        </w:rPr>
        <w:t>Excluded Party</w:t>
      </w:r>
      <w:r>
        <w:rPr>
          <w:rFonts w:ascii="Arial" w:cs="Arial" w:eastAsia="Arial" w:hAnsi="Arial"/>
          <w:sz w:val="14"/>
          <w:szCs w:val="14"/>
          <w:color w:val="auto"/>
        </w:rPr>
        <w:t>” means any of Timothy Holme, Fritz Prinz and Jagdeep Singh.</w:t>
      </w:r>
    </w:p>
    <w:p>
      <w:pPr>
        <w:spacing w:after="0" w:line="164" w:lineRule="exact"/>
        <w:rPr>
          <w:sz w:val="20"/>
          <w:szCs w:val="20"/>
          <w:color w:val="auto"/>
        </w:rPr>
      </w:pPr>
    </w:p>
    <w:p>
      <w:pPr>
        <w:ind w:left="360" w:right="439"/>
        <w:spacing w:after="0" w:line="250" w:lineRule="auto"/>
        <w:rPr>
          <w:sz w:val="20"/>
          <w:szCs w:val="20"/>
          <w:color w:val="auto"/>
        </w:rPr>
      </w:pPr>
      <w:r>
        <w:rPr>
          <w:rFonts w:ascii="Arial" w:cs="Arial" w:eastAsia="Arial" w:hAnsi="Arial"/>
          <w:sz w:val="14"/>
          <w:szCs w:val="14"/>
          <w:color w:val="auto"/>
        </w:rPr>
        <w:t>1.8 “</w:t>
      </w:r>
      <w:r>
        <w:rPr>
          <w:rFonts w:ascii="Arial" w:cs="Arial" w:eastAsia="Arial" w:hAnsi="Arial"/>
          <w:sz w:val="14"/>
          <w:szCs w:val="14"/>
          <w:b w:val="1"/>
          <w:bCs w:val="1"/>
          <w:i w:val="1"/>
          <w:iCs w:val="1"/>
          <w:color w:val="auto"/>
        </w:rPr>
        <w:t>Excluded Party Trustee</w:t>
      </w:r>
      <w:r>
        <w:rPr>
          <w:rFonts w:ascii="Arial" w:cs="Arial" w:eastAsia="Arial" w:hAnsi="Arial"/>
          <w:sz w:val="14"/>
          <w:szCs w:val="14"/>
          <w:color w:val="auto"/>
        </w:rPr>
        <w:t>” means a person, designated by an Excluded Party and approved by the Board, in his or her capacity as a voting trustee pursuant to a written voting trust agreement entered into by such Excluded Party prior to his death or Disability, contingent and effective upon the death or Disability of such Excluded Party.</w:t>
      </w:r>
    </w:p>
    <w:p>
      <w:pPr>
        <w:spacing w:after="0" w:line="146" w:lineRule="exact"/>
        <w:rPr>
          <w:sz w:val="20"/>
          <w:szCs w:val="20"/>
          <w:color w:val="auto"/>
        </w:rPr>
      </w:pPr>
    </w:p>
    <w:p>
      <w:pPr>
        <w:ind w:left="360" w:right="399"/>
        <w:spacing w:after="0" w:line="247" w:lineRule="auto"/>
        <w:rPr>
          <w:sz w:val="20"/>
          <w:szCs w:val="20"/>
          <w:color w:val="auto"/>
        </w:rPr>
      </w:pPr>
      <w:r>
        <w:rPr>
          <w:rFonts w:ascii="Arial" w:cs="Arial" w:eastAsia="Arial" w:hAnsi="Arial"/>
          <w:sz w:val="14"/>
          <w:szCs w:val="14"/>
          <w:color w:val="auto"/>
        </w:rPr>
        <w:t>1.9 “</w:t>
      </w:r>
      <w:r>
        <w:rPr>
          <w:rFonts w:ascii="Arial" w:cs="Arial" w:eastAsia="Arial" w:hAnsi="Arial"/>
          <w:sz w:val="14"/>
          <w:szCs w:val="14"/>
          <w:b w:val="1"/>
          <w:bCs w:val="1"/>
          <w:i w:val="1"/>
          <w:iCs w:val="1"/>
          <w:color w:val="auto"/>
        </w:rPr>
        <w:t>Family Member</w:t>
      </w:r>
      <w:r>
        <w:rPr>
          <w:rFonts w:ascii="Arial" w:cs="Arial" w:eastAsia="Arial" w:hAnsi="Arial"/>
          <w:sz w:val="14"/>
          <w:szCs w:val="14"/>
          <w:color w:val="auto"/>
        </w:rPr>
        <w:t>” means, with respect to a natural person, whether related by blood or marriage, (i) such natural person’s spouse, ex-spouse or domestic partner; (ii) such natural person’s parents and grandparents; (iii) such natural person’s siblings; (iv) such natural person’s children and other lineal descendants; and (v) the lineal descendants of such natural person’s siblings. Lineal descendants shall include adopted persons, but only so long as they are adopted during minority, and step-children.</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1.10 “</w:t>
      </w:r>
      <w:r>
        <w:rPr>
          <w:rFonts w:ascii="Arial" w:cs="Arial" w:eastAsia="Arial" w:hAnsi="Arial"/>
          <w:sz w:val="14"/>
          <w:szCs w:val="14"/>
          <w:b w:val="1"/>
          <w:bCs w:val="1"/>
          <w:i w:val="1"/>
          <w:iCs w:val="1"/>
          <w:color w:val="auto"/>
        </w:rPr>
        <w:t>Final Conversion Date</w:t>
      </w:r>
      <w:r>
        <w:rPr>
          <w:rFonts w:ascii="Arial" w:cs="Arial" w:eastAsia="Arial" w:hAnsi="Arial"/>
          <w:sz w:val="14"/>
          <w:szCs w:val="14"/>
          <w:color w:val="auto"/>
        </w:rPr>
        <w:t>” means the earliest to occur of:</w:t>
      </w:r>
    </w:p>
    <w:p>
      <w:pPr>
        <w:spacing w:after="0" w:line="83" w:lineRule="exact"/>
        <w:rPr>
          <w:sz w:val="20"/>
          <w:szCs w:val="20"/>
          <w:color w:val="auto"/>
        </w:rPr>
      </w:pPr>
    </w:p>
    <w:p>
      <w:pPr>
        <w:jc w:val="both"/>
        <w:ind w:left="360" w:right="459" w:firstLine="3"/>
        <w:spacing w:after="0" w:line="302" w:lineRule="auto"/>
        <w:tabs>
          <w:tab w:leader="none" w:pos="544"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date fixed by the Board that is no less than 61 days and no more than 180 days following the first date to occur following the issuance of the Per Share Merger Consideration (as defined in the BCA) on which the total number of outstanding shares of Class B Common Stock held by the Excluded Parties and their Permitted Transferees represents less than 20% of the total number of outstanding shares of Class B Common Stock (each as equitably adjusted for any stock dividend, stock split, combination of shares, reorganization, recapitalization, reclassification or other similar event);</w:t>
      </w:r>
    </w:p>
    <w:p>
      <w:pPr>
        <w:spacing w:after="0" w:line="36" w:lineRule="exact"/>
        <w:rPr>
          <w:rFonts w:ascii="Arial" w:cs="Arial" w:eastAsia="Arial" w:hAnsi="Arial"/>
          <w:sz w:val="12"/>
          <w:szCs w:val="12"/>
          <w:color w:val="auto"/>
        </w:rPr>
      </w:pPr>
    </w:p>
    <w:p>
      <w:pPr>
        <w:ind w:left="360" w:right="639" w:firstLine="3"/>
        <w:spacing w:after="0" w:line="302" w:lineRule="auto"/>
        <w:tabs>
          <w:tab w:leader="none" w:pos="552" w:val="left"/>
        </w:tabs>
        <w:numPr>
          <w:ilvl w:val="0"/>
          <w:numId w:val="16"/>
        </w:numPr>
        <w:rPr>
          <w:rFonts w:ascii="Arial" w:cs="Arial" w:eastAsia="Arial" w:hAnsi="Arial"/>
          <w:sz w:val="12"/>
          <w:szCs w:val="12"/>
          <w:color w:val="auto"/>
        </w:rPr>
      </w:pPr>
      <w:r>
        <w:rPr>
          <w:rFonts w:ascii="Arial" w:cs="Arial" w:eastAsia="Arial" w:hAnsi="Arial"/>
          <w:sz w:val="12"/>
          <w:szCs w:val="12"/>
          <w:color w:val="auto"/>
        </w:rPr>
        <w:t>if (i) the applicable Excluded Party has designated an Excluded Party Trustee, the date that is the earlier of (A) nine (9) months after the death or Disability of the last to die or become Disabled of the Excluded Parties and (B) the date upon which such Excluded Party Trustee ceases to hold exclusive Voting Control over such shares of Class B Common Stock; and (ii) the applicable Excluded Party has not designated an Excluded Party Trustee, the death or Disability of the last to die or become Disabled of the Excluded Parties; and</w:t>
      </w:r>
    </w:p>
    <w:p>
      <w:pPr>
        <w:spacing w:after="0" w:line="36" w:lineRule="exact"/>
        <w:rPr>
          <w:rFonts w:ascii="Arial" w:cs="Arial" w:eastAsia="Arial" w:hAnsi="Arial"/>
          <w:sz w:val="12"/>
          <w:szCs w:val="12"/>
          <w:color w:val="auto"/>
        </w:rPr>
      </w:pPr>
    </w:p>
    <w:p>
      <w:pPr>
        <w:ind w:left="360" w:right="519" w:firstLine="3"/>
        <w:spacing w:after="0" w:line="245" w:lineRule="auto"/>
        <w:tabs>
          <w:tab w:leader="none" w:pos="544"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date specified by (i) the holders of a majority of the then outstanding shares of Class B Common Stock, voting as a separate class, or in an affirmative written election executed by the holders of a majority of the then outstanding shares of Class B Common Stock and (ii) all of the Excluded Parties (but excluding any Excluded Party who is then deceased or Disabled or who, individually or through his Permitted Transferees, holds less than 20% of the aggregate number of shares of Class B Common Stock that were held by such Excluded Party, individually or through his Permitted Transferees, as of the Effective Time (as equitably adjusted for any stock dividend, stock split, combination of shares, reorganization, recapitalization, reclassification or other similar event)).</w:t>
      </w:r>
    </w:p>
    <w:p>
      <w:pPr>
        <w:spacing w:after="0" w:line="151" w:lineRule="exact"/>
        <w:rPr>
          <w:sz w:val="20"/>
          <w:szCs w:val="20"/>
          <w:color w:val="auto"/>
        </w:rPr>
      </w:pPr>
    </w:p>
    <w:p>
      <w:pPr>
        <w:ind w:left="360" w:right="439"/>
        <w:spacing w:after="0" w:line="259" w:lineRule="auto"/>
        <w:rPr>
          <w:sz w:val="20"/>
          <w:szCs w:val="20"/>
          <w:color w:val="auto"/>
        </w:rPr>
      </w:pPr>
      <w:r>
        <w:rPr>
          <w:rFonts w:ascii="Arial" w:cs="Arial" w:eastAsia="Arial" w:hAnsi="Arial"/>
          <w:sz w:val="14"/>
          <w:szCs w:val="14"/>
          <w:color w:val="auto"/>
        </w:rPr>
        <w:t>1.11 “</w:t>
      </w:r>
      <w:r>
        <w:rPr>
          <w:rFonts w:ascii="Arial" w:cs="Arial" w:eastAsia="Arial" w:hAnsi="Arial"/>
          <w:sz w:val="14"/>
          <w:szCs w:val="14"/>
          <w:b w:val="1"/>
          <w:bCs w:val="1"/>
          <w:i w:val="1"/>
          <w:iCs w:val="1"/>
          <w:color w:val="auto"/>
        </w:rPr>
        <w:t>Liquidation Event</w:t>
      </w:r>
      <w:r>
        <w:rPr>
          <w:rFonts w:ascii="Arial" w:cs="Arial" w:eastAsia="Arial" w:hAnsi="Arial"/>
          <w:sz w:val="14"/>
          <w:szCs w:val="14"/>
          <w:color w:val="auto"/>
        </w:rPr>
        <w:t>” means any liquidation, dissolution, or winding up of the Corporation, whether voluntary or involuntary, or any Acquisition or Asset Transfer.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26" w:name="page27"/>
    <w:bookmarkEnd w:id="26"/>
    <w:p>
      <w:pPr>
        <w:ind w:left="360" w:right="59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1.12 “</w:t>
      </w:r>
      <w:r>
        <w:rPr>
          <w:rFonts w:ascii="Arial" w:cs="Arial" w:eastAsia="Arial" w:hAnsi="Arial"/>
          <w:sz w:val="14"/>
          <w:szCs w:val="14"/>
          <w:b w:val="1"/>
          <w:bCs w:val="1"/>
          <w:i w:val="1"/>
          <w:iCs w:val="1"/>
          <w:color w:val="auto"/>
        </w:rPr>
        <w:t>Parent</w:t>
      </w:r>
      <w:r>
        <w:rPr>
          <w:rFonts w:ascii="Arial" w:cs="Arial" w:eastAsia="Arial" w:hAnsi="Arial"/>
          <w:sz w:val="14"/>
          <w:szCs w:val="14"/>
          <w:color w:val="auto"/>
        </w:rPr>
        <w:t>” of an entity means any entity that directly or indirectly owns or controls a majority of the voting power of the voting securities of such entity.</w:t>
      </w:r>
    </w:p>
    <w:p>
      <w:pPr>
        <w:spacing w:after="0" w:line="140" w:lineRule="exact"/>
        <w:rPr>
          <w:sz w:val="20"/>
          <w:szCs w:val="20"/>
          <w:color w:val="auto"/>
        </w:rPr>
      </w:pPr>
    </w:p>
    <w:p>
      <w:pPr>
        <w:ind w:left="360" w:right="379"/>
        <w:spacing w:after="0" w:line="289" w:lineRule="auto"/>
        <w:rPr>
          <w:sz w:val="20"/>
          <w:szCs w:val="20"/>
          <w:color w:val="auto"/>
        </w:rPr>
      </w:pPr>
      <w:r>
        <w:rPr>
          <w:rFonts w:ascii="Arial" w:cs="Arial" w:eastAsia="Arial" w:hAnsi="Arial"/>
          <w:sz w:val="12"/>
          <w:szCs w:val="12"/>
          <w:color w:val="auto"/>
        </w:rPr>
        <w:t>1.13 “</w:t>
      </w:r>
      <w:r>
        <w:rPr>
          <w:rFonts w:ascii="Arial" w:cs="Arial" w:eastAsia="Arial" w:hAnsi="Arial"/>
          <w:sz w:val="12"/>
          <w:szCs w:val="12"/>
          <w:b w:val="1"/>
          <w:bCs w:val="1"/>
          <w:i w:val="1"/>
          <w:iCs w:val="1"/>
          <w:color w:val="auto"/>
        </w:rPr>
        <w:t>Permitted Entity</w:t>
      </w:r>
      <w:r>
        <w:rPr>
          <w:rFonts w:ascii="Arial" w:cs="Arial" w:eastAsia="Arial" w:hAnsi="Arial"/>
          <w:sz w:val="12"/>
          <w:szCs w:val="12"/>
          <w:color w:val="auto"/>
        </w:rPr>
        <w:t>” means (i) with respect to any Class B Stockholder, any trust, account, plan, corporation, partnership, or limited liability company specified in Article V, Section 1.14(b) established by or for such Class B Stockholder, so long as such entity meets the requirements set forth in Article V, Section 1.14, (ii) a trust which may be revoked by an Excluded Party, so long as the Excluded Party, respectively, remains a trustee or co-trustee thereof and has sole voting power with respect to shares of the Corporation held by such trust, (iii) with respect to any stockholder who is an affiliate of Bill Gates, the Bill &amp; Melinda Gates Foundation Asset Trust, so long as Bill Gates remains a trustee or co-trustee thereof, and (iv) any trust or entity settled or formed by an Excluded Party, for the primary benefit of his respective Family Members, so long as either (a) the Excluded Party remains a trustee or co-trustee and holds sole voting power with respect to shares of the Corporation held by any such trust or (b) the Excluded Party has both the power to remove the trustee or co-trustees and any individual(s) holding voting power of any such trust, and the power to replace any such removed trustee, co-trustees, or individual(s) with any individual or entity of his choosing, other than an individual who is a related or subordinate party to the Excluded Party within the meaning of Internal Revenue Code Section 672(c).</w:t>
      </w:r>
    </w:p>
    <w:p>
      <w:pPr>
        <w:spacing w:after="0" w:line="125" w:lineRule="exact"/>
        <w:rPr>
          <w:sz w:val="20"/>
          <w:szCs w:val="20"/>
          <w:color w:val="auto"/>
        </w:rPr>
      </w:pPr>
    </w:p>
    <w:p>
      <w:pPr>
        <w:ind w:left="360" w:right="499"/>
        <w:spacing w:after="0" w:line="259" w:lineRule="auto"/>
        <w:rPr>
          <w:sz w:val="20"/>
          <w:szCs w:val="20"/>
          <w:color w:val="auto"/>
        </w:rPr>
      </w:pPr>
      <w:r>
        <w:rPr>
          <w:rFonts w:ascii="Arial" w:cs="Arial" w:eastAsia="Arial" w:hAnsi="Arial"/>
          <w:sz w:val="14"/>
          <w:szCs w:val="14"/>
          <w:color w:val="auto"/>
        </w:rPr>
        <w:t>1.13.1 “</w:t>
      </w:r>
      <w:r>
        <w:rPr>
          <w:rFonts w:ascii="Arial" w:cs="Arial" w:eastAsia="Arial" w:hAnsi="Arial"/>
          <w:sz w:val="14"/>
          <w:szCs w:val="14"/>
          <w:b w:val="1"/>
          <w:bCs w:val="1"/>
          <w:i w:val="1"/>
          <w:iCs w:val="1"/>
          <w:color w:val="auto"/>
        </w:rPr>
        <w:t>Permitted Foundation</w:t>
      </w:r>
      <w:r>
        <w:rPr>
          <w:rFonts w:ascii="Arial" w:cs="Arial" w:eastAsia="Arial" w:hAnsi="Arial"/>
          <w:sz w:val="14"/>
          <w:szCs w:val="14"/>
          <w:color w:val="auto"/>
        </w:rPr>
        <w:t>” shall mean with respect to a Class B Stockholder a domestic U.S. charitable organization, foundation or similar entity, that was established by a Class B Stockholder and is intended to be tax-exempt under the Code.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1.14 “</w:t>
      </w:r>
      <w:r>
        <w:rPr>
          <w:rFonts w:ascii="Arial" w:cs="Arial" w:eastAsia="Arial" w:hAnsi="Arial"/>
          <w:sz w:val="14"/>
          <w:szCs w:val="14"/>
          <w:b w:val="1"/>
          <w:bCs w:val="1"/>
          <w:i w:val="1"/>
          <w:iCs w:val="1"/>
          <w:color w:val="auto"/>
        </w:rPr>
        <w:t>Permitted Transfer</w:t>
      </w:r>
      <w:r>
        <w:rPr>
          <w:rFonts w:ascii="Arial" w:cs="Arial" w:eastAsia="Arial" w:hAnsi="Arial"/>
          <w:sz w:val="14"/>
          <w:szCs w:val="14"/>
          <w:color w:val="auto"/>
        </w:rPr>
        <w:t>” means</w:t>
      </w:r>
    </w:p>
    <w:p>
      <w:pPr>
        <w:spacing w:after="0" w:line="83" w:lineRule="exact"/>
        <w:rPr>
          <w:sz w:val="20"/>
          <w:szCs w:val="20"/>
          <w:color w:val="auto"/>
        </w:rPr>
      </w:pPr>
    </w:p>
    <w:p>
      <w:pPr>
        <w:ind w:left="360" w:right="519" w:firstLine="3"/>
        <w:spacing w:after="0" w:line="259" w:lineRule="auto"/>
        <w:tabs>
          <w:tab w:leader="none" w:pos="544"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Transfer of Class B Common Stock by a Class B Stockholder or such Class B Stockholder’s Permitted Entities to another Class B Stockholder or such other Class B Stockholder’s Permitted Entities;</w:t>
      </w:r>
    </w:p>
    <w:p>
      <w:pPr>
        <w:spacing w:after="0" w:line="58" w:lineRule="exact"/>
        <w:rPr>
          <w:rFonts w:ascii="Arial" w:cs="Arial" w:eastAsia="Arial" w:hAnsi="Arial"/>
          <w:sz w:val="14"/>
          <w:szCs w:val="14"/>
          <w:color w:val="auto"/>
        </w:rPr>
      </w:pPr>
    </w:p>
    <w:p>
      <w:pPr>
        <w:ind w:left="360" w:right="399" w:firstLine="3"/>
        <w:spacing w:after="0" w:line="342" w:lineRule="auto"/>
        <w:tabs>
          <w:tab w:leader="none" w:pos="552" w:val="left"/>
        </w:tabs>
        <w:numPr>
          <w:ilvl w:val="0"/>
          <w:numId w:val="17"/>
        </w:numPr>
        <w:rPr>
          <w:rFonts w:ascii="Arial" w:cs="Arial" w:eastAsia="Arial" w:hAnsi="Arial"/>
          <w:sz w:val="12"/>
          <w:szCs w:val="12"/>
          <w:color w:val="auto"/>
        </w:rPr>
      </w:pPr>
      <w:r>
        <w:rPr>
          <w:rFonts w:ascii="Arial" w:cs="Arial" w:eastAsia="Arial" w:hAnsi="Arial"/>
          <w:sz w:val="12"/>
          <w:szCs w:val="12"/>
          <w:color w:val="auto"/>
        </w:rPr>
        <w:t>a Transfer by a Class B Stockholder to any Permitted Entity, including but not limited to any of the following Permitted Entities, and from any of the Permitted Entities back to such Class B Stockholder and/or any other Permitted Entity by or for such Class B Stockholder:</w:t>
      </w:r>
    </w:p>
    <w:p>
      <w:pPr>
        <w:spacing w:after="0" w:line="13" w:lineRule="exact"/>
        <w:rPr>
          <w:sz w:val="20"/>
          <w:szCs w:val="20"/>
          <w:color w:val="auto"/>
        </w:rPr>
      </w:pPr>
    </w:p>
    <w:p>
      <w:pPr>
        <w:ind w:left="360" w:right="479" w:firstLine="3"/>
        <w:spacing w:after="0" w:line="297" w:lineRule="auto"/>
        <w:tabs>
          <w:tab w:leader="none" w:pos="522"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trust for the benefit of such Class B Stockholder and for the benefit of no other person, provided such Transfer does not involve any payment of cash, securities, property or other consideration (other than an interest in such trust) to the Class B Stockholder; and, provided, further, that in the event such Class B Stockholder is no longer the exclusive beneficiary of such trust, each share of Class B Common Stock then held by such trust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39" w:lineRule="exact"/>
        <w:rPr>
          <w:rFonts w:ascii="Arial" w:cs="Arial" w:eastAsia="Arial" w:hAnsi="Arial"/>
          <w:sz w:val="12"/>
          <w:szCs w:val="12"/>
          <w:color w:val="auto"/>
        </w:rPr>
      </w:pPr>
    </w:p>
    <w:p>
      <w:pPr>
        <w:ind w:left="360" w:right="399" w:firstLine="3"/>
        <w:spacing w:after="0" w:line="294" w:lineRule="auto"/>
        <w:tabs>
          <w:tab w:leader="none" w:pos="559" w:val="left"/>
        </w:tabs>
        <w:numPr>
          <w:ilvl w:val="0"/>
          <w:numId w:val="18"/>
        </w:numPr>
        <w:rPr>
          <w:rFonts w:ascii="Arial" w:cs="Arial" w:eastAsia="Arial" w:hAnsi="Arial"/>
          <w:sz w:val="12"/>
          <w:szCs w:val="12"/>
          <w:color w:val="auto"/>
        </w:rPr>
      </w:pPr>
      <w:r>
        <w:rPr>
          <w:rFonts w:ascii="Arial" w:cs="Arial" w:eastAsia="Arial" w:hAnsi="Arial"/>
          <w:sz w:val="12"/>
          <w:szCs w:val="12"/>
          <w:color w:val="auto"/>
        </w:rPr>
        <w:t xml:space="preserve">a trust for the benefit of persons other than the Class B Stockholder so long as the Class B Stockholder has exclusive Voting Control with respect to the shares of Class B Common Stock held by such trust, provided such Transfer does not involve any payment of cash, securities, property or other consideration (other than an interest in such trust) to the Class B Stockholder;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in the event the Class B Stockholder no longer has exclusive Voting Control with respect to the shares of Class B Common Stock held by such trust, each share of Class B Common Stock then held by such trust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41" w:lineRule="exact"/>
        <w:rPr>
          <w:rFonts w:ascii="Arial" w:cs="Arial" w:eastAsia="Arial" w:hAnsi="Arial"/>
          <w:sz w:val="12"/>
          <w:szCs w:val="12"/>
          <w:color w:val="auto"/>
        </w:rPr>
      </w:pPr>
    </w:p>
    <w:p>
      <w:pPr>
        <w:ind w:left="360" w:right="379" w:firstLine="3"/>
        <w:spacing w:after="0" w:line="294" w:lineRule="auto"/>
        <w:tabs>
          <w:tab w:leader="none" w:pos="597"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trust under the terms of which such Class B Stockholder has retained a “qualified interest” within the meaning of §2702(b)(1) of the Internal Revenue Code (the “</w:t>
      </w:r>
      <w:r>
        <w:rPr>
          <w:rFonts w:ascii="Arial" w:cs="Arial" w:eastAsia="Arial" w:hAnsi="Arial"/>
          <w:sz w:val="12"/>
          <w:szCs w:val="12"/>
          <w:b w:val="1"/>
          <w:bCs w:val="1"/>
          <w:i w:val="1"/>
          <w:iCs w:val="1"/>
          <w:color w:val="auto"/>
        </w:rPr>
        <w:t>Code</w:t>
      </w:r>
      <w:r>
        <w:rPr>
          <w:rFonts w:ascii="Arial" w:cs="Arial" w:eastAsia="Arial" w:hAnsi="Arial"/>
          <w:sz w:val="12"/>
          <w:szCs w:val="12"/>
          <w:color w:val="auto"/>
        </w:rPr>
        <w:t xml:space="preserve">”) and/or a reversionary interest so long as the Class B Stockholder has exclusive Voting Control with respect to the shares of Class B Common Stock held by such trust;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the Class B Stockholder no longer has exclusive Voting Control with respect to the shares of Class B Common Stock held by such trust, each share of Class B Common Stock then held by such trust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27" w:name="page28"/>
    <w:bookmarkEnd w:id="27"/>
    <w:p>
      <w:pPr>
        <w:ind w:left="360" w:right="379" w:firstLine="3"/>
        <w:spacing w:after="0" w:line="292" w:lineRule="auto"/>
        <w:tabs>
          <w:tab w:leader="none" w:pos="589" w:val="left"/>
        </w:tabs>
        <w:numPr>
          <w:ilvl w:val="0"/>
          <w:numId w:val="1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an Individual Retirement Account, as defined in Section 408(a) of the Code, or a pension, profit sharing, stock bonus or other type of plan or trust of which such Class B Stockholder is a participant or beneficiary and which satisfies the requirements for qualification under Section 401 of the Code;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in each case such Class B Stockholder has exclusive Voting Control with respect to the shares of Class B Common Stock held in such</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account, plan or trust,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in the event the Class B Stockholder no longer has exclusive Voting Control with respect to the shares of Class B Common Stock held by such account, plan or trust, each share of Class B Common Stock then held by such trust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42" w:lineRule="exact"/>
        <w:rPr>
          <w:rFonts w:ascii="Arial" w:cs="Arial" w:eastAsia="Arial" w:hAnsi="Arial"/>
          <w:sz w:val="12"/>
          <w:szCs w:val="12"/>
          <w:color w:val="auto"/>
        </w:rPr>
      </w:pPr>
    </w:p>
    <w:p>
      <w:pPr>
        <w:ind w:left="560" w:hanging="197"/>
        <w:spacing w:after="0"/>
        <w:tabs>
          <w:tab w:leader="none" w:pos="5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corporation in which such Class B Stockholder directly, or indirectly through one or more Permitted Entities, owns shares with sufficient Voting</w:t>
      </w:r>
    </w:p>
    <w:p>
      <w:pPr>
        <w:spacing w:after="0" w:line="34" w:lineRule="exact"/>
        <w:rPr>
          <w:rFonts w:ascii="Arial" w:cs="Arial" w:eastAsia="Arial" w:hAnsi="Arial"/>
          <w:sz w:val="12"/>
          <w:szCs w:val="12"/>
          <w:color w:val="auto"/>
        </w:rPr>
      </w:pPr>
    </w:p>
    <w:p>
      <w:pPr>
        <w:ind w:left="360" w:right="379"/>
        <w:spacing w:after="0" w:line="282" w:lineRule="auto"/>
        <w:rPr>
          <w:rFonts w:ascii="Arial" w:cs="Arial" w:eastAsia="Arial" w:hAnsi="Arial"/>
          <w:sz w:val="12"/>
          <w:szCs w:val="12"/>
          <w:color w:val="auto"/>
        </w:rPr>
      </w:pPr>
      <w:r>
        <w:rPr>
          <w:rFonts w:ascii="Arial" w:cs="Arial" w:eastAsia="Arial" w:hAnsi="Arial"/>
          <w:sz w:val="12"/>
          <w:szCs w:val="12"/>
          <w:color w:val="auto"/>
        </w:rPr>
        <w:t xml:space="preserve">Control in the corporation, or otherwise has legally enforceable rights, such that the Class B Stockholder retains exclusive Voting Control with respect to the shares of Class B Common Stock held by such corporation;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event the Class B Stockholder no longer owns sufficient shares or has sufficient legally enforceable rights to enable the Class B Stockholder to retain exclusive Voting Control with respect to the shares of Class B Common Stock held by such corporation, each share of Class B Common Stock then held by such corporation shall automatically convert into one</w:t>
      </w:r>
    </w:p>
    <w:p>
      <w:pPr>
        <w:ind w:left="360" w:right="739"/>
        <w:spacing w:after="0" w:line="244" w:lineRule="auto"/>
        <w:rPr>
          <w:rFonts w:ascii="Arial" w:cs="Arial" w:eastAsia="Arial" w:hAnsi="Arial"/>
          <w:sz w:val="12"/>
          <w:szCs w:val="12"/>
          <w:color w:val="auto"/>
        </w:rPr>
      </w:pPr>
      <w:r>
        <w:rPr>
          <w:rFonts w:ascii="Arial" w:cs="Arial" w:eastAsia="Arial" w:hAnsi="Arial"/>
          <w:sz w:val="14"/>
          <w:szCs w:val="14"/>
          <w:color w:val="auto"/>
        </w:rPr>
        <w:t>(1) fully paid and nonassessable share of Class A Common Stock (as equitably adjusted for any stock dividend, stock split, combination of shares, reorganization, recapitalization, reclassification or other similar event);</w:t>
      </w:r>
    </w:p>
    <w:p>
      <w:pPr>
        <w:spacing w:after="0" w:line="68" w:lineRule="exact"/>
        <w:rPr>
          <w:rFonts w:ascii="Arial" w:cs="Arial" w:eastAsia="Arial" w:hAnsi="Arial"/>
          <w:sz w:val="12"/>
          <w:szCs w:val="12"/>
          <w:color w:val="auto"/>
        </w:rPr>
      </w:pPr>
    </w:p>
    <w:p>
      <w:pPr>
        <w:ind w:left="360" w:right="379" w:firstLine="3"/>
        <w:spacing w:after="0" w:line="292" w:lineRule="auto"/>
        <w:tabs>
          <w:tab w:leader="none" w:pos="589"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a partnership in which such Class B Stockholder directly, or indirectly through one or more Permitted Entities, owns partnership interests with sufficient Voting Control in the partnership, or otherwise has legally enforceable rights, such that the Class B Stockholder retains exclusive Voting Control with respect to the shares of Class B Common Stock held by such partnership;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event the Class B Stockholder no longer owns sufficient partnership interests or has sufficient legally enforceable rights to enable the Class B Stockholder to retain exclusive Voting Control with respect to the shares of Class B Common Stock held by such partnership, each share of Class B Common Stock then held by such partnership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42" w:lineRule="exact"/>
        <w:rPr>
          <w:rFonts w:ascii="Arial" w:cs="Arial" w:eastAsia="Arial" w:hAnsi="Arial"/>
          <w:sz w:val="12"/>
          <w:szCs w:val="12"/>
          <w:color w:val="auto"/>
        </w:rPr>
      </w:pPr>
    </w:p>
    <w:p>
      <w:pPr>
        <w:ind w:left="360" w:right="479" w:firstLine="3"/>
        <w:spacing w:after="0" w:line="285" w:lineRule="auto"/>
        <w:tabs>
          <w:tab w:leader="none" w:pos="627"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a limited liability company in which such Class B Stockholder directly, or indirectly through one or more Permitted Entities, owns membership or limited liability company interests with sufficient Voting Control in the limited liability company, or otherwise has legally enforceable rights, such that the Class B Stockholder retains exclusive Voting Control with respect to the shares of Class B Common Stock held by such limited liability company;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in the event the Class B Stockholder no longer owns sufficient membership or limited liability company interests or has sufficient legally</w:t>
      </w:r>
      <w:r>
        <w:rPr>
          <w:rFonts w:ascii="Arial" w:cs="Arial" w:eastAsia="Arial" w:hAnsi="Arial"/>
          <w:sz w:val="12"/>
          <w:szCs w:val="12"/>
          <w:i w:val="1"/>
          <w:iCs w:val="1"/>
          <w:color w:val="auto"/>
        </w:rPr>
        <w:t xml:space="preserve"> </w:t>
      </w:r>
      <w:r>
        <w:rPr>
          <w:rFonts w:ascii="Arial" w:cs="Arial" w:eastAsia="Arial" w:hAnsi="Arial"/>
          <w:sz w:val="12"/>
          <w:szCs w:val="12"/>
          <w:color w:val="auto"/>
        </w:rPr>
        <w:t>enforceable rights to enable the Class B Stockholder to retain exclusive Voting Control with respect to the shares of Class B Common Stock held by such limited liability company, each share of Class B Common Stock then held by such limited liability company shall automatically convert into one</w:t>
      </w:r>
    </w:p>
    <w:p>
      <w:pPr>
        <w:spacing w:after="0" w:line="1" w:lineRule="exact"/>
        <w:rPr>
          <w:rFonts w:ascii="Arial" w:cs="Arial" w:eastAsia="Arial" w:hAnsi="Arial"/>
          <w:sz w:val="12"/>
          <w:szCs w:val="12"/>
          <w:color w:val="auto"/>
        </w:rPr>
      </w:pPr>
    </w:p>
    <w:p>
      <w:pPr>
        <w:ind w:left="360" w:right="739"/>
        <w:spacing w:after="0" w:line="244" w:lineRule="auto"/>
        <w:rPr>
          <w:rFonts w:ascii="Arial" w:cs="Arial" w:eastAsia="Arial" w:hAnsi="Arial"/>
          <w:sz w:val="12"/>
          <w:szCs w:val="12"/>
          <w:color w:val="auto"/>
        </w:rPr>
      </w:pPr>
      <w:r>
        <w:rPr>
          <w:rFonts w:ascii="Arial" w:cs="Arial" w:eastAsia="Arial" w:hAnsi="Arial"/>
          <w:sz w:val="14"/>
          <w:szCs w:val="14"/>
          <w:color w:val="auto"/>
        </w:rPr>
        <w:t>(1) fully paid and nonassessable share of Class A Common Stock (as equitably adjusted for any stock dividend, stock split, combination of shares, reorganization, recapitalization, reclassification or other similar event); or</w:t>
      </w:r>
    </w:p>
    <w:p>
      <w:pPr>
        <w:spacing w:after="0" w:line="68" w:lineRule="exact"/>
        <w:rPr>
          <w:rFonts w:ascii="Arial" w:cs="Arial" w:eastAsia="Arial" w:hAnsi="Arial"/>
          <w:sz w:val="12"/>
          <w:szCs w:val="12"/>
          <w:color w:val="auto"/>
        </w:rPr>
      </w:pPr>
    </w:p>
    <w:p>
      <w:pPr>
        <w:ind w:left="360" w:right="399" w:firstLine="3"/>
        <w:spacing w:after="0" w:line="294" w:lineRule="auto"/>
        <w:tabs>
          <w:tab w:leader="none" w:pos="664"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a Permitted Foundation so long as the Class B Stockholder has exclusive Voting Control with respect to the shares of Class B Common Stock held by such Permitted Foundation, provided such Transfer does not involve any payment of cash, securities, property or other consideration (other than an interest in such Permitted Foundation) to the Class B Stockholder;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in the event the Class B Stockholder no longer has exclusive Voting Control with respect to the shares of Class B Common Stock held by such Permitted Foundation, each share of Class B Common Stock then held by such Permitted Foundation shall automatically convert into one (1) fully paid and nonassessable share of Class A Common Stock (as equitably adjusted for any stock dividend, stock split, combination of shares, reorganization, recapitalization, reclassification or other similar event).</w:t>
      </w:r>
    </w:p>
    <w:p>
      <w:pPr>
        <w:spacing w:after="0" w:line="122" w:lineRule="exact"/>
        <w:rPr>
          <w:sz w:val="20"/>
          <w:szCs w:val="20"/>
          <w:color w:val="auto"/>
        </w:rPr>
      </w:pPr>
    </w:p>
    <w:p>
      <w:pPr>
        <w:ind w:left="360" w:right="379"/>
        <w:spacing w:after="0" w:line="250" w:lineRule="auto"/>
        <w:rPr>
          <w:sz w:val="20"/>
          <w:szCs w:val="20"/>
          <w:color w:val="auto"/>
        </w:rPr>
      </w:pPr>
      <w:r>
        <w:rPr>
          <w:rFonts w:ascii="Arial" w:cs="Arial" w:eastAsia="Arial" w:hAnsi="Arial"/>
          <w:sz w:val="14"/>
          <w:szCs w:val="14"/>
          <w:color w:val="auto"/>
        </w:rPr>
        <w:t>For the avoidance of doubt, to the extent any shares are deemed to be held by a trustee of a trust described in (i), (ii) or (iii) above, the Transfer shall be a Permitted Transfer and the trustee shall be deemed a Permitted Entity so long as the other requirements of (i), (ii) or (iii) above, as the case may be, are otherwise satisfied.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28" w:name="page29"/>
    <w:bookmarkEnd w:id="28"/>
    <w:p>
      <w:pPr>
        <w:ind w:left="360" w:right="39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1.15 “</w:t>
      </w:r>
      <w:r>
        <w:rPr>
          <w:rFonts w:ascii="Arial" w:cs="Arial" w:eastAsia="Arial" w:hAnsi="Arial"/>
          <w:sz w:val="14"/>
          <w:szCs w:val="14"/>
          <w:b w:val="1"/>
          <w:bCs w:val="1"/>
          <w:i w:val="1"/>
          <w:iCs w:val="1"/>
          <w:color w:val="auto"/>
        </w:rPr>
        <w:t>Permitted Transferee</w:t>
      </w:r>
      <w:r>
        <w:rPr>
          <w:rFonts w:ascii="Arial" w:cs="Arial" w:eastAsia="Arial" w:hAnsi="Arial"/>
          <w:sz w:val="14"/>
          <w:szCs w:val="14"/>
          <w:color w:val="auto"/>
        </w:rPr>
        <w:t>” means a transferee of shares of Class B Common Stock, or rights or interests therein, received in a Transfer that constitutes a Permitted Transfer.</w:t>
      </w:r>
    </w:p>
    <w:p>
      <w:pPr>
        <w:spacing w:after="0" w:line="140" w:lineRule="exact"/>
        <w:rPr>
          <w:sz w:val="20"/>
          <w:szCs w:val="20"/>
          <w:color w:val="auto"/>
        </w:rPr>
      </w:pPr>
    </w:p>
    <w:p>
      <w:pPr>
        <w:jc w:val="both"/>
        <w:ind w:left="360" w:right="759"/>
        <w:spacing w:after="0" w:line="312" w:lineRule="auto"/>
        <w:rPr>
          <w:sz w:val="20"/>
          <w:szCs w:val="20"/>
          <w:color w:val="auto"/>
        </w:rPr>
      </w:pPr>
      <w:r>
        <w:rPr>
          <w:rFonts w:ascii="Arial" w:cs="Arial" w:eastAsia="Arial" w:hAnsi="Arial"/>
          <w:sz w:val="12"/>
          <w:szCs w:val="12"/>
          <w:color w:val="auto"/>
        </w:rPr>
        <w:t>1.16 “</w:t>
      </w:r>
      <w:r>
        <w:rPr>
          <w:rFonts w:ascii="Arial" w:cs="Arial" w:eastAsia="Arial" w:hAnsi="Arial"/>
          <w:sz w:val="12"/>
          <w:szCs w:val="12"/>
          <w:b w:val="1"/>
          <w:bCs w:val="1"/>
          <w:i w:val="1"/>
          <w:iCs w:val="1"/>
          <w:color w:val="auto"/>
        </w:rPr>
        <w:t>Qualified Stockholder</w:t>
      </w:r>
      <w:r>
        <w:rPr>
          <w:rFonts w:ascii="Arial" w:cs="Arial" w:eastAsia="Arial" w:hAnsi="Arial"/>
          <w:sz w:val="12"/>
          <w:szCs w:val="12"/>
          <w:color w:val="auto"/>
        </w:rPr>
        <w:t>” means (a) any registered holder of a share of Class B Common Stock as of the Effective Time (as defined under the BCA); (b) any Permitted Transferee; and (c) the initial registered holder of any shares of Class B Common Stock that are originally issued by the Corporation after the Effective Time in compliance with this Amended and Restated Certificate.</w:t>
      </w:r>
    </w:p>
    <w:p>
      <w:pPr>
        <w:spacing w:after="0" w:line="111" w:lineRule="exact"/>
        <w:rPr>
          <w:sz w:val="20"/>
          <w:szCs w:val="20"/>
          <w:color w:val="auto"/>
        </w:rPr>
      </w:pPr>
    </w:p>
    <w:p>
      <w:pPr>
        <w:ind w:left="360" w:right="399"/>
        <w:spacing w:after="0" w:line="294"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whether directly or indirectly, including by merger, consolidation or otherwise. A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xml:space="preserve">” shall also include, without limitation, a transfer of a share of Class B Common Stock to a broker or other nominee (regardless of whether or not there is a corresponding change in beneficial ownership), or the transfer of, or entering into a binding agreement with respect to, Voting Control over a share of Class B Common Stock by proxy or otherwise; </w:t>
      </w: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the following shall not be considered a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within the meaning of this Article V, Section 1.17:</w:t>
      </w:r>
    </w:p>
    <w:p>
      <w:pPr>
        <w:spacing w:after="0" w:line="41" w:lineRule="exact"/>
        <w:rPr>
          <w:sz w:val="20"/>
          <w:szCs w:val="20"/>
          <w:color w:val="auto"/>
        </w:rPr>
      </w:pPr>
    </w:p>
    <w:p>
      <w:pPr>
        <w:ind w:left="360" w:right="379" w:firstLine="3"/>
        <w:spacing w:after="0" w:line="259" w:lineRule="auto"/>
        <w:tabs>
          <w:tab w:leader="none" w:pos="54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granting of a proxy to officers or directors of the Corporation, or to other persons approved by the Board at the request of the Board in connection with actions to be taken at an annual or special meeting of stockholders;</w:t>
      </w:r>
    </w:p>
    <w:p>
      <w:pPr>
        <w:spacing w:after="0" w:line="58" w:lineRule="exact"/>
        <w:rPr>
          <w:rFonts w:ascii="Arial" w:cs="Arial" w:eastAsia="Arial" w:hAnsi="Arial"/>
          <w:sz w:val="14"/>
          <w:szCs w:val="14"/>
          <w:color w:val="auto"/>
        </w:rPr>
      </w:pPr>
    </w:p>
    <w:p>
      <w:pPr>
        <w:ind w:left="360" w:right="439" w:firstLine="3"/>
        <w:spacing w:after="0" w:line="297" w:lineRule="auto"/>
        <w:tabs>
          <w:tab w:leader="none" w:pos="552" w:val="left"/>
        </w:tabs>
        <w:numPr>
          <w:ilvl w:val="0"/>
          <w:numId w:val="20"/>
        </w:numPr>
        <w:rPr>
          <w:rFonts w:ascii="Arial" w:cs="Arial" w:eastAsia="Arial" w:hAnsi="Arial"/>
          <w:sz w:val="12"/>
          <w:szCs w:val="12"/>
          <w:color w:val="auto"/>
        </w:rPr>
      </w:pPr>
      <w:r>
        <w:rPr>
          <w:rFonts w:ascii="Arial" w:cs="Arial" w:eastAsia="Arial" w:hAnsi="Arial"/>
          <w:sz w:val="12"/>
          <w:szCs w:val="12"/>
          <w:color w:val="auto"/>
        </w:rPr>
        <w:t>entering into a voting trust, agreement or arrangement (with or without granting a proxy), or consummating the actions or transactions contemplated therein, solely with other stockholders who are Class B Stockholders, that (i) is disclosed either in a Schedule 13D filed with the Securities and Exchange Commission or in writing to the Secretary of the Corporation, (ii) either has a term not exceeding one (1) year or is terminable by the Class B Stockholder at any time and (iii) does not involve any payment of cash, securities, property or other consideration to the Class B Stockholder other than the mutual promise to vote shares in a designated manner;</w:t>
      </w:r>
    </w:p>
    <w:p>
      <w:pPr>
        <w:spacing w:after="0" w:line="39" w:lineRule="exact"/>
        <w:rPr>
          <w:rFonts w:ascii="Arial" w:cs="Arial" w:eastAsia="Arial" w:hAnsi="Arial"/>
          <w:sz w:val="12"/>
          <w:szCs w:val="12"/>
          <w:color w:val="auto"/>
        </w:rPr>
      </w:pPr>
    </w:p>
    <w:p>
      <w:pPr>
        <w:jc w:val="both"/>
        <w:ind w:left="360" w:right="499" w:firstLine="3"/>
        <w:spacing w:after="0" w:line="312" w:lineRule="auto"/>
        <w:tabs>
          <w:tab w:leader="none" w:pos="544"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the pledge of shares of Class B Common Stock by a Class B Stockholder that creates a mere security interest in such shares pursuant to a bona fide loan or indebtedness transaction so long as the Class B Stockholder continues to exercise Voting Control over such pledged shares;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 foreclosure on such shares of Class B Common Stock or other similar action by the pledgee shall constitute a “</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w:t>
      </w:r>
    </w:p>
    <w:p>
      <w:pPr>
        <w:spacing w:after="0" w:line="30" w:lineRule="exact"/>
        <w:rPr>
          <w:rFonts w:ascii="Arial" w:cs="Arial" w:eastAsia="Arial" w:hAnsi="Arial"/>
          <w:sz w:val="12"/>
          <w:szCs w:val="12"/>
          <w:color w:val="auto"/>
        </w:rPr>
      </w:pPr>
    </w:p>
    <w:p>
      <w:pPr>
        <w:ind w:left="360" w:right="399" w:firstLine="3"/>
        <w:spacing w:after="0" w:line="302" w:lineRule="auto"/>
        <w:tabs>
          <w:tab w:leader="none" w:pos="552" w:val="left"/>
        </w:tabs>
        <w:numPr>
          <w:ilvl w:val="0"/>
          <w:numId w:val="20"/>
        </w:numPr>
        <w:rPr>
          <w:rFonts w:ascii="Arial" w:cs="Arial" w:eastAsia="Arial" w:hAnsi="Arial"/>
          <w:sz w:val="12"/>
          <w:szCs w:val="12"/>
          <w:color w:val="auto"/>
        </w:rPr>
      </w:pPr>
      <w:r>
        <w:rPr>
          <w:rFonts w:ascii="Arial" w:cs="Arial" w:eastAsia="Arial" w:hAnsi="Arial"/>
          <w:sz w:val="12"/>
          <w:szCs w:val="12"/>
          <w:color w:val="auto"/>
        </w:rPr>
        <w:t>entering into any agreement with respect to supporting or voting in favor of or tendering shares with respect to any transaction proposed to be consummated by the Corporation, or consummating the actions or transactions contemplated therein (including, without limitation, tendering shares of Class B Common Stock or voting such shares in favor of such transaction or in opposition to other proposals that may be expected to delay or impair the ability to consummate such transaction), if the entry into such support or voting agreement is approved by the Board;</w:t>
      </w:r>
    </w:p>
    <w:p>
      <w:pPr>
        <w:spacing w:after="0" w:line="36" w:lineRule="exact"/>
        <w:rPr>
          <w:rFonts w:ascii="Arial" w:cs="Arial" w:eastAsia="Arial" w:hAnsi="Arial"/>
          <w:sz w:val="12"/>
          <w:szCs w:val="12"/>
          <w:color w:val="auto"/>
        </w:rPr>
      </w:pPr>
    </w:p>
    <w:p>
      <w:pPr>
        <w:jc w:val="both"/>
        <w:ind w:left="360" w:right="559" w:firstLine="3"/>
        <w:spacing w:after="0" w:line="312" w:lineRule="auto"/>
        <w:tabs>
          <w:tab w:leader="none" w:pos="544" w:val="left"/>
        </w:tabs>
        <w:numPr>
          <w:ilvl w:val="0"/>
          <w:numId w:val="20"/>
        </w:numPr>
        <w:rPr>
          <w:rFonts w:ascii="Arial" w:cs="Arial" w:eastAsia="Arial" w:hAnsi="Arial"/>
          <w:sz w:val="12"/>
          <w:szCs w:val="12"/>
          <w:color w:val="auto"/>
        </w:rPr>
      </w:pPr>
      <w:r>
        <w:rPr>
          <w:rFonts w:ascii="Arial" w:cs="Arial" w:eastAsia="Arial" w:hAnsi="Arial"/>
          <w:sz w:val="12"/>
          <w:szCs w:val="12"/>
          <w:color w:val="auto"/>
        </w:rPr>
        <w:t>granting of a proxy by an Excluded Party or such Excluded Party’s Permitted Transferees to another Excluded Party to exercise Voting Control of shares of Class B Common Stock owned directly or indirectly, beneficially and of record, by such granting Excluded Party or such granting Excluded Party’s Permitted Transferees, and the exercise of such proxy by such other Excluded Party;</w:t>
      </w:r>
    </w:p>
    <w:p>
      <w:pPr>
        <w:spacing w:after="0" w:line="30" w:lineRule="exact"/>
        <w:rPr>
          <w:sz w:val="20"/>
          <w:szCs w:val="20"/>
          <w:color w:val="auto"/>
        </w:rPr>
      </w:pPr>
    </w:p>
    <w:p>
      <w:pPr>
        <w:ind w:left="360" w:right="559" w:firstLine="3"/>
        <w:spacing w:after="0" w:line="250" w:lineRule="auto"/>
        <w:tabs>
          <w:tab w:leader="none" w:pos="5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entering into a trading plan pursuant to Rule 10b5-1 under the Securities Exchange Act of 1934, as amended, with a broker or other nominee; </w:t>
      </w:r>
      <w:r>
        <w:rPr>
          <w:rFonts w:ascii="Arial" w:cs="Arial" w:eastAsia="Arial" w:hAnsi="Arial"/>
          <w:sz w:val="14"/>
          <w:szCs w:val="14"/>
          <w:i w:val="1"/>
          <w:iCs w:val="1"/>
          <w:color w:val="auto"/>
        </w:rPr>
        <w:t>provided, however</w:t>
      </w:r>
      <w:r>
        <w:rPr>
          <w:rFonts w:ascii="Arial" w:cs="Arial" w:eastAsia="Arial" w:hAnsi="Arial"/>
          <w:sz w:val="14"/>
          <w:szCs w:val="14"/>
          <w:color w:val="auto"/>
        </w:rPr>
        <w:t>, that any sale of such shares of Class B Common Stock pursuant to such plan shall constitute a “</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at the time of such sale;</w:t>
      </w:r>
      <w:r>
        <w:rPr>
          <w:rFonts w:ascii="Arial" w:cs="Arial" w:eastAsia="Arial" w:hAnsi="Arial"/>
          <w:sz w:val="14"/>
          <w:szCs w:val="14"/>
          <w:i w:val="1"/>
          <w:iCs w:val="1"/>
          <w:color w:val="auto"/>
        </w:rPr>
        <w:t xml:space="preserve"> </w:t>
      </w:r>
      <w:r>
        <w:rPr>
          <w:rFonts w:ascii="Arial" w:cs="Arial" w:eastAsia="Arial" w:hAnsi="Arial"/>
          <w:sz w:val="14"/>
          <w:szCs w:val="14"/>
          <w:color w:val="auto"/>
        </w:rPr>
        <w:t>and</w:t>
      </w:r>
    </w:p>
    <w:p>
      <w:pPr>
        <w:spacing w:after="0" w:line="65" w:lineRule="exact"/>
        <w:rPr>
          <w:rFonts w:ascii="Arial" w:cs="Arial" w:eastAsia="Arial" w:hAnsi="Arial"/>
          <w:sz w:val="14"/>
          <w:szCs w:val="14"/>
          <w:color w:val="auto"/>
        </w:rPr>
      </w:pPr>
    </w:p>
    <w:p>
      <w:pPr>
        <w:ind w:left="360" w:right="399" w:firstLine="3"/>
        <w:spacing w:after="0" w:line="250" w:lineRule="auto"/>
        <w:tabs>
          <w:tab w:leader="none" w:pos="552"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w:t>
      </w:r>
      <w:r>
        <w:rPr>
          <w:rFonts w:ascii="Arial" w:cs="Arial" w:eastAsia="Arial" w:hAnsi="Arial"/>
          <w:sz w:val="14"/>
          <w:szCs w:val="14"/>
          <w:b w:val="1"/>
          <w:bCs w:val="1"/>
          <w:i w:val="1"/>
          <w:iCs w:val="1"/>
          <w:color w:val="auto"/>
        </w:rPr>
        <w:t>Transfer</w:t>
      </w:r>
      <w:r>
        <w:rPr>
          <w:rFonts w:ascii="Arial" w:cs="Arial" w:eastAsia="Arial" w:hAnsi="Arial"/>
          <w:sz w:val="14"/>
          <w:szCs w:val="14"/>
          <w:color w:val="auto"/>
        </w:rPr>
        <w:t>” that is not a Permitted Transfer.</w:t>
      </w:r>
    </w:p>
    <w:p>
      <w:pPr>
        <w:spacing w:after="0" w:line="146" w:lineRule="exact"/>
        <w:rPr>
          <w:sz w:val="20"/>
          <w:szCs w:val="20"/>
          <w:color w:val="auto"/>
        </w:rPr>
      </w:pPr>
    </w:p>
    <w:p>
      <w:pPr>
        <w:ind w:left="360" w:right="379"/>
        <w:spacing w:after="0" w:line="302" w:lineRule="auto"/>
        <w:rPr>
          <w:sz w:val="20"/>
          <w:szCs w:val="20"/>
          <w:color w:val="auto"/>
        </w:rPr>
      </w:pPr>
      <w:r>
        <w:rPr>
          <w:rFonts w:ascii="Arial" w:cs="Arial" w:eastAsia="Arial" w:hAnsi="Arial"/>
          <w:sz w:val="12"/>
          <w:szCs w:val="12"/>
          <w:color w:val="auto"/>
        </w:rPr>
        <w:t>1.18 “</w:t>
      </w:r>
      <w:r>
        <w:rPr>
          <w:rFonts w:ascii="Arial" w:cs="Arial" w:eastAsia="Arial" w:hAnsi="Arial"/>
          <w:sz w:val="12"/>
          <w:szCs w:val="12"/>
          <w:b w:val="1"/>
          <w:bCs w:val="1"/>
          <w:i w:val="1"/>
          <w:iCs w:val="1"/>
          <w:color w:val="auto"/>
        </w:rPr>
        <w:t>Voting Control</w:t>
      </w:r>
      <w:r>
        <w:rPr>
          <w:rFonts w:ascii="Arial" w:cs="Arial" w:eastAsia="Arial" w:hAnsi="Arial"/>
          <w:sz w:val="12"/>
          <w:szCs w:val="12"/>
          <w:color w:val="auto"/>
        </w:rPr>
        <w:t xml:space="preserve">” means the power to vote or direct the voting of the applicable voting security by proxy, voting agreement or otherwise;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case of an Excluded Party and solely for purposes of Article V, Section 1.14(b)(i) – (iv), an Excluded Party shall be deemed to have exclusive Voting Control with respect to the shares of Class B Common Stock if such Excluded Party has the power to terminate, remove or replace any person or entity having Voting Control over the applicable shares of Class B Common Stock.</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29" w:name="page30"/>
    <w:bookmarkEnd w:id="29"/>
    <w:p>
      <w:pPr>
        <w:ind w:left="360" w:right="51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1.19 “</w:t>
      </w:r>
      <w:r>
        <w:rPr>
          <w:rFonts w:ascii="Arial" w:cs="Arial" w:eastAsia="Arial" w:hAnsi="Arial"/>
          <w:sz w:val="14"/>
          <w:szCs w:val="14"/>
          <w:b w:val="1"/>
          <w:bCs w:val="1"/>
          <w:i w:val="1"/>
          <w:iCs w:val="1"/>
          <w:color w:val="auto"/>
        </w:rPr>
        <w:t>Whole Board</w:t>
      </w:r>
      <w:r>
        <w:rPr>
          <w:rFonts w:ascii="Arial" w:cs="Arial" w:eastAsia="Arial" w:hAnsi="Arial"/>
          <w:sz w:val="14"/>
          <w:szCs w:val="14"/>
          <w:color w:val="auto"/>
        </w:rPr>
        <w:t>” means the total number of authorized directors whether or not there exist any vacancies or unfilled seats in previously authorized directorships.</w:t>
      </w:r>
    </w:p>
    <w:p>
      <w:pPr>
        <w:spacing w:after="0" w:line="140" w:lineRule="exact"/>
        <w:rPr>
          <w:sz w:val="20"/>
          <w:szCs w:val="20"/>
          <w:color w:val="auto"/>
        </w:rPr>
      </w:pPr>
    </w:p>
    <w:p>
      <w:pPr>
        <w:ind w:left="360" w:right="419" w:firstLine="3"/>
        <w:spacing w:after="0" w:line="312" w:lineRule="auto"/>
        <w:tabs>
          <w:tab w:leader="none" w:pos="495"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Identical Rights</w:t>
      </w:r>
      <w:r>
        <w:rPr>
          <w:rFonts w:ascii="Arial" w:cs="Arial" w:eastAsia="Arial" w:hAnsi="Arial"/>
          <w:sz w:val="12"/>
          <w:szCs w:val="12"/>
          <w:color w:val="auto"/>
        </w:rPr>
        <w:t>. Except as otherwise provided in this Amended and Restated Certificate or required by applicable law, shares of Common Stock shall have the same rights and powers, rank equally (including, without limitation, as to any dividends and distributions, any liquidation, dissolution or winding up of the Corporation and any voting of such shares), share ratably and be identical in all respects as to all matters.</w:t>
      </w:r>
    </w:p>
    <w:p>
      <w:pPr>
        <w:spacing w:after="0" w:line="111" w:lineRule="exact"/>
        <w:rPr>
          <w:rFonts w:ascii="Arial" w:cs="Arial" w:eastAsia="Arial" w:hAnsi="Arial"/>
          <w:sz w:val="12"/>
          <w:szCs w:val="12"/>
          <w:color w:val="auto"/>
        </w:rPr>
      </w:pPr>
    </w:p>
    <w:p>
      <w:pPr>
        <w:ind w:left="500" w:hanging="137"/>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Dividends and Distributions.</w:t>
      </w:r>
    </w:p>
    <w:p>
      <w:pPr>
        <w:spacing w:after="0" w:line="83" w:lineRule="exact"/>
        <w:rPr>
          <w:sz w:val="20"/>
          <w:szCs w:val="20"/>
          <w:color w:val="auto"/>
        </w:rPr>
      </w:pPr>
    </w:p>
    <w:p>
      <w:pPr>
        <w:ind w:left="360" w:right="499"/>
        <w:spacing w:after="0" w:line="294" w:lineRule="auto"/>
        <w:rPr>
          <w:sz w:val="20"/>
          <w:szCs w:val="20"/>
          <w:color w:val="auto"/>
        </w:rPr>
      </w:pPr>
      <w:r>
        <w:rPr>
          <w:rFonts w:ascii="Arial" w:cs="Arial" w:eastAsia="Arial" w:hAnsi="Arial"/>
          <w:sz w:val="12"/>
          <w:szCs w:val="12"/>
          <w:color w:val="auto"/>
        </w:rPr>
        <w:t>3.1 Subject to the prior rights of holders of all classes and series of stock at the time outstanding having prior rights as to dividends and subject to Section 3.2,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class or series is approved by the affirmative vote of the holders of a majority of the voting power of the outstanding shares of such applicable class or series of Common Stock treated adversely, voting separately as a class.</w:t>
      </w:r>
    </w:p>
    <w:p>
      <w:pPr>
        <w:spacing w:after="0" w:line="122" w:lineRule="exact"/>
        <w:rPr>
          <w:sz w:val="20"/>
          <w:szCs w:val="20"/>
          <w:color w:val="auto"/>
        </w:rPr>
      </w:pPr>
    </w:p>
    <w:p>
      <w:pPr>
        <w:ind w:left="360" w:right="379"/>
        <w:spacing w:after="0" w:line="286" w:lineRule="auto"/>
        <w:rPr>
          <w:sz w:val="20"/>
          <w:szCs w:val="20"/>
          <w:color w:val="auto"/>
        </w:rPr>
      </w:pPr>
      <w:r>
        <w:rPr>
          <w:rFonts w:ascii="Arial" w:cs="Arial" w:eastAsia="Arial" w:hAnsi="Arial"/>
          <w:sz w:val="12"/>
          <w:szCs w:val="12"/>
          <w:color w:val="auto"/>
        </w:rPr>
        <w:t xml:space="preserve">3.2 The Corporation shall not declare or pay any dividend or make any other distribution to any holders of Common Stock payable in securities of the Corporation unless the same dividend or distribution with the same record date and payment date shall be declared and paid on all shares of Common Stock, unless different treatment of the shares of Class A Common Stock or Class B Common Stock is approved by the affirmative vote of the holders of a majority of the outstanding shares of Class A Common Stock and Class B Common Stock, each voting separately as a class;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w:t>
      </w:r>
    </w:p>
    <w:p>
      <w:pPr>
        <w:spacing w:after="0" w:line="2" w:lineRule="exact"/>
        <w:rPr>
          <w:sz w:val="20"/>
          <w:szCs w:val="20"/>
          <w:color w:val="auto"/>
        </w:rPr>
      </w:pPr>
    </w:p>
    <w:p>
      <w:pPr>
        <w:ind w:left="360" w:right="439" w:firstLine="3"/>
        <w:spacing w:after="0" w:line="287" w:lineRule="auto"/>
        <w:tabs>
          <w:tab w:leader="none" w:pos="522" w:val="left"/>
        </w:tabs>
        <w:numPr>
          <w:ilvl w:val="0"/>
          <w:numId w:val="23"/>
        </w:numPr>
        <w:rPr>
          <w:rFonts w:ascii="Arial" w:cs="Arial" w:eastAsia="Arial" w:hAnsi="Arial"/>
          <w:sz w:val="12"/>
          <w:szCs w:val="12"/>
          <w:color w:val="auto"/>
        </w:rPr>
      </w:pPr>
      <w:r>
        <w:rPr>
          <w:rFonts w:ascii="Arial" w:cs="Arial" w:eastAsia="Arial" w:hAnsi="Arial"/>
          <w:sz w:val="12"/>
          <w:szCs w:val="12"/>
          <w:color w:val="auto"/>
        </w:rPr>
        <w:t xml:space="preserve">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is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is declared and paid to the holders of Class A Common Stock at the same rate and with the same record date and payment date; and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126" w:lineRule="exact"/>
        <w:rPr>
          <w:sz w:val="20"/>
          <w:szCs w:val="20"/>
          <w:color w:val="auto"/>
        </w:rPr>
      </w:pPr>
    </w:p>
    <w:p>
      <w:pPr>
        <w:ind w:left="360" w:right="459"/>
        <w:spacing w:after="0" w:line="302" w:lineRule="auto"/>
        <w:rPr>
          <w:sz w:val="20"/>
          <w:szCs w:val="20"/>
          <w:color w:val="auto"/>
        </w:rPr>
      </w:pPr>
      <w:r>
        <w:rPr>
          <w:rFonts w:ascii="Arial" w:cs="Arial" w:eastAsia="Arial" w:hAnsi="Arial"/>
          <w:sz w:val="12"/>
          <w:szCs w:val="12"/>
          <w:color w:val="auto"/>
        </w:rPr>
        <w:t>3.3 If the Corporation in any manner subdivides or combines the outstanding shares of Class A Common Stock or Class B Common Stock, then the outstanding shares of all Common Stock will be subdivided or combined in the same proportion and manner, unless different treatment of the shares of Class A Common Stock or Class B Common Stock is approved by the affirmative vote of the holders of a majority of the outstanding shares of Class A Common Stock and Class B Common Stock, each voting separately as a class.</w:t>
      </w:r>
    </w:p>
    <w:p>
      <w:pPr>
        <w:spacing w:after="0" w:line="117" w:lineRule="exact"/>
        <w:rPr>
          <w:sz w:val="20"/>
          <w:szCs w:val="20"/>
          <w:color w:val="auto"/>
        </w:rPr>
      </w:pPr>
    </w:p>
    <w:p>
      <w:pPr>
        <w:ind w:left="500" w:hanging="137"/>
        <w:spacing w:after="0"/>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Voting Rights.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Common Stock</w:t>
      </w:r>
      <w:r>
        <w:rPr>
          <w:rFonts w:ascii="Arial" w:cs="Arial" w:eastAsia="Arial" w:hAnsi="Arial"/>
          <w:sz w:val="14"/>
          <w:szCs w:val="14"/>
          <w:color w:val="auto"/>
        </w:rPr>
        <w:t>.</w:t>
      </w:r>
    </w:p>
    <w:p>
      <w:pPr>
        <w:spacing w:after="0" w:line="83" w:lineRule="exact"/>
        <w:rPr>
          <w:sz w:val="20"/>
          <w:szCs w:val="20"/>
          <w:color w:val="auto"/>
        </w:rPr>
      </w:pPr>
    </w:p>
    <w:p>
      <w:pPr>
        <w:ind w:left="360" w:right="539" w:firstLine="3"/>
        <w:spacing w:after="0" w:line="259" w:lineRule="auto"/>
        <w:tabs>
          <w:tab w:leader="none" w:pos="544"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Class A Common Stock</w:t>
      </w:r>
      <w:r>
        <w:rPr>
          <w:rFonts w:ascii="Arial" w:cs="Arial" w:eastAsia="Arial" w:hAnsi="Arial"/>
          <w:sz w:val="14"/>
          <w:szCs w:val="14"/>
          <w:color w:val="auto"/>
        </w:rPr>
        <w:t>. Each holder of shares of Class A Common Stock will be entitled to one vote for each share thereof held at the record date for the determination of the stockholders entitled to vote on such matters.</w:t>
      </w:r>
    </w:p>
    <w:p>
      <w:pPr>
        <w:spacing w:after="0" w:line="58" w:lineRule="exact"/>
        <w:rPr>
          <w:rFonts w:ascii="Arial" w:cs="Arial" w:eastAsia="Arial" w:hAnsi="Arial"/>
          <w:sz w:val="14"/>
          <w:szCs w:val="14"/>
          <w:color w:val="auto"/>
        </w:rPr>
      </w:pPr>
    </w:p>
    <w:p>
      <w:pPr>
        <w:ind w:left="360" w:right="499" w:firstLine="3"/>
        <w:spacing w:after="0" w:line="259" w:lineRule="auto"/>
        <w:tabs>
          <w:tab w:leader="none" w:pos="551"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Class B Common Stock</w:t>
      </w:r>
      <w:r>
        <w:rPr>
          <w:rFonts w:ascii="Arial" w:cs="Arial" w:eastAsia="Arial" w:hAnsi="Arial"/>
          <w:sz w:val="14"/>
          <w:szCs w:val="14"/>
          <w:color w:val="auto"/>
        </w:rPr>
        <w:t>. Each holder of shares of Class B Common Stock will be entitled to ten votes for each share thereof held at the record date for the determination of the stockholders entitled to vote on such matters.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30" w:name="page31"/>
    <w:bookmarkEnd w:id="30"/>
    <w:p>
      <w:pPr>
        <w:ind w:left="360" w:right="57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4.2 </w:t>
      </w:r>
      <w:r>
        <w:rPr>
          <w:rFonts w:ascii="Arial" w:cs="Arial" w:eastAsia="Arial" w:hAnsi="Arial"/>
          <w:sz w:val="14"/>
          <w:szCs w:val="14"/>
          <w:u w:val="single" w:color="auto"/>
          <w:color w:val="auto"/>
        </w:rPr>
        <w:t>General</w:t>
      </w:r>
      <w:r>
        <w:rPr>
          <w:rFonts w:ascii="Arial" w:cs="Arial" w:eastAsia="Arial" w:hAnsi="Arial"/>
          <w:sz w:val="14"/>
          <w:szCs w:val="14"/>
          <w:color w:val="auto"/>
        </w:rPr>
        <w:t>. Except as otherwise expressly provided herein or as required by law, the holders of Class A Common Stock and Class B Common Stock will vote together as a single class and not as separate series or classes.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Authorized Shares</w:t>
      </w:r>
      <w:r>
        <w:rPr>
          <w:rFonts w:ascii="Arial" w:cs="Arial" w:eastAsia="Arial" w:hAnsi="Arial"/>
          <w:sz w:val="12"/>
          <w:szCs w:val="12"/>
          <w:color w:val="auto"/>
        </w:rPr>
        <w:t>. The number of authorized shares of Common Stock or any class or series thereof may be increased or decreased (but not below</w:t>
      </w:r>
    </w:p>
    <w:p>
      <w:pPr>
        <w:spacing w:after="0" w:line="35" w:lineRule="exact"/>
        <w:rPr>
          <w:sz w:val="20"/>
          <w:szCs w:val="20"/>
          <w:color w:val="auto"/>
        </w:rPr>
      </w:pPr>
    </w:p>
    <w:p>
      <w:pPr>
        <w:ind w:left="360" w:right="439" w:firstLine="3"/>
        <w:spacing w:after="0" w:line="290" w:lineRule="auto"/>
        <w:tabs>
          <w:tab w:leader="none" w:pos="522" w:val="left"/>
        </w:tabs>
        <w:numPr>
          <w:ilvl w:val="0"/>
          <w:numId w:val="26"/>
        </w:numPr>
        <w:rPr>
          <w:rFonts w:ascii="Arial" w:cs="Arial" w:eastAsia="Arial" w:hAnsi="Arial"/>
          <w:sz w:val="12"/>
          <w:szCs w:val="12"/>
          <w:color w:val="auto"/>
        </w:rPr>
      </w:pPr>
      <w:r>
        <w:rPr>
          <w:rFonts w:ascii="Arial" w:cs="Arial" w:eastAsia="Arial" w:hAnsi="Arial"/>
          <w:sz w:val="12"/>
          <w:szCs w:val="12"/>
          <w:color w:val="auto"/>
        </w:rPr>
        <w:t xml:space="preserve">the number of shares of Common Stock or, in the case of a class or series of Common Stock, such class or series, then outstanding plus (ii) with respect to Class A Common Stock, the number of shares reserved for issuance pursuant to Article V, Section 9) by the affirmative vote of the holders of a majority of the voting power of the Class A Common Stock and Class B Common Stock, voting together as a single class, irrespective of the provisions of Section 242(b)(2) of the Delaware General Corporation Law;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number of authorized shares of Class B Common Stock shall not be increased or decreased without the affirmative vote of the holders of a majority of the outstanding shares of Class B Common Stock, voting as a separate class.</w:t>
      </w:r>
    </w:p>
    <w:p>
      <w:pPr>
        <w:spacing w:after="0" w:line="126" w:lineRule="exact"/>
        <w:rPr>
          <w:sz w:val="20"/>
          <w:szCs w:val="20"/>
          <w:color w:val="auto"/>
        </w:rPr>
      </w:pPr>
    </w:p>
    <w:p>
      <w:pPr>
        <w:ind w:left="360" w:right="479"/>
        <w:spacing w:after="0" w:line="288"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Election of Directors</w:t>
      </w:r>
      <w:r>
        <w:rPr>
          <w:rFonts w:ascii="Arial" w:cs="Arial" w:eastAsia="Arial" w:hAnsi="Arial"/>
          <w:sz w:val="12"/>
          <w:szCs w:val="12"/>
          <w:color w:val="auto"/>
        </w:rPr>
        <w:t>. Subject to any rights of the holders of any series of Preferred Stock to elect directors under circumstances specified in this Amended and Restated Certificate (as modified by any Preferred Stock Designation), (i) prior to the Final Conversion Date, the holders of Class A Common Stock and Class B Common Stock, voting together as a single class, shall be entitled to elect and remove all directors of the Corporation, and</w:t>
      </w:r>
    </w:p>
    <w:p>
      <w:pPr>
        <w:spacing w:after="0" w:line="1" w:lineRule="exact"/>
        <w:rPr>
          <w:sz w:val="20"/>
          <w:szCs w:val="20"/>
          <w:color w:val="auto"/>
        </w:rPr>
      </w:pPr>
    </w:p>
    <w:p>
      <w:pPr>
        <w:ind w:left="360" w:right="799" w:firstLine="3"/>
        <w:spacing w:after="0" w:line="244" w:lineRule="auto"/>
        <w:tabs>
          <w:tab w:leader="none" w:pos="559" w:val="left"/>
        </w:tabs>
        <w:numPr>
          <w:ilvl w:val="0"/>
          <w:numId w:val="27"/>
        </w:numPr>
        <w:rPr>
          <w:rFonts w:ascii="Arial" w:cs="Arial" w:eastAsia="Arial" w:hAnsi="Arial"/>
          <w:sz w:val="14"/>
          <w:szCs w:val="14"/>
          <w:color w:val="auto"/>
        </w:rPr>
      </w:pPr>
      <w:r>
        <w:rPr>
          <w:rFonts w:ascii="Arial" w:cs="Arial" w:eastAsia="Arial" w:hAnsi="Arial"/>
          <w:sz w:val="14"/>
          <w:szCs w:val="14"/>
          <w:color w:val="auto"/>
        </w:rPr>
        <w:t>from and after the Final Conversion Date, if any, the holders of Common Stock, voting together as a single class, shall be entitled to elect and remove all directors of the Corporation.</w:t>
      </w:r>
    </w:p>
    <w:p>
      <w:pPr>
        <w:spacing w:after="0" w:line="150" w:lineRule="exact"/>
        <w:rPr>
          <w:sz w:val="20"/>
          <w:szCs w:val="20"/>
          <w:color w:val="auto"/>
        </w:rPr>
      </w:pPr>
    </w:p>
    <w:p>
      <w:pPr>
        <w:ind w:left="360" w:right="399" w:firstLine="3"/>
        <w:spacing w:after="0" w:line="288" w:lineRule="auto"/>
        <w:tabs>
          <w:tab w:leader="none" w:pos="495" w:val="left"/>
        </w:tabs>
        <w:numPr>
          <w:ilvl w:val="0"/>
          <w:numId w:val="28"/>
        </w:numPr>
        <w:rPr>
          <w:rFonts w:ascii="Arial" w:cs="Arial" w:eastAsia="Arial" w:hAnsi="Arial"/>
          <w:sz w:val="12"/>
          <w:szCs w:val="12"/>
          <w:color w:val="auto"/>
        </w:rPr>
      </w:pPr>
      <w:r>
        <w:rPr>
          <w:rFonts w:ascii="Arial" w:cs="Arial" w:eastAsia="Arial" w:hAnsi="Arial"/>
          <w:sz w:val="12"/>
          <w:szCs w:val="12"/>
          <w:u w:val="single" w:color="auto"/>
          <w:color w:val="auto"/>
        </w:rPr>
        <w:t>Liquidation Rights</w:t>
      </w:r>
      <w:r>
        <w:rPr>
          <w:rFonts w:ascii="Arial" w:cs="Arial" w:eastAsia="Arial" w:hAnsi="Arial"/>
          <w:sz w:val="12"/>
          <w:szCs w:val="12"/>
          <w:color w:val="auto"/>
        </w:rPr>
        <w:t xml:space="preserve">. In the event of a Liquidation Event in connection with which the Board has determined to effect a distribution of assets of the Corporation to any holder or holders of Common Stock, then, subject to the rights of any Preferred Stock that may then be outstanding, the assets of the Corporation legally available for distribution to stockholders shall be distributed on an equal priority, pro rata basis (based on the number of shares of Common Stock held by each) to the holders of Common Stock, unless different treatment of the shares of each such class or series of Common Stock is approved by the affirmative vote of the holders of a majority of the outstanding shares of Class A Common Stock and Class B Common Stock, each voting separately as a class;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for the avoidance of doubt, payments to be made or received by a holder of Common Stock in connection with any such Liquidation Event pursuant to any employment, consulting, severance or similar services arrangement shall not be deemed to be a distribution for the purpose of this Article V, Section 5;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 however</w:t>
      </w:r>
      <w:r>
        <w:rPr>
          <w:rFonts w:ascii="Arial" w:cs="Arial" w:eastAsia="Arial" w:hAnsi="Arial"/>
          <w:sz w:val="12"/>
          <w:szCs w:val="12"/>
          <w:color w:val="auto"/>
        </w:rPr>
        <w:t>, that shares of such classes may receive, or have the right to elect to receive, different or disproportionate consideration in connection with such Liquidation Event if the only difference in the per share consideration to the holders of the Class A Common Stock and Class B Common Stock is that any securities distributed to the holder of a share of Class B Common Stock have ten (10) times the voting power of any securities distributed to the holder of a share of Class A Common Stock.</w:t>
      </w:r>
    </w:p>
    <w:p>
      <w:pPr>
        <w:spacing w:after="0" w:line="127" w:lineRule="exact"/>
        <w:rPr>
          <w:rFonts w:ascii="Arial" w:cs="Arial" w:eastAsia="Arial" w:hAnsi="Arial"/>
          <w:sz w:val="12"/>
          <w:szCs w:val="12"/>
          <w:color w:val="auto"/>
        </w:rPr>
      </w:pPr>
    </w:p>
    <w:p>
      <w:pPr>
        <w:ind w:left="500" w:hanging="137"/>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u w:val="single" w:color="auto"/>
          <w:color w:val="auto"/>
        </w:rPr>
        <w:t>Conversion of the Class B Common Stock</w:t>
      </w:r>
      <w:r>
        <w:rPr>
          <w:rFonts w:ascii="Arial" w:cs="Arial" w:eastAsia="Arial" w:hAnsi="Arial"/>
          <w:sz w:val="14"/>
          <w:szCs w:val="14"/>
          <w:color w:val="auto"/>
        </w:rPr>
        <w:t>. The Class B Common Stock will be convertible into Class A Common Stock as follows:</w:t>
      </w:r>
    </w:p>
    <w:p>
      <w:pPr>
        <w:spacing w:after="0" w:line="164" w:lineRule="exact"/>
        <w:rPr>
          <w:sz w:val="20"/>
          <w:szCs w:val="20"/>
          <w:color w:val="auto"/>
        </w:rPr>
      </w:pPr>
    </w:p>
    <w:p>
      <w:pPr>
        <w:jc w:val="both"/>
        <w:ind w:left="360" w:right="419"/>
        <w:spacing w:after="0" w:line="250" w:lineRule="auto"/>
        <w:rPr>
          <w:sz w:val="20"/>
          <w:szCs w:val="20"/>
          <w:color w:val="auto"/>
        </w:rPr>
      </w:pPr>
      <w:r>
        <w:rPr>
          <w:rFonts w:ascii="Arial" w:cs="Arial" w:eastAsia="Arial" w:hAnsi="Arial"/>
          <w:sz w:val="14"/>
          <w:szCs w:val="14"/>
          <w:color w:val="auto"/>
        </w:rPr>
        <w:t>6.1 Each outstanding share of Class B Common Stock will automatically convert into one fully paid and nonassessable share of Class A Common Stock (as equitably adjusted for any stock dividend, stock split, combination of shares, reorganization, recapitalization, reclassification or other similar event) on the Final Conversion Date.</w:t>
      </w:r>
    </w:p>
    <w:p>
      <w:pPr>
        <w:spacing w:after="0" w:line="146" w:lineRule="exact"/>
        <w:rPr>
          <w:sz w:val="20"/>
          <w:szCs w:val="20"/>
          <w:color w:val="auto"/>
        </w:rPr>
      </w:pPr>
    </w:p>
    <w:p>
      <w:pPr>
        <w:jc w:val="both"/>
        <w:ind w:left="360" w:right="459"/>
        <w:spacing w:after="0" w:line="312" w:lineRule="auto"/>
        <w:rPr>
          <w:sz w:val="20"/>
          <w:szCs w:val="20"/>
          <w:color w:val="auto"/>
        </w:rPr>
      </w:pPr>
      <w:r>
        <w:rPr>
          <w:rFonts w:ascii="Arial" w:cs="Arial" w:eastAsia="Arial" w:hAnsi="Arial"/>
          <w:sz w:val="12"/>
          <w:szCs w:val="12"/>
          <w:color w:val="auto"/>
        </w:rPr>
        <w:t>6.2 With respect to any holder of Class B Common Stock, each outstanding share of Class B Common Stock held by such holder will automatically be converted into one fully paid and nonassessable share of Class A Common Stock (as equitably adjusted for any stock dividend, stock split, combination of shares, reorganization, recapitalization, reclassification or other similar event), as follows:</w:t>
      </w:r>
    </w:p>
    <w:p>
      <w:pPr>
        <w:spacing w:after="0" w:line="30" w:lineRule="exact"/>
        <w:rPr>
          <w:sz w:val="20"/>
          <w:szCs w:val="20"/>
          <w:color w:val="auto"/>
        </w:rPr>
      </w:pPr>
    </w:p>
    <w:p>
      <w:pPr>
        <w:ind w:left="360" w:right="559" w:firstLine="3"/>
        <w:spacing w:after="0" w:line="342" w:lineRule="auto"/>
        <w:tabs>
          <w:tab w:leader="none" w:pos="544" w:val="left"/>
        </w:tabs>
        <w:numPr>
          <w:ilvl w:val="0"/>
          <w:numId w:val="29"/>
        </w:numPr>
        <w:rPr>
          <w:rFonts w:ascii="Arial" w:cs="Arial" w:eastAsia="Arial" w:hAnsi="Arial"/>
          <w:sz w:val="12"/>
          <w:szCs w:val="12"/>
          <w:color w:val="auto"/>
        </w:rPr>
      </w:pPr>
      <w:r>
        <w:rPr>
          <w:rFonts w:ascii="Arial" w:cs="Arial" w:eastAsia="Arial" w:hAnsi="Arial"/>
          <w:sz w:val="12"/>
          <w:szCs w:val="12"/>
          <w:color w:val="auto"/>
        </w:rPr>
        <w:t>at the option of the holder thereof at any time upon written notice to the transfer agent of the Corporation or, if such written notice specifies a later time or the occurrence of a future event for such conversion, upon such time or the occurrence of such event;</w:t>
      </w:r>
    </w:p>
    <w:p>
      <w:pPr>
        <w:spacing w:after="0" w:line="12" w:lineRule="exact"/>
        <w:rPr>
          <w:rFonts w:ascii="Arial" w:cs="Arial" w:eastAsia="Arial" w:hAnsi="Arial"/>
          <w:sz w:val="12"/>
          <w:szCs w:val="12"/>
          <w:color w:val="auto"/>
        </w:rPr>
      </w:pPr>
    </w:p>
    <w:p>
      <w:pPr>
        <w:ind w:left="560" w:hanging="197"/>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 the occurrence of any Transfer of such share of Class B Common Stock that is not a Permitted Transfer;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31" w:name="page32"/>
    <w:bookmarkEnd w:id="31"/>
    <w:p>
      <w:pPr>
        <w:ind w:left="360" w:right="379" w:firstLine="3"/>
        <w:spacing w:after="0" w:line="289" w:lineRule="auto"/>
        <w:tabs>
          <w:tab w:leader="none" w:pos="544" w:val="left"/>
        </w:tabs>
        <w:numPr>
          <w:ilvl w:val="0"/>
          <w:numId w:val="30"/>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upon the death of such Class B Stockholder, or solely with respect to each share of Class B Common Stock held of record by an Excluded Party, or by an Excluded Party’s Permitted Entities, upon the death or Disability of such Excluded 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with respect to the shares of Class B Common Stock held of record by such Excluded Party or such Excluded Party’s Permitted Entities, each share of Class B Common Stock held of record by an Excluded Party or an Excluded Party’s Permitted Entities shall automatically convert into one (1) fully paid and nonassessable share of Class A Common Stock (as equitably adjusted for any stock dividend, stock split, combination of shares, reorganization, recapitalization, reclassification or other similar event), if (i) the applicable Excluded Party has designated an Excluded Party Trustee, upon that date which is the earlier of: (A) nine (9) months after the date of death or Disability of such Excluded Party, and (B) the date upon which such Excluded Party Trustee ceases to hold exclusive Voting Control over such shares of Class B Common Stock; and (ii) the applicable Excluded Party has not designated an Excluded Party Trustee, the death or Disability of such Excluded Party.</w:t>
      </w:r>
    </w:p>
    <w:p>
      <w:pPr>
        <w:spacing w:after="0" w:line="128" w:lineRule="exact"/>
        <w:rPr>
          <w:sz w:val="20"/>
          <w:szCs w:val="20"/>
          <w:color w:val="auto"/>
        </w:rPr>
      </w:pPr>
    </w:p>
    <w:p>
      <w:pPr>
        <w:ind w:left="360" w:right="399" w:firstLine="3"/>
        <w:spacing w:after="0" w:line="292" w:lineRule="auto"/>
        <w:tabs>
          <w:tab w:leader="none" w:pos="495"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Procedures</w:t>
      </w:r>
      <w:r>
        <w:rPr>
          <w:rFonts w:ascii="Arial" w:cs="Arial" w:eastAsia="Arial" w:hAnsi="Arial"/>
          <w:sz w:val="12"/>
          <w:szCs w:val="12"/>
          <w:color w:val="auto"/>
        </w:rPr>
        <w:t>. The Corporation may, from time to time, establish such policies and procedures relating to the conversion of the Class B Common Stock into Class A Common Stock and the general administration of this dual-class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or as to whether or not another conversion contemplated in the foregoing Section 6 of this Article V has occurred, shall be conclusive and binding.</w:t>
      </w:r>
    </w:p>
    <w:p>
      <w:pPr>
        <w:spacing w:after="0" w:line="123" w:lineRule="exact"/>
        <w:rPr>
          <w:rFonts w:ascii="Arial" w:cs="Arial" w:eastAsia="Arial" w:hAnsi="Arial"/>
          <w:sz w:val="12"/>
          <w:szCs w:val="12"/>
          <w:color w:val="auto"/>
        </w:rPr>
      </w:pPr>
    </w:p>
    <w:p>
      <w:pPr>
        <w:ind w:left="360" w:right="379" w:firstLine="3"/>
        <w:spacing w:after="0" w:line="289" w:lineRule="auto"/>
        <w:tabs>
          <w:tab w:leader="none" w:pos="495"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Effect of Conversion</w:t>
      </w:r>
      <w:r>
        <w:rPr>
          <w:rFonts w:ascii="Arial" w:cs="Arial" w:eastAsia="Arial" w:hAnsi="Arial"/>
          <w:sz w:val="12"/>
          <w:szCs w:val="12"/>
          <w:color w:val="auto"/>
        </w:rPr>
        <w:t>. In the event of a conversion of shares of Class B Common Stock into shares of Class A Common Stock pursuant to Article V, Section 6, such conversion shall be deemed to have been made at (a) the open of business on the Final Conversion Date, in the case of Article V, Section 6.1; (b) the time that the Corporation’s transfer agent receives the written notice required pursuant to Article V, Section 6.2(a) (or a later date specified by such notice), (c) the time of the Transfer in the case of Article V, Section 6.2(b), or (d) the time that the death or Disability of the Class B Stockholder occurred or as otherwise provided in Article V, Section 6.2(c), as applicable. Upon any conversion of Class B Common Stock to Class A Common Stock, all rights of the holder of such shares of Class B Common Stock shall cease and the person or persons in whose name or names the certificate or certificates representing the shares of Class B Common Stock are to be issued, if any, shall be treated for all purposes as having become the record holder or holders of such number of shares of Class A Common Stock into which such Class B Common Stock were convertible. Shares of Class B Common Stock that are converted into shares of Class A Common Stock as provided in Article V, Section 6 shall be retired and shall not be reissued.</w:t>
      </w:r>
    </w:p>
    <w:p>
      <w:pPr>
        <w:spacing w:after="0" w:line="290" w:lineRule="exact"/>
        <w:rPr>
          <w:rFonts w:ascii="Arial" w:cs="Arial" w:eastAsia="Arial" w:hAnsi="Arial"/>
          <w:sz w:val="12"/>
          <w:szCs w:val="12"/>
          <w:color w:val="auto"/>
        </w:rPr>
      </w:pPr>
    </w:p>
    <w:p>
      <w:pPr>
        <w:ind w:left="360" w:right="419" w:firstLine="3"/>
        <w:spacing w:after="0" w:line="294" w:lineRule="auto"/>
        <w:tabs>
          <w:tab w:leader="none" w:pos="495"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Reservation of Stock Issuable Upon Conversion</w:t>
      </w:r>
      <w:r>
        <w:rPr>
          <w:rFonts w:ascii="Arial" w:cs="Arial" w:eastAsia="Arial" w:hAnsi="Arial"/>
          <w:sz w:val="12"/>
          <w:szCs w:val="12"/>
          <w:color w:val="auto"/>
        </w:rPr>
        <w:t>. The Corporation will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into such number of shares as will be sufficient for such purpose.</w:t>
      </w:r>
    </w:p>
    <w:p>
      <w:pPr>
        <w:spacing w:after="0" w:line="122" w:lineRule="exact"/>
        <w:rPr>
          <w:rFonts w:ascii="Arial" w:cs="Arial" w:eastAsia="Arial" w:hAnsi="Arial"/>
          <w:sz w:val="12"/>
          <w:szCs w:val="12"/>
          <w:color w:val="auto"/>
        </w:rPr>
      </w:pPr>
    </w:p>
    <w:p>
      <w:pPr>
        <w:jc w:val="both"/>
        <w:ind w:left="360" w:right="479" w:firstLine="3"/>
        <w:spacing w:after="0" w:line="342" w:lineRule="auto"/>
        <w:tabs>
          <w:tab w:leader="none" w:pos="563" w:val="left"/>
        </w:tabs>
        <w:numPr>
          <w:ilvl w:val="0"/>
          <w:numId w:val="31"/>
        </w:numPr>
        <w:rPr>
          <w:rFonts w:ascii="Arial" w:cs="Arial" w:eastAsia="Arial" w:hAnsi="Arial"/>
          <w:sz w:val="12"/>
          <w:szCs w:val="12"/>
          <w:color w:val="auto"/>
        </w:rPr>
      </w:pPr>
      <w:r>
        <w:rPr>
          <w:rFonts w:ascii="Arial" w:cs="Arial" w:eastAsia="Arial" w:hAnsi="Arial"/>
          <w:sz w:val="12"/>
          <w:szCs w:val="12"/>
          <w:u w:val="single" w:color="auto"/>
          <w:color w:val="auto"/>
        </w:rPr>
        <w:t>Preemptive Rights</w:t>
      </w:r>
      <w:r>
        <w:rPr>
          <w:rFonts w:ascii="Arial" w:cs="Arial" w:eastAsia="Arial" w:hAnsi="Arial"/>
          <w:sz w:val="12"/>
          <w:szCs w:val="12"/>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166" w:lineRule="exact"/>
        <w:rPr>
          <w:sz w:val="20"/>
          <w:szCs w:val="20"/>
          <w:color w:val="auto"/>
        </w:rPr>
      </w:pPr>
    </w:p>
    <w:p>
      <w:pPr>
        <w:ind w:left="360" w:right="459" w:firstLine="3"/>
        <w:spacing w:after="0" w:line="259" w:lineRule="auto"/>
        <w:tabs>
          <w:tab w:leader="none" w:pos="495" w:val="left"/>
        </w:tabs>
        <w:numPr>
          <w:ilvl w:val="0"/>
          <w:numId w:val="32"/>
        </w:numPr>
        <w:rPr>
          <w:rFonts w:ascii="Arial" w:cs="Arial" w:eastAsia="Arial" w:hAnsi="Arial"/>
          <w:sz w:val="14"/>
          <w:szCs w:val="14"/>
          <w:color w:val="auto"/>
        </w:rPr>
      </w:pPr>
      <w:r>
        <w:rPr>
          <w:rFonts w:ascii="Arial" w:cs="Arial" w:eastAsia="Arial" w:hAnsi="Arial"/>
          <w:sz w:val="14"/>
          <w:szCs w:val="14"/>
          <w:u w:val="single" w:color="auto"/>
          <w:color w:val="auto"/>
        </w:rPr>
        <w:t>Rights of Preferred Stock</w:t>
      </w:r>
      <w:r>
        <w:rPr>
          <w:rFonts w:ascii="Arial" w:cs="Arial" w:eastAsia="Arial" w:hAnsi="Arial"/>
          <w:sz w:val="14"/>
          <w:szCs w:val="14"/>
          <w:color w:val="auto"/>
        </w:rPr>
        <w:t>. The Board is authorized, subject to any limitations prescribed by law or in any Preferred Stock Designation, to provide for the issuance of shares of Preferred Stock in series, and by filing 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32" w:name="page33"/>
    <w:bookmarkEnd w:id="32"/>
    <w:p>
      <w:pPr>
        <w:ind w:left="360" w:right="45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certificate pursuant to the applicable law of the State of Delaware (such certificate being hereinafter referred to as a “</w:t>
      </w:r>
      <w:r>
        <w:rPr>
          <w:rFonts w:ascii="Arial" w:cs="Arial" w:eastAsia="Arial" w:hAnsi="Arial"/>
          <w:sz w:val="12"/>
          <w:szCs w:val="12"/>
          <w:b w:val="1"/>
          <w:bCs w:val="1"/>
          <w:i w:val="1"/>
          <w:iCs w:val="1"/>
          <w:color w:val="auto"/>
        </w:rPr>
        <w:t>Preferred Stock Designation</w:t>
      </w:r>
      <w:r>
        <w:rPr>
          <w:rFonts w:ascii="Arial" w:cs="Arial" w:eastAsia="Arial" w:hAnsi="Arial"/>
          <w:sz w:val="12"/>
          <w:szCs w:val="12"/>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111" w:lineRule="exact"/>
        <w:rPr>
          <w:sz w:val="20"/>
          <w:szCs w:val="20"/>
          <w:color w:val="auto"/>
        </w:rPr>
      </w:pPr>
    </w:p>
    <w:p>
      <w:pPr>
        <w:ind w:left="360" w:right="399" w:firstLine="3"/>
        <w:spacing w:after="0" w:line="246" w:lineRule="auto"/>
        <w:tabs>
          <w:tab w:leader="none" w:pos="495"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Vote to Increase or Decrease Authorized Shares</w:t>
      </w:r>
      <w:r>
        <w:rPr>
          <w:rFonts w:ascii="Arial" w:cs="Arial" w:eastAsia="Arial" w:hAnsi="Arial"/>
          <w:sz w:val="14"/>
          <w:szCs w:val="14"/>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w:t>
      </w:r>
    </w:p>
    <w:p>
      <w:pPr>
        <w:spacing w:after="0" w:line="166" w:lineRule="exact"/>
        <w:rPr>
          <w:sz w:val="20"/>
          <w:szCs w:val="20"/>
          <w:color w:val="auto"/>
        </w:rPr>
      </w:pPr>
    </w:p>
    <w:p>
      <w:pPr>
        <w:ind w:left="500" w:hanging="137"/>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Number of Directors; Election; Term</w:t>
      </w:r>
      <w:r>
        <w:rPr>
          <w:rFonts w:ascii="Arial" w:cs="Arial" w:eastAsia="Arial" w:hAnsi="Arial"/>
          <w:sz w:val="14"/>
          <w:szCs w:val="14"/>
          <w:color w:val="auto"/>
        </w:rPr>
        <w:t>.</w:t>
      </w:r>
    </w:p>
    <w:p>
      <w:pPr>
        <w:spacing w:after="0" w:line="83" w:lineRule="exact"/>
        <w:rPr>
          <w:sz w:val="20"/>
          <w:szCs w:val="20"/>
          <w:color w:val="auto"/>
        </w:rPr>
      </w:pPr>
    </w:p>
    <w:p>
      <w:pPr>
        <w:ind w:left="360" w:right="539" w:firstLine="3"/>
        <w:spacing w:after="0" w:line="259" w:lineRule="auto"/>
        <w:tabs>
          <w:tab w:leader="none" w:pos="544"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Subject to the rights of holders of any series of Preferred Stock with respect to the election of directors, the number of directors that constitutes the entire Board of the Corporation shall be fixed solely by resolution of the Board.</w:t>
      </w:r>
    </w:p>
    <w:p>
      <w:pPr>
        <w:spacing w:after="0" w:line="58" w:lineRule="exact"/>
        <w:rPr>
          <w:rFonts w:ascii="Arial" w:cs="Arial" w:eastAsia="Arial" w:hAnsi="Arial"/>
          <w:sz w:val="14"/>
          <w:szCs w:val="14"/>
          <w:color w:val="auto"/>
        </w:rPr>
      </w:pPr>
    </w:p>
    <w:p>
      <w:pPr>
        <w:ind w:left="560" w:hanging="197"/>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Each director shall be elected to hold office for a one-year term expiring at the next annual meeting of stockholders.</w:t>
      </w:r>
    </w:p>
    <w:p>
      <w:pPr>
        <w:spacing w:after="0" w:line="82" w:lineRule="exact"/>
        <w:rPr>
          <w:rFonts w:ascii="Arial" w:cs="Arial" w:eastAsia="Arial" w:hAnsi="Arial"/>
          <w:sz w:val="14"/>
          <w:szCs w:val="14"/>
          <w:color w:val="auto"/>
        </w:rPr>
      </w:pPr>
    </w:p>
    <w:p>
      <w:pPr>
        <w:ind w:left="360" w:right="679" w:firstLine="3"/>
        <w:spacing w:after="0" w:line="250" w:lineRule="auto"/>
        <w:tabs>
          <w:tab w:leader="none" w:pos="544"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Notwithstanding the foregoing provisions of this Article VII, Section 1, and subject to the rights of holders of any series of Preferred Stock with respect to the election of directors, each director shall serve until his or her successor is duly elected and qualified or until his or her earlier death, resignation, or removal.</w:t>
      </w:r>
    </w:p>
    <w:p>
      <w:pPr>
        <w:spacing w:after="0" w:line="65" w:lineRule="exact"/>
        <w:rPr>
          <w:rFonts w:ascii="Arial" w:cs="Arial" w:eastAsia="Arial" w:hAnsi="Arial"/>
          <w:sz w:val="14"/>
          <w:szCs w:val="14"/>
          <w:color w:val="auto"/>
        </w:rPr>
      </w:pPr>
    </w:p>
    <w:p>
      <w:pPr>
        <w:ind w:left="360" w:right="419" w:firstLine="3"/>
        <w:spacing w:after="0" w:line="250" w:lineRule="auto"/>
        <w:tabs>
          <w:tab w:leader="none" w:pos="55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the number of directors is increased at or following the 2021 annual meeting of stockholders, any additional director elected to fill a newly created directorship shall hold office for a term expiring at the next annual meeting of stockholders. In no case shall a decrease in the number of directors remove or shorten the term of any incumbent director.</w:t>
      </w:r>
    </w:p>
    <w:p>
      <w:pPr>
        <w:spacing w:after="0" w:line="65" w:lineRule="exact"/>
        <w:rPr>
          <w:rFonts w:ascii="Arial" w:cs="Arial" w:eastAsia="Arial" w:hAnsi="Arial"/>
          <w:sz w:val="14"/>
          <w:szCs w:val="14"/>
          <w:color w:val="auto"/>
        </w:rPr>
      </w:pPr>
    </w:p>
    <w:p>
      <w:pPr>
        <w:ind w:left="540" w:hanging="177"/>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Elections of directors need not be by written ballot unless the Bylaws of the Corporation shall so provide.</w:t>
      </w:r>
    </w:p>
    <w:p>
      <w:pPr>
        <w:spacing w:after="0" w:line="164" w:lineRule="exact"/>
        <w:rPr>
          <w:sz w:val="20"/>
          <w:szCs w:val="20"/>
          <w:color w:val="auto"/>
        </w:rPr>
      </w:pPr>
    </w:p>
    <w:p>
      <w:pPr>
        <w:ind w:left="360" w:right="399" w:firstLine="3"/>
        <w:spacing w:after="0" w:line="294" w:lineRule="auto"/>
        <w:tabs>
          <w:tab w:leader="none" w:pos="495"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Vacancies and Newly Created Directorships</w:t>
      </w:r>
      <w:r>
        <w:rPr>
          <w:rFonts w:ascii="Arial" w:cs="Arial" w:eastAsia="Arial" w:hAnsi="Arial"/>
          <w:sz w:val="12"/>
          <w:szCs w:val="12"/>
          <w:color w:val="auto"/>
        </w:rPr>
        <w:t>. Subject to the rights of holders of any series of Preferred Stock with respect to the election of directors, and except as may be permitted in the specific case by resolution of a majority of the Whole Board,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and not by stockholders. A person so elected by the Board to fill a vacancy or newly created directorship shall hold office until the next election of the class for which such director shall have been assigned by the Board and until his or her successor shall be duly elected and qualified.</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VIII</w:t>
      </w:r>
    </w:p>
    <w:p>
      <w:pPr>
        <w:spacing w:after="0" w:line="166" w:lineRule="exact"/>
        <w:rPr>
          <w:sz w:val="20"/>
          <w:szCs w:val="20"/>
          <w:color w:val="auto"/>
        </w:rPr>
      </w:pPr>
    </w:p>
    <w:p>
      <w:pPr>
        <w:ind w:left="360" w:right="579"/>
        <w:spacing w:after="0" w:line="259" w:lineRule="auto"/>
        <w:rPr>
          <w:sz w:val="20"/>
          <w:szCs w:val="20"/>
          <w:color w:val="auto"/>
        </w:rPr>
      </w:pPr>
      <w:r>
        <w:rPr>
          <w:rFonts w:ascii="Arial" w:cs="Arial" w:eastAsia="Arial" w:hAnsi="Arial"/>
          <w:sz w:val="14"/>
          <w:szCs w:val="14"/>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58" w:lineRule="exact"/>
        <w:rPr>
          <w:sz w:val="20"/>
          <w:szCs w:val="20"/>
          <w:color w:val="auto"/>
        </w:rPr>
      </w:pPr>
    </w:p>
    <w:p>
      <w:pPr>
        <w:ind w:left="360" w:right="479" w:firstLine="3"/>
        <w:spacing w:after="0" w:line="312" w:lineRule="auto"/>
        <w:tabs>
          <w:tab w:leader="none" w:pos="495" w:val="left"/>
        </w:tabs>
        <w:numPr>
          <w:ilvl w:val="0"/>
          <w:numId w:val="37"/>
        </w:numPr>
        <w:rPr>
          <w:rFonts w:ascii="Arial" w:cs="Arial" w:eastAsia="Arial" w:hAnsi="Arial"/>
          <w:sz w:val="12"/>
          <w:szCs w:val="12"/>
          <w:color w:val="auto"/>
        </w:rPr>
      </w:pPr>
      <w:r>
        <w:rPr>
          <w:rFonts w:ascii="Arial" w:cs="Arial" w:eastAsia="Arial" w:hAnsi="Arial"/>
          <w:sz w:val="12"/>
          <w:szCs w:val="12"/>
          <w:u w:val="single" w:color="auto"/>
          <w:color w:val="auto"/>
        </w:rPr>
        <w:t>Board Power</w:t>
      </w:r>
      <w:r>
        <w:rPr>
          <w:rFonts w:ascii="Arial" w:cs="Arial" w:eastAsia="Arial" w:hAnsi="Arial"/>
          <w:sz w:val="12"/>
          <w:szCs w:val="12"/>
          <w:color w:val="auto"/>
        </w:rPr>
        <w:t>. The business and affairs of the Corporation shall be managed by or under the direction of the Board. In addition to the powers and authority expressly conferred by statute or by this Amended and Restated Certificate or the Bylaws of the Corporation, the Board is hereby empowered to exercise all such powers and do all such acts and things as may be exercised or done by the Corporation.</w:t>
      </w:r>
    </w:p>
    <w:p>
      <w:pPr>
        <w:spacing w:after="0" w:line="111" w:lineRule="exact"/>
        <w:rPr>
          <w:rFonts w:ascii="Arial" w:cs="Arial" w:eastAsia="Arial" w:hAnsi="Arial"/>
          <w:sz w:val="12"/>
          <w:szCs w:val="12"/>
          <w:color w:val="auto"/>
        </w:rPr>
      </w:pPr>
    </w:p>
    <w:p>
      <w:pPr>
        <w:ind w:left="360" w:right="379" w:firstLine="3"/>
        <w:spacing w:after="0" w:line="250" w:lineRule="auto"/>
        <w:tabs>
          <w:tab w:leader="none" w:pos="495"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Amendment of Bylaws</w:t>
      </w:r>
      <w:r>
        <w:rPr>
          <w:rFonts w:ascii="Arial" w:cs="Arial" w:eastAsia="Arial" w:hAnsi="Arial"/>
          <w:sz w:val="14"/>
          <w:szCs w:val="14"/>
          <w:color w:val="auto"/>
        </w:rPr>
        <w:t>. In furtherance and not in limitation of the powers conferred by the Delaware General Corporation Law, the Board is expressly authorized to adopt, amend or repeal the Bylaws of the Corporation. The Bylaws of the Corporation may also be adopted, amended or repealed by the stockholders entitled to vote;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33" w:name="page34"/>
    <w:bookmarkEnd w:id="33"/>
    <w:p>
      <w:pPr>
        <w:ind w:left="360" w:right="539"/>
        <w:spacing w:after="0" w:line="250"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from and after the Final Conversion Date, the affirmative vote of holders of at least two-thirds of the total voting power of the</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voting securities of the Corporation, voting together as a single class, shall be required for the stockholders to alter, amend or repeal the Bylaws of the Corporation.</w:t>
      </w:r>
    </w:p>
    <w:p>
      <w:pPr>
        <w:spacing w:after="0" w:line="146" w:lineRule="exact"/>
        <w:rPr>
          <w:sz w:val="20"/>
          <w:szCs w:val="20"/>
          <w:color w:val="auto"/>
        </w:rPr>
      </w:pPr>
    </w:p>
    <w:p>
      <w:pPr>
        <w:ind w:left="360" w:right="519" w:firstLine="3"/>
        <w:spacing w:after="0" w:line="297" w:lineRule="auto"/>
        <w:tabs>
          <w:tab w:leader="none" w:pos="495"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Special Meetings</w:t>
      </w:r>
      <w:r>
        <w:rPr>
          <w:rFonts w:ascii="Arial" w:cs="Arial" w:eastAsia="Arial" w:hAnsi="Arial"/>
          <w:sz w:val="12"/>
          <w:szCs w:val="12"/>
          <w:color w:val="auto"/>
        </w:rPr>
        <w:t>. Special meetings of the stockholders may be called only by (i) the Board pursuant to a resolution adopted by a majority of the Whole Board; (ii) the chair of the Board; or (iii) the chief executive officer of the Corporation. A special meeting of stockholders may not be called by any other person or persons, and any power of stockholders to call a special meeting of stockholders is specifically denied. The Board pursuant to a resolution adopted by a majority of the Whole Board, or the chair of a meeting of stockholders, may cancel, postpone or reschedule any previously scheduled meeting of stockholders at any time, before or after the notice for such meeting has been sent to stockholders.</w:t>
      </w:r>
    </w:p>
    <w:p>
      <w:pPr>
        <w:spacing w:after="0" w:line="120" w:lineRule="exact"/>
        <w:rPr>
          <w:rFonts w:ascii="Arial" w:cs="Arial" w:eastAsia="Arial" w:hAnsi="Arial"/>
          <w:sz w:val="12"/>
          <w:szCs w:val="12"/>
          <w:color w:val="auto"/>
        </w:rPr>
      </w:pPr>
    </w:p>
    <w:p>
      <w:pPr>
        <w:ind w:left="360" w:right="379" w:firstLine="3"/>
        <w:spacing w:after="0" w:line="297" w:lineRule="auto"/>
        <w:tabs>
          <w:tab w:leader="none" w:pos="495"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Stockholder Action by Written Consent</w:t>
      </w:r>
      <w:r>
        <w:rPr>
          <w:rFonts w:ascii="Arial" w:cs="Arial" w:eastAsia="Arial" w:hAnsi="Arial"/>
          <w:sz w:val="12"/>
          <w:szCs w:val="12"/>
          <w:color w:val="auto"/>
        </w:rPr>
        <w:t>. Except for the rights of the holders of any series of Preferred Stock, from and after the Final Conversion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Final Conversion Date, any action required or permitted to be taken by the stockholders of the Corporation may be taken without a meeting only if the action is first recommended or approved by a majority of the Whole Board.</w:t>
      </w:r>
    </w:p>
    <w:p>
      <w:pPr>
        <w:spacing w:after="0" w:line="120" w:lineRule="exact"/>
        <w:rPr>
          <w:rFonts w:ascii="Arial" w:cs="Arial" w:eastAsia="Arial" w:hAnsi="Arial"/>
          <w:sz w:val="12"/>
          <w:szCs w:val="12"/>
          <w:color w:val="auto"/>
        </w:rPr>
      </w:pPr>
    </w:p>
    <w:p>
      <w:pPr>
        <w:ind w:left="500" w:hanging="137"/>
        <w:spacing w:after="0"/>
        <w:tabs>
          <w:tab w:leader="none" w:pos="500" w:val="left"/>
        </w:tabs>
        <w:numPr>
          <w:ilvl w:val="0"/>
          <w:numId w:val="38"/>
        </w:numPr>
        <w:rPr>
          <w:rFonts w:ascii="Arial" w:cs="Arial" w:eastAsia="Arial" w:hAnsi="Arial"/>
          <w:sz w:val="14"/>
          <w:szCs w:val="14"/>
          <w:color w:val="auto"/>
        </w:rPr>
      </w:pPr>
      <w:r>
        <w:rPr>
          <w:rFonts w:ascii="Arial" w:cs="Arial" w:eastAsia="Arial" w:hAnsi="Arial"/>
          <w:sz w:val="14"/>
          <w:szCs w:val="14"/>
          <w:u w:val="single" w:color="auto"/>
          <w:color w:val="auto"/>
        </w:rPr>
        <w:t>No Cumulative Voting</w:t>
      </w:r>
      <w:r>
        <w:rPr>
          <w:rFonts w:ascii="Arial" w:cs="Arial" w:eastAsia="Arial" w:hAnsi="Arial"/>
          <w:sz w:val="14"/>
          <w:szCs w:val="14"/>
          <w:color w:val="auto"/>
        </w:rPr>
        <w:t>. No stockholder will be permitted to cumulate votes at any election of directors.</w:t>
      </w:r>
    </w:p>
    <w:p>
      <w:pPr>
        <w:spacing w:after="0" w:line="163" w:lineRule="exact"/>
        <w:rPr>
          <w:rFonts w:ascii="Arial" w:cs="Arial" w:eastAsia="Arial" w:hAnsi="Arial"/>
          <w:sz w:val="14"/>
          <w:szCs w:val="14"/>
          <w:color w:val="auto"/>
        </w:rPr>
      </w:pPr>
    </w:p>
    <w:p>
      <w:pPr>
        <w:ind w:left="360" w:right="599" w:firstLine="3"/>
        <w:spacing w:after="0" w:line="342" w:lineRule="auto"/>
        <w:tabs>
          <w:tab w:leader="none" w:pos="495" w:val="left"/>
        </w:tabs>
        <w:numPr>
          <w:ilvl w:val="0"/>
          <w:numId w:val="38"/>
        </w:numPr>
        <w:rPr>
          <w:rFonts w:ascii="Arial" w:cs="Arial" w:eastAsia="Arial" w:hAnsi="Arial"/>
          <w:sz w:val="12"/>
          <w:szCs w:val="12"/>
          <w:color w:val="auto"/>
        </w:rPr>
      </w:pPr>
      <w:r>
        <w:rPr>
          <w:rFonts w:ascii="Arial" w:cs="Arial" w:eastAsia="Arial" w:hAnsi="Arial"/>
          <w:sz w:val="12"/>
          <w:szCs w:val="12"/>
          <w:u w:val="single" w:color="auto"/>
          <w:color w:val="auto"/>
        </w:rPr>
        <w:t>Advance Notice</w:t>
      </w:r>
      <w:r>
        <w:rPr>
          <w:rFonts w:ascii="Arial" w:cs="Arial" w:eastAsia="Arial" w:hAnsi="Arial"/>
          <w:sz w:val="12"/>
          <w:szCs w:val="12"/>
          <w:color w:val="auto"/>
        </w:rPr>
        <w:t>.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IX</w:t>
      </w:r>
    </w:p>
    <w:p>
      <w:pPr>
        <w:spacing w:after="0" w:line="166" w:lineRule="exact"/>
        <w:rPr>
          <w:sz w:val="20"/>
          <w:szCs w:val="20"/>
          <w:color w:val="auto"/>
        </w:rPr>
      </w:pPr>
    </w:p>
    <w:p>
      <w:pPr>
        <w:ind w:left="360" w:right="459"/>
        <w:spacing w:after="0" w:line="247" w:lineRule="auto"/>
        <w:rPr>
          <w:sz w:val="20"/>
          <w:szCs w:val="20"/>
          <w:color w:val="auto"/>
        </w:rPr>
      </w:pPr>
      <w:r>
        <w:rPr>
          <w:rFonts w:ascii="Arial" w:cs="Arial" w:eastAsia="Arial" w:hAnsi="Arial"/>
          <w:sz w:val="14"/>
          <w:szCs w:val="14"/>
          <w:color w:val="auto"/>
        </w:rPr>
        <w:t>To the fullest extent permitted by law, no director of the Corporation shall be personally liable for monetary damages for breach of fiduciary duty as a director. Without limiting the effect of the preceding sentence,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w:t>
      </w:r>
    </w:p>
    <w:p>
      <w:pPr>
        <w:spacing w:after="0" w:line="149" w:lineRule="exact"/>
        <w:rPr>
          <w:sz w:val="20"/>
          <w:szCs w:val="20"/>
          <w:color w:val="auto"/>
        </w:rPr>
      </w:pPr>
    </w:p>
    <w:p>
      <w:pPr>
        <w:ind w:left="360" w:right="899"/>
        <w:spacing w:after="0" w:line="312" w:lineRule="auto"/>
        <w:rPr>
          <w:sz w:val="20"/>
          <w:szCs w:val="20"/>
          <w:color w:val="auto"/>
        </w:rPr>
      </w:pPr>
      <w:r>
        <w:rPr>
          <w:rFonts w:ascii="Arial" w:cs="Arial" w:eastAsia="Arial" w:hAnsi="Arial"/>
          <w:sz w:val="12"/>
          <w:szCs w:val="12"/>
          <w:color w:val="auto"/>
        </w:rPr>
        <w:t>Neither any amendment, repeal nor elimination of this Article IX, nor the adoption of any provision of this Amended and Restated Certificate inconsistent with this Article IX, shall eliminate, reduce or otherwise adversely affect any limitation on the personal liability of a director of the Corporation existing at the time of such amendment, repeal, elimination or adoption of such an inconsistent provision.</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X</w:t>
      </w:r>
    </w:p>
    <w:p>
      <w:pPr>
        <w:spacing w:after="0" w:line="166" w:lineRule="exact"/>
        <w:rPr>
          <w:sz w:val="20"/>
          <w:szCs w:val="20"/>
          <w:color w:val="auto"/>
        </w:rPr>
      </w:pPr>
    </w:p>
    <w:p>
      <w:pPr>
        <w:ind w:left="360" w:right="379"/>
        <w:spacing w:after="0" w:line="245" w:lineRule="auto"/>
        <w:rPr>
          <w:sz w:val="20"/>
          <w:szCs w:val="20"/>
          <w:color w:val="auto"/>
        </w:rPr>
      </w:pPr>
      <w:r>
        <w:rPr>
          <w:rFonts w:ascii="Arial" w:cs="Arial" w:eastAsia="Arial" w:hAnsi="Arial"/>
          <w:sz w:val="14"/>
          <w:szCs w:val="14"/>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34" w:name="page35"/>
    <w:bookmarkEnd w:id="34"/>
    <w:p>
      <w:pPr>
        <w:ind w:left="360" w:right="379"/>
        <w:spacing w:after="0" w:line="29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Except as provided in Article IX above, the Corporation reserves the right to amend, alter, change or repeal any provision contained in this Amended and Restated Certificate, in the manner now or hereafter prescribed by statute, and all rights conferred upon stockholders herein are granted subject to this reservation;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notwithstanding any other provision of this Amended and Restated Certificate or any provision of law that might otherwise permit a lesser vote, but in addition to any vote of the holders of any class or series of the stock of this Corporation required by law or by this Amended and Restated Certificate, from and after the Final Conversion Date, the affirmative vote of the holders of at least two-thirds of the voting power of the outstanding shares of stock of the Corporation entitled to vote generally in the election of directors, voting together as a single class, shall be required to amend or repeal, or adopt any provision of this Amended and Restated Certificate inconsistent with, Article III, Article V, Article VI, Article VII, Article VIII or this Article X.</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35" w:name="page36"/>
    <w:bookmarkEnd w:id="35"/>
    <w:p>
      <w:pPr>
        <w:jc w:val="right"/>
        <w:ind w:right="379"/>
        <w:spacing w:after="0"/>
        <w:rPr>
          <w:sz w:val="20"/>
          <w:szCs w:val="20"/>
          <w:color w:val="auto"/>
        </w:rPr>
      </w:pPr>
      <w:r>
        <w:rPr>
          <w:rFonts w:ascii="Arial" w:cs="Arial" w:eastAsia="Arial" w:hAnsi="Arial"/>
          <w:sz w:val="14"/>
          <w:szCs w:val="14"/>
          <w:b w:val="1"/>
          <w:bCs w:val="1"/>
          <w:color w:val="auto"/>
        </w:rPr>
        <w:t>Exhibit 3.2</w:t>
      </w:r>
    </w:p>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6040" w:type="dxa"/>
            <w:vAlign w:val="bottom"/>
          </w:tcPr>
          <w:p>
            <w:pPr>
              <w:jc w:val="center"/>
              <w:ind w:left="852"/>
              <w:spacing w:after="0"/>
              <w:rPr>
                <w:sz w:val="20"/>
                <w:szCs w:val="20"/>
                <w:color w:val="auto"/>
              </w:rPr>
            </w:pPr>
            <w:r>
              <w:rPr>
                <w:rFonts w:ascii="Arial" w:cs="Arial" w:eastAsia="Arial" w:hAnsi="Arial"/>
                <w:sz w:val="14"/>
                <w:szCs w:val="14"/>
                <w:b w:val="1"/>
                <w:bCs w:val="1"/>
                <w:color w:val="auto"/>
                <w:w w:val="95"/>
              </w:rPr>
              <w:t>AMENDED AND RESTATED BYLAWS OF</w:t>
            </w:r>
          </w:p>
        </w:tc>
        <w:tc>
          <w:tcPr>
            <w:tcW w:w="1540" w:type="dxa"/>
            <w:vAlign w:val="bottom"/>
          </w:tcPr>
          <w:p>
            <w:pPr>
              <w:spacing w:after="0"/>
              <w:rPr>
                <w:sz w:val="15"/>
                <w:szCs w:val="15"/>
                <w:color w:val="auto"/>
              </w:rPr>
            </w:pPr>
          </w:p>
        </w:tc>
      </w:tr>
      <w:tr>
        <w:trPr>
          <w:trHeight w:val="325"/>
        </w:trPr>
        <w:tc>
          <w:tcPr>
            <w:tcW w:w="660" w:type="dxa"/>
            <w:vAlign w:val="bottom"/>
          </w:tcPr>
          <w:p>
            <w:pPr>
              <w:spacing w:after="0"/>
              <w:rPr>
                <w:sz w:val="24"/>
                <w:szCs w:val="24"/>
                <w:color w:val="auto"/>
              </w:rPr>
            </w:pPr>
          </w:p>
        </w:tc>
        <w:tc>
          <w:tcPr>
            <w:tcW w:w="6040" w:type="dxa"/>
            <w:vAlign w:val="bottom"/>
          </w:tcPr>
          <w:p>
            <w:pPr>
              <w:jc w:val="center"/>
              <w:ind w:left="852"/>
              <w:spacing w:after="0"/>
              <w:rPr>
                <w:sz w:val="20"/>
                <w:szCs w:val="20"/>
                <w:color w:val="auto"/>
              </w:rPr>
            </w:pPr>
            <w:r>
              <w:rPr>
                <w:rFonts w:ascii="Arial" w:cs="Arial" w:eastAsia="Arial" w:hAnsi="Arial"/>
                <w:sz w:val="14"/>
                <w:szCs w:val="14"/>
                <w:b w:val="1"/>
                <w:bCs w:val="1"/>
                <w:color w:val="auto"/>
                <w:w w:val="96"/>
              </w:rPr>
              <w:t>QUANTUMSCAPE CORPORATION</w:t>
            </w:r>
          </w:p>
        </w:tc>
        <w:tc>
          <w:tcPr>
            <w:tcW w:w="1540" w:type="dxa"/>
            <w:vAlign w:val="bottom"/>
          </w:tcPr>
          <w:p>
            <w:pPr>
              <w:spacing w:after="0"/>
              <w:rPr>
                <w:sz w:val="24"/>
                <w:szCs w:val="24"/>
                <w:color w:val="auto"/>
              </w:rPr>
            </w:pPr>
          </w:p>
        </w:tc>
      </w:tr>
      <w:tr>
        <w:trPr>
          <w:trHeight w:val="325"/>
        </w:trPr>
        <w:tc>
          <w:tcPr>
            <w:tcW w:w="660" w:type="dxa"/>
            <w:vAlign w:val="bottom"/>
          </w:tcPr>
          <w:p>
            <w:pPr>
              <w:spacing w:after="0"/>
              <w:rPr>
                <w:sz w:val="24"/>
                <w:szCs w:val="24"/>
                <w:color w:val="auto"/>
              </w:rPr>
            </w:pPr>
          </w:p>
        </w:tc>
        <w:tc>
          <w:tcPr>
            <w:tcW w:w="6040" w:type="dxa"/>
            <w:vAlign w:val="bottom"/>
          </w:tcPr>
          <w:p>
            <w:pPr>
              <w:jc w:val="center"/>
              <w:ind w:left="872"/>
              <w:spacing w:after="0"/>
              <w:rPr>
                <w:sz w:val="20"/>
                <w:szCs w:val="20"/>
                <w:color w:val="auto"/>
              </w:rPr>
            </w:pPr>
            <w:r>
              <w:rPr>
                <w:rFonts w:ascii="Arial" w:cs="Arial" w:eastAsia="Arial" w:hAnsi="Arial"/>
                <w:sz w:val="14"/>
                <w:szCs w:val="14"/>
                <w:color w:val="auto"/>
                <w:w w:val="89"/>
              </w:rPr>
              <w:t>(Effective November 25, 2020)</w:t>
            </w:r>
          </w:p>
        </w:tc>
        <w:tc>
          <w:tcPr>
            <w:tcW w:w="1540" w:type="dxa"/>
            <w:vAlign w:val="bottom"/>
          </w:tcPr>
          <w:p>
            <w:pPr>
              <w:spacing w:after="0"/>
              <w:rPr>
                <w:sz w:val="24"/>
                <w:szCs w:val="24"/>
                <w:color w:val="auto"/>
              </w:rPr>
            </w:pPr>
          </w:p>
        </w:tc>
      </w:tr>
      <w:tr>
        <w:trPr>
          <w:trHeight w:val="325"/>
        </w:trPr>
        <w:tc>
          <w:tcPr>
            <w:tcW w:w="660" w:type="dxa"/>
            <w:vAlign w:val="bottom"/>
          </w:tcPr>
          <w:p>
            <w:pPr>
              <w:spacing w:after="0"/>
              <w:rPr>
                <w:sz w:val="24"/>
                <w:szCs w:val="24"/>
                <w:color w:val="auto"/>
              </w:rPr>
            </w:pPr>
          </w:p>
        </w:tc>
        <w:tc>
          <w:tcPr>
            <w:tcW w:w="6040" w:type="dxa"/>
            <w:vAlign w:val="bottom"/>
          </w:tcPr>
          <w:p>
            <w:pPr>
              <w:jc w:val="center"/>
              <w:ind w:left="852"/>
              <w:spacing w:after="0"/>
              <w:rPr>
                <w:sz w:val="20"/>
                <w:szCs w:val="20"/>
                <w:color w:val="auto"/>
              </w:rPr>
            </w:pPr>
            <w:r>
              <w:rPr>
                <w:rFonts w:ascii="Arial" w:cs="Arial" w:eastAsia="Arial" w:hAnsi="Arial"/>
                <w:sz w:val="14"/>
                <w:szCs w:val="14"/>
                <w:b w:val="1"/>
                <w:bCs w:val="1"/>
                <w:color w:val="auto"/>
                <w:w w:val="95"/>
              </w:rPr>
              <w:t>TABLE OF CONTENTS</w:t>
            </w:r>
          </w:p>
        </w:tc>
        <w:tc>
          <w:tcPr>
            <w:tcW w:w="1540" w:type="dxa"/>
            <w:vAlign w:val="bottom"/>
          </w:tcPr>
          <w:p>
            <w:pPr>
              <w:spacing w:after="0"/>
              <w:rPr>
                <w:sz w:val="24"/>
                <w:szCs w:val="24"/>
                <w:color w:val="auto"/>
              </w:rPr>
            </w:pPr>
          </w:p>
        </w:tc>
      </w:tr>
      <w:tr>
        <w:trPr>
          <w:trHeight w:val="284"/>
        </w:trPr>
        <w:tc>
          <w:tcPr>
            <w:tcW w:w="6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i w:val="1"/>
                <w:iCs w:val="1"/>
                <w:color w:val="auto"/>
              </w:rPr>
              <w:t>Page</w:t>
            </w:r>
          </w:p>
        </w:tc>
      </w:tr>
      <w:tr>
        <w:trPr>
          <w:trHeight w:val="173"/>
        </w:trPr>
        <w:tc>
          <w:tcPr>
            <w:tcW w:w="6700" w:type="dxa"/>
            <w:vAlign w:val="bottom"/>
            <w:gridSpan w:val="2"/>
          </w:tcPr>
          <w:p>
            <w:pPr>
              <w:spacing w:after="0"/>
              <w:rPr>
                <w:sz w:val="20"/>
                <w:szCs w:val="20"/>
                <w:color w:val="auto"/>
              </w:rPr>
            </w:pPr>
            <w:r>
              <w:rPr>
                <w:rFonts w:ascii="Arial" w:cs="Arial" w:eastAsia="Arial" w:hAnsi="Arial"/>
                <w:sz w:val="14"/>
                <w:szCs w:val="14"/>
                <w:color w:val="auto"/>
              </w:rPr>
              <w:t>ARTICLE I—CORPORATE OFFICES</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1.1</w:t>
            </w:r>
          </w:p>
        </w:tc>
        <w:tc>
          <w:tcPr>
            <w:tcW w:w="6040" w:type="dxa"/>
            <w:vAlign w:val="bottom"/>
          </w:tcPr>
          <w:p>
            <w:pPr>
              <w:ind w:left="160"/>
              <w:spacing w:after="0"/>
              <w:rPr>
                <w:sz w:val="20"/>
                <w:szCs w:val="20"/>
                <w:color w:val="auto"/>
              </w:rPr>
            </w:pPr>
            <w:r>
              <w:rPr>
                <w:rFonts w:ascii="Arial" w:cs="Arial" w:eastAsia="Arial" w:hAnsi="Arial"/>
                <w:sz w:val="14"/>
                <w:szCs w:val="14"/>
                <w:color w:val="auto"/>
              </w:rPr>
              <w:t>REGISTERED OFFICE</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1.2</w:t>
            </w:r>
          </w:p>
        </w:tc>
        <w:tc>
          <w:tcPr>
            <w:tcW w:w="6040" w:type="dxa"/>
            <w:vAlign w:val="bottom"/>
          </w:tcPr>
          <w:p>
            <w:pPr>
              <w:ind w:left="160"/>
              <w:spacing w:after="0"/>
              <w:rPr>
                <w:sz w:val="20"/>
                <w:szCs w:val="20"/>
                <w:color w:val="auto"/>
              </w:rPr>
            </w:pPr>
            <w:r>
              <w:rPr>
                <w:rFonts w:ascii="Arial" w:cs="Arial" w:eastAsia="Arial" w:hAnsi="Arial"/>
                <w:sz w:val="14"/>
                <w:szCs w:val="14"/>
                <w:color w:val="auto"/>
              </w:rPr>
              <w:t>OTHER OFFICES</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244"/>
        </w:trPr>
        <w:tc>
          <w:tcPr>
            <w:tcW w:w="6700" w:type="dxa"/>
            <w:vAlign w:val="bottom"/>
            <w:gridSpan w:val="2"/>
          </w:tcPr>
          <w:p>
            <w:pPr>
              <w:spacing w:after="0"/>
              <w:rPr>
                <w:sz w:val="20"/>
                <w:szCs w:val="20"/>
                <w:color w:val="auto"/>
              </w:rPr>
            </w:pPr>
            <w:r>
              <w:rPr>
                <w:rFonts w:ascii="Arial" w:cs="Arial" w:eastAsia="Arial" w:hAnsi="Arial"/>
                <w:sz w:val="14"/>
                <w:szCs w:val="14"/>
                <w:color w:val="auto"/>
              </w:rPr>
              <w:t>ARTICLE II—MEETINGS OF STOCKHOLDERS</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2.1</w:t>
            </w:r>
          </w:p>
        </w:tc>
        <w:tc>
          <w:tcPr>
            <w:tcW w:w="6040" w:type="dxa"/>
            <w:vAlign w:val="bottom"/>
          </w:tcPr>
          <w:p>
            <w:pPr>
              <w:ind w:left="160"/>
              <w:spacing w:after="0"/>
              <w:rPr>
                <w:sz w:val="20"/>
                <w:szCs w:val="20"/>
                <w:color w:val="auto"/>
              </w:rPr>
            </w:pPr>
            <w:r>
              <w:rPr>
                <w:rFonts w:ascii="Arial" w:cs="Arial" w:eastAsia="Arial" w:hAnsi="Arial"/>
                <w:sz w:val="14"/>
                <w:szCs w:val="14"/>
                <w:color w:val="auto"/>
              </w:rPr>
              <w:t>PLACE OF MEETINGS</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2.2</w:t>
            </w:r>
          </w:p>
        </w:tc>
        <w:tc>
          <w:tcPr>
            <w:tcW w:w="6040" w:type="dxa"/>
            <w:vAlign w:val="bottom"/>
          </w:tcPr>
          <w:p>
            <w:pPr>
              <w:ind w:left="160"/>
              <w:spacing w:after="0"/>
              <w:rPr>
                <w:sz w:val="20"/>
                <w:szCs w:val="20"/>
                <w:color w:val="auto"/>
              </w:rPr>
            </w:pPr>
            <w:r>
              <w:rPr>
                <w:rFonts w:ascii="Arial" w:cs="Arial" w:eastAsia="Arial" w:hAnsi="Arial"/>
                <w:sz w:val="14"/>
                <w:szCs w:val="14"/>
                <w:color w:val="auto"/>
              </w:rPr>
              <w:t>ANNUAL MEETING</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2.3</w:t>
            </w:r>
          </w:p>
        </w:tc>
        <w:tc>
          <w:tcPr>
            <w:tcW w:w="6040" w:type="dxa"/>
            <w:vAlign w:val="bottom"/>
          </w:tcPr>
          <w:p>
            <w:pPr>
              <w:ind w:left="160"/>
              <w:spacing w:after="0"/>
              <w:rPr>
                <w:sz w:val="20"/>
                <w:szCs w:val="20"/>
                <w:color w:val="auto"/>
              </w:rPr>
            </w:pPr>
            <w:r>
              <w:rPr>
                <w:rFonts w:ascii="Arial" w:cs="Arial" w:eastAsia="Arial" w:hAnsi="Arial"/>
                <w:sz w:val="14"/>
                <w:szCs w:val="14"/>
                <w:color w:val="auto"/>
              </w:rPr>
              <w:t>SPECIAL MEETING</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2.4</w:t>
            </w:r>
          </w:p>
        </w:tc>
        <w:tc>
          <w:tcPr>
            <w:tcW w:w="6040" w:type="dxa"/>
            <w:vAlign w:val="bottom"/>
          </w:tcPr>
          <w:p>
            <w:pPr>
              <w:ind w:left="160"/>
              <w:spacing w:after="0"/>
              <w:rPr>
                <w:sz w:val="20"/>
                <w:szCs w:val="20"/>
                <w:color w:val="auto"/>
              </w:rPr>
            </w:pPr>
            <w:r>
              <w:rPr>
                <w:rFonts w:ascii="Arial" w:cs="Arial" w:eastAsia="Arial" w:hAnsi="Arial"/>
                <w:sz w:val="14"/>
                <w:szCs w:val="14"/>
                <w:color w:val="auto"/>
              </w:rPr>
              <w:t>ADVANCE NOTICE PROCEDURES</w:t>
            </w:r>
          </w:p>
        </w:tc>
        <w:tc>
          <w:tcPr>
            <w:tcW w:w="15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2.5</w:t>
            </w:r>
          </w:p>
        </w:tc>
        <w:tc>
          <w:tcPr>
            <w:tcW w:w="6040" w:type="dxa"/>
            <w:vAlign w:val="bottom"/>
          </w:tcPr>
          <w:p>
            <w:pPr>
              <w:ind w:left="160"/>
              <w:spacing w:after="0"/>
              <w:rPr>
                <w:sz w:val="20"/>
                <w:szCs w:val="20"/>
                <w:color w:val="auto"/>
              </w:rPr>
            </w:pPr>
            <w:r>
              <w:rPr>
                <w:rFonts w:ascii="Arial" w:cs="Arial" w:eastAsia="Arial" w:hAnsi="Arial"/>
                <w:sz w:val="14"/>
                <w:szCs w:val="14"/>
                <w:color w:val="auto"/>
              </w:rPr>
              <w:t>NOTICE OF STOCKHOLDERS’ MEETINGS</w:t>
            </w:r>
          </w:p>
        </w:tc>
        <w:tc>
          <w:tcPr>
            <w:tcW w:w="1540" w:type="dxa"/>
            <w:vAlign w:val="bottom"/>
          </w:tcPr>
          <w:p>
            <w:pPr>
              <w:jc w:val="right"/>
              <w:spacing w:after="0"/>
              <w:rPr>
                <w:sz w:val="20"/>
                <w:szCs w:val="20"/>
                <w:color w:val="auto"/>
              </w:rPr>
            </w:pPr>
            <w:r>
              <w:rPr>
                <w:rFonts w:ascii="Arial" w:cs="Arial" w:eastAsia="Arial" w:hAnsi="Arial"/>
                <w:sz w:val="14"/>
                <w:szCs w:val="14"/>
                <w:color w:val="auto"/>
              </w:rPr>
              <w:t>C-6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2.6</w:t>
            </w:r>
          </w:p>
        </w:tc>
        <w:tc>
          <w:tcPr>
            <w:tcW w:w="6040" w:type="dxa"/>
            <w:vAlign w:val="bottom"/>
          </w:tcPr>
          <w:p>
            <w:pPr>
              <w:ind w:left="160"/>
              <w:spacing w:after="0"/>
              <w:rPr>
                <w:sz w:val="20"/>
                <w:szCs w:val="20"/>
                <w:color w:val="auto"/>
              </w:rPr>
            </w:pPr>
            <w:r>
              <w:rPr>
                <w:rFonts w:ascii="Arial" w:cs="Arial" w:eastAsia="Arial" w:hAnsi="Arial"/>
                <w:sz w:val="14"/>
                <w:szCs w:val="14"/>
                <w:color w:val="auto"/>
              </w:rPr>
              <w:t>QUORUM</w:t>
            </w:r>
          </w:p>
        </w:tc>
        <w:tc>
          <w:tcPr>
            <w:tcW w:w="1540" w:type="dxa"/>
            <w:vAlign w:val="bottom"/>
          </w:tcPr>
          <w:p>
            <w:pPr>
              <w:jc w:val="right"/>
              <w:spacing w:after="0"/>
              <w:rPr>
                <w:sz w:val="20"/>
                <w:szCs w:val="20"/>
                <w:color w:val="auto"/>
              </w:rPr>
            </w:pPr>
            <w:r>
              <w:rPr>
                <w:rFonts w:ascii="Arial" w:cs="Arial" w:eastAsia="Arial" w:hAnsi="Arial"/>
                <w:sz w:val="14"/>
                <w:szCs w:val="14"/>
                <w:color w:val="auto"/>
              </w:rPr>
              <w:t>C-6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2.7</w:t>
            </w:r>
          </w:p>
        </w:tc>
        <w:tc>
          <w:tcPr>
            <w:tcW w:w="6040" w:type="dxa"/>
            <w:vAlign w:val="bottom"/>
          </w:tcPr>
          <w:p>
            <w:pPr>
              <w:ind w:left="160"/>
              <w:spacing w:after="0"/>
              <w:rPr>
                <w:sz w:val="20"/>
                <w:szCs w:val="20"/>
                <w:color w:val="auto"/>
              </w:rPr>
            </w:pPr>
            <w:r>
              <w:rPr>
                <w:rFonts w:ascii="Arial" w:cs="Arial" w:eastAsia="Arial" w:hAnsi="Arial"/>
                <w:sz w:val="14"/>
                <w:szCs w:val="14"/>
                <w:color w:val="auto"/>
              </w:rPr>
              <w:t>ADJOURNED MEETING; NOTICE</w:t>
            </w:r>
          </w:p>
        </w:tc>
        <w:tc>
          <w:tcPr>
            <w:tcW w:w="1540" w:type="dxa"/>
            <w:vAlign w:val="bottom"/>
          </w:tcPr>
          <w:p>
            <w:pPr>
              <w:jc w:val="right"/>
              <w:spacing w:after="0"/>
              <w:rPr>
                <w:sz w:val="20"/>
                <w:szCs w:val="20"/>
                <w:color w:val="auto"/>
              </w:rPr>
            </w:pPr>
            <w:r>
              <w:rPr>
                <w:rFonts w:ascii="Arial" w:cs="Arial" w:eastAsia="Arial" w:hAnsi="Arial"/>
                <w:sz w:val="14"/>
                <w:szCs w:val="14"/>
                <w:color w:val="auto"/>
              </w:rPr>
              <w:t>C-6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2.8</w:t>
            </w:r>
          </w:p>
        </w:tc>
        <w:tc>
          <w:tcPr>
            <w:tcW w:w="6040" w:type="dxa"/>
            <w:vAlign w:val="bottom"/>
          </w:tcPr>
          <w:p>
            <w:pPr>
              <w:ind w:left="160"/>
              <w:spacing w:after="0"/>
              <w:rPr>
                <w:sz w:val="20"/>
                <w:szCs w:val="20"/>
                <w:color w:val="auto"/>
              </w:rPr>
            </w:pPr>
            <w:r>
              <w:rPr>
                <w:rFonts w:ascii="Arial" w:cs="Arial" w:eastAsia="Arial" w:hAnsi="Arial"/>
                <w:sz w:val="14"/>
                <w:szCs w:val="14"/>
                <w:color w:val="auto"/>
              </w:rPr>
              <w:t>CONDUCT OF BUSINESS</w:t>
            </w:r>
          </w:p>
        </w:tc>
        <w:tc>
          <w:tcPr>
            <w:tcW w:w="1540" w:type="dxa"/>
            <w:vAlign w:val="bottom"/>
          </w:tcPr>
          <w:p>
            <w:pPr>
              <w:jc w:val="right"/>
              <w:spacing w:after="0"/>
              <w:rPr>
                <w:sz w:val="20"/>
                <w:szCs w:val="20"/>
                <w:color w:val="auto"/>
              </w:rPr>
            </w:pPr>
            <w:r>
              <w:rPr>
                <w:rFonts w:ascii="Arial" w:cs="Arial" w:eastAsia="Arial" w:hAnsi="Arial"/>
                <w:sz w:val="14"/>
                <w:szCs w:val="14"/>
                <w:color w:val="auto"/>
              </w:rPr>
              <w:t>C-7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2.9</w:t>
            </w:r>
          </w:p>
        </w:tc>
        <w:tc>
          <w:tcPr>
            <w:tcW w:w="6040" w:type="dxa"/>
            <w:vAlign w:val="bottom"/>
          </w:tcPr>
          <w:p>
            <w:pPr>
              <w:ind w:left="160"/>
              <w:spacing w:after="0"/>
              <w:rPr>
                <w:sz w:val="20"/>
                <w:szCs w:val="20"/>
                <w:color w:val="auto"/>
              </w:rPr>
            </w:pPr>
            <w:r>
              <w:rPr>
                <w:rFonts w:ascii="Arial" w:cs="Arial" w:eastAsia="Arial" w:hAnsi="Arial"/>
                <w:sz w:val="14"/>
                <w:szCs w:val="14"/>
                <w:color w:val="auto"/>
              </w:rPr>
              <w:t>VOTING</w:t>
            </w:r>
          </w:p>
        </w:tc>
        <w:tc>
          <w:tcPr>
            <w:tcW w:w="1540" w:type="dxa"/>
            <w:vAlign w:val="bottom"/>
          </w:tcPr>
          <w:p>
            <w:pPr>
              <w:jc w:val="right"/>
              <w:spacing w:after="0"/>
              <w:rPr>
                <w:sz w:val="20"/>
                <w:szCs w:val="20"/>
                <w:color w:val="auto"/>
              </w:rPr>
            </w:pPr>
            <w:r>
              <w:rPr>
                <w:rFonts w:ascii="Arial" w:cs="Arial" w:eastAsia="Arial" w:hAnsi="Arial"/>
                <w:sz w:val="14"/>
                <w:szCs w:val="14"/>
                <w:color w:val="auto"/>
              </w:rPr>
              <w:t>C-7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2.10</w:t>
            </w:r>
          </w:p>
        </w:tc>
        <w:tc>
          <w:tcPr>
            <w:tcW w:w="6040" w:type="dxa"/>
            <w:vAlign w:val="bottom"/>
          </w:tcPr>
          <w:p>
            <w:pPr>
              <w:ind w:left="160"/>
              <w:spacing w:after="0"/>
              <w:rPr>
                <w:sz w:val="20"/>
                <w:szCs w:val="20"/>
                <w:color w:val="auto"/>
              </w:rPr>
            </w:pPr>
            <w:r>
              <w:rPr>
                <w:rFonts w:ascii="Arial" w:cs="Arial" w:eastAsia="Arial" w:hAnsi="Arial"/>
                <w:sz w:val="14"/>
                <w:szCs w:val="14"/>
                <w:color w:val="auto"/>
              </w:rPr>
              <w:t>STOCKHOLDER ACTION BY WRITTEN CONSENT WITHOUT A MEETING</w:t>
            </w:r>
          </w:p>
        </w:tc>
        <w:tc>
          <w:tcPr>
            <w:tcW w:w="1540" w:type="dxa"/>
            <w:vAlign w:val="bottom"/>
          </w:tcPr>
          <w:p>
            <w:pPr>
              <w:jc w:val="right"/>
              <w:spacing w:after="0"/>
              <w:rPr>
                <w:sz w:val="20"/>
                <w:szCs w:val="20"/>
                <w:color w:val="auto"/>
              </w:rPr>
            </w:pPr>
            <w:r>
              <w:rPr>
                <w:rFonts w:ascii="Arial" w:cs="Arial" w:eastAsia="Arial" w:hAnsi="Arial"/>
                <w:sz w:val="14"/>
                <w:szCs w:val="14"/>
                <w:color w:val="auto"/>
              </w:rPr>
              <w:t>C-7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2.11</w:t>
            </w:r>
          </w:p>
        </w:tc>
        <w:tc>
          <w:tcPr>
            <w:tcW w:w="6040" w:type="dxa"/>
            <w:vAlign w:val="bottom"/>
          </w:tcPr>
          <w:p>
            <w:pPr>
              <w:ind w:left="160"/>
              <w:spacing w:after="0"/>
              <w:rPr>
                <w:sz w:val="20"/>
                <w:szCs w:val="20"/>
                <w:color w:val="auto"/>
              </w:rPr>
            </w:pPr>
            <w:r>
              <w:rPr>
                <w:rFonts w:ascii="Arial" w:cs="Arial" w:eastAsia="Arial" w:hAnsi="Arial"/>
                <w:sz w:val="14"/>
                <w:szCs w:val="14"/>
                <w:color w:val="auto"/>
              </w:rPr>
              <w:t>RECORD DATES</w:t>
            </w:r>
          </w:p>
        </w:tc>
        <w:tc>
          <w:tcPr>
            <w:tcW w:w="1540" w:type="dxa"/>
            <w:vAlign w:val="bottom"/>
          </w:tcPr>
          <w:p>
            <w:pPr>
              <w:jc w:val="right"/>
              <w:spacing w:after="0"/>
              <w:rPr>
                <w:sz w:val="20"/>
                <w:szCs w:val="20"/>
                <w:color w:val="auto"/>
              </w:rPr>
            </w:pPr>
            <w:r>
              <w:rPr>
                <w:rFonts w:ascii="Arial" w:cs="Arial" w:eastAsia="Arial" w:hAnsi="Arial"/>
                <w:sz w:val="14"/>
                <w:szCs w:val="14"/>
                <w:color w:val="auto"/>
              </w:rPr>
              <w:t>C-7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2.12</w:t>
            </w:r>
          </w:p>
        </w:tc>
        <w:tc>
          <w:tcPr>
            <w:tcW w:w="6040" w:type="dxa"/>
            <w:vAlign w:val="bottom"/>
          </w:tcPr>
          <w:p>
            <w:pPr>
              <w:ind w:left="160"/>
              <w:spacing w:after="0"/>
              <w:rPr>
                <w:sz w:val="20"/>
                <w:szCs w:val="20"/>
                <w:color w:val="auto"/>
              </w:rPr>
            </w:pPr>
            <w:r>
              <w:rPr>
                <w:rFonts w:ascii="Arial" w:cs="Arial" w:eastAsia="Arial" w:hAnsi="Arial"/>
                <w:sz w:val="14"/>
                <w:szCs w:val="14"/>
                <w:color w:val="auto"/>
              </w:rPr>
              <w:t>PROXIES</w:t>
            </w:r>
          </w:p>
        </w:tc>
        <w:tc>
          <w:tcPr>
            <w:tcW w:w="1540" w:type="dxa"/>
            <w:vAlign w:val="bottom"/>
          </w:tcPr>
          <w:p>
            <w:pPr>
              <w:jc w:val="right"/>
              <w:spacing w:after="0"/>
              <w:rPr>
                <w:sz w:val="20"/>
                <w:szCs w:val="20"/>
                <w:color w:val="auto"/>
              </w:rPr>
            </w:pPr>
            <w:r>
              <w:rPr>
                <w:rFonts w:ascii="Arial" w:cs="Arial" w:eastAsia="Arial" w:hAnsi="Arial"/>
                <w:sz w:val="14"/>
                <w:szCs w:val="14"/>
                <w:color w:val="auto"/>
              </w:rPr>
              <w:t>C-8</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2.13</w:t>
            </w:r>
          </w:p>
        </w:tc>
        <w:tc>
          <w:tcPr>
            <w:tcW w:w="6040" w:type="dxa"/>
            <w:vAlign w:val="bottom"/>
          </w:tcPr>
          <w:p>
            <w:pPr>
              <w:ind w:left="160"/>
              <w:spacing w:after="0"/>
              <w:rPr>
                <w:sz w:val="20"/>
                <w:szCs w:val="20"/>
                <w:color w:val="auto"/>
              </w:rPr>
            </w:pPr>
            <w:r>
              <w:rPr>
                <w:rFonts w:ascii="Arial" w:cs="Arial" w:eastAsia="Arial" w:hAnsi="Arial"/>
                <w:sz w:val="14"/>
                <w:szCs w:val="14"/>
                <w:color w:val="auto"/>
              </w:rPr>
              <w:t>LIST OF STOCKHOLDERS ENTITLED TO VOTE</w:t>
            </w:r>
          </w:p>
        </w:tc>
        <w:tc>
          <w:tcPr>
            <w:tcW w:w="1540" w:type="dxa"/>
            <w:vAlign w:val="bottom"/>
          </w:tcPr>
          <w:p>
            <w:pPr>
              <w:jc w:val="right"/>
              <w:spacing w:after="0"/>
              <w:rPr>
                <w:sz w:val="20"/>
                <w:szCs w:val="20"/>
                <w:color w:val="auto"/>
              </w:rPr>
            </w:pPr>
            <w:r>
              <w:rPr>
                <w:rFonts w:ascii="Arial" w:cs="Arial" w:eastAsia="Arial" w:hAnsi="Arial"/>
                <w:sz w:val="14"/>
                <w:szCs w:val="14"/>
                <w:color w:val="auto"/>
              </w:rPr>
              <w:t>C-8</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2.14</w:t>
            </w:r>
          </w:p>
        </w:tc>
        <w:tc>
          <w:tcPr>
            <w:tcW w:w="6040" w:type="dxa"/>
            <w:vAlign w:val="bottom"/>
          </w:tcPr>
          <w:p>
            <w:pPr>
              <w:ind w:left="160"/>
              <w:spacing w:after="0"/>
              <w:rPr>
                <w:sz w:val="20"/>
                <w:szCs w:val="20"/>
                <w:color w:val="auto"/>
              </w:rPr>
            </w:pPr>
            <w:r>
              <w:rPr>
                <w:rFonts w:ascii="Arial" w:cs="Arial" w:eastAsia="Arial" w:hAnsi="Arial"/>
                <w:sz w:val="14"/>
                <w:szCs w:val="14"/>
                <w:color w:val="auto"/>
              </w:rPr>
              <w:t>INSPECTORS OF ELECTION</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244"/>
        </w:trPr>
        <w:tc>
          <w:tcPr>
            <w:tcW w:w="6700" w:type="dxa"/>
            <w:vAlign w:val="bottom"/>
            <w:gridSpan w:val="2"/>
          </w:tcPr>
          <w:p>
            <w:pPr>
              <w:spacing w:after="0"/>
              <w:rPr>
                <w:sz w:val="20"/>
                <w:szCs w:val="20"/>
                <w:color w:val="auto"/>
              </w:rPr>
            </w:pPr>
            <w:r>
              <w:rPr>
                <w:rFonts w:ascii="Arial" w:cs="Arial" w:eastAsia="Arial" w:hAnsi="Arial"/>
                <w:sz w:val="14"/>
                <w:szCs w:val="14"/>
                <w:color w:val="auto"/>
              </w:rPr>
              <w:t>ARTICLE III—DIRECTORS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3.1</w:t>
            </w:r>
          </w:p>
        </w:tc>
        <w:tc>
          <w:tcPr>
            <w:tcW w:w="6040" w:type="dxa"/>
            <w:vAlign w:val="bottom"/>
          </w:tcPr>
          <w:p>
            <w:pPr>
              <w:ind w:left="160"/>
              <w:spacing w:after="0"/>
              <w:rPr>
                <w:sz w:val="20"/>
                <w:szCs w:val="20"/>
                <w:color w:val="auto"/>
              </w:rPr>
            </w:pPr>
            <w:r>
              <w:rPr>
                <w:rFonts w:ascii="Arial" w:cs="Arial" w:eastAsia="Arial" w:hAnsi="Arial"/>
                <w:sz w:val="14"/>
                <w:szCs w:val="14"/>
                <w:color w:val="auto"/>
              </w:rPr>
              <w:t>POWERS</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3.2</w:t>
            </w:r>
          </w:p>
        </w:tc>
        <w:tc>
          <w:tcPr>
            <w:tcW w:w="6040" w:type="dxa"/>
            <w:vAlign w:val="bottom"/>
          </w:tcPr>
          <w:p>
            <w:pPr>
              <w:ind w:left="160"/>
              <w:spacing w:after="0"/>
              <w:rPr>
                <w:sz w:val="20"/>
                <w:szCs w:val="20"/>
                <w:color w:val="auto"/>
              </w:rPr>
            </w:pPr>
            <w:r>
              <w:rPr>
                <w:rFonts w:ascii="Arial" w:cs="Arial" w:eastAsia="Arial" w:hAnsi="Arial"/>
                <w:sz w:val="14"/>
                <w:szCs w:val="14"/>
                <w:color w:val="auto"/>
              </w:rPr>
              <w:t>NUMBER OF 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3.3</w:t>
            </w:r>
          </w:p>
        </w:tc>
        <w:tc>
          <w:tcPr>
            <w:tcW w:w="6040" w:type="dxa"/>
            <w:vAlign w:val="bottom"/>
          </w:tcPr>
          <w:p>
            <w:pPr>
              <w:ind w:left="160"/>
              <w:spacing w:after="0"/>
              <w:rPr>
                <w:sz w:val="20"/>
                <w:szCs w:val="20"/>
                <w:color w:val="auto"/>
              </w:rPr>
            </w:pPr>
            <w:r>
              <w:rPr>
                <w:rFonts w:ascii="Arial" w:cs="Arial" w:eastAsia="Arial" w:hAnsi="Arial"/>
                <w:sz w:val="14"/>
                <w:szCs w:val="14"/>
                <w:color w:val="auto"/>
              </w:rPr>
              <w:t>ELECTION, QUALIFICATION AND TERM OF OFFICE OF 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3.4</w:t>
            </w:r>
          </w:p>
        </w:tc>
        <w:tc>
          <w:tcPr>
            <w:tcW w:w="6040" w:type="dxa"/>
            <w:vAlign w:val="bottom"/>
          </w:tcPr>
          <w:p>
            <w:pPr>
              <w:ind w:left="160"/>
              <w:spacing w:after="0"/>
              <w:rPr>
                <w:sz w:val="20"/>
                <w:szCs w:val="20"/>
                <w:color w:val="auto"/>
              </w:rPr>
            </w:pPr>
            <w:r>
              <w:rPr>
                <w:rFonts w:ascii="Arial" w:cs="Arial" w:eastAsia="Arial" w:hAnsi="Arial"/>
                <w:sz w:val="14"/>
                <w:szCs w:val="14"/>
                <w:color w:val="auto"/>
              </w:rPr>
              <w:t>RESIGNATION AND VACANCIES</w:t>
            </w:r>
          </w:p>
        </w:tc>
        <w:tc>
          <w:tcPr>
            <w:tcW w:w="1540" w:type="dxa"/>
            <w:vAlign w:val="bottom"/>
          </w:tcPr>
          <w:p>
            <w:pPr>
              <w:jc w:val="right"/>
              <w:spacing w:after="0"/>
              <w:rPr>
                <w:sz w:val="20"/>
                <w:szCs w:val="20"/>
                <w:color w:val="auto"/>
              </w:rPr>
            </w:pPr>
            <w:r>
              <w:rPr>
                <w:rFonts w:ascii="Arial" w:cs="Arial" w:eastAsia="Arial" w:hAnsi="Arial"/>
                <w:sz w:val="14"/>
                <w:szCs w:val="14"/>
                <w:color w:val="auto"/>
              </w:rPr>
              <w:t>C-9</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3.5</w:t>
            </w:r>
          </w:p>
        </w:tc>
        <w:tc>
          <w:tcPr>
            <w:tcW w:w="6040" w:type="dxa"/>
            <w:vAlign w:val="bottom"/>
          </w:tcPr>
          <w:p>
            <w:pPr>
              <w:ind w:left="160"/>
              <w:spacing w:after="0"/>
              <w:rPr>
                <w:sz w:val="20"/>
                <w:szCs w:val="20"/>
                <w:color w:val="auto"/>
              </w:rPr>
            </w:pPr>
            <w:r>
              <w:rPr>
                <w:rFonts w:ascii="Arial" w:cs="Arial" w:eastAsia="Arial" w:hAnsi="Arial"/>
                <w:sz w:val="14"/>
                <w:szCs w:val="14"/>
                <w:color w:val="auto"/>
              </w:rPr>
              <w:t>PLACE OF MEETINGS; MEETINGS BY TELEPHONE</w:t>
            </w:r>
          </w:p>
        </w:tc>
        <w:tc>
          <w:tcPr>
            <w:tcW w:w="1540" w:type="dxa"/>
            <w:vAlign w:val="bottom"/>
          </w:tcPr>
          <w:p>
            <w:pPr>
              <w:jc w:val="right"/>
              <w:spacing w:after="0"/>
              <w:rPr>
                <w:sz w:val="20"/>
                <w:szCs w:val="20"/>
                <w:color w:val="auto"/>
              </w:rPr>
            </w:pPr>
            <w:r>
              <w:rPr>
                <w:rFonts w:ascii="Arial" w:cs="Arial" w:eastAsia="Arial" w:hAnsi="Arial"/>
                <w:sz w:val="14"/>
                <w:szCs w:val="14"/>
                <w:color w:val="auto"/>
              </w:rPr>
              <w:t>C-10</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3.6</w:t>
            </w:r>
          </w:p>
        </w:tc>
        <w:tc>
          <w:tcPr>
            <w:tcW w:w="6040" w:type="dxa"/>
            <w:vAlign w:val="bottom"/>
          </w:tcPr>
          <w:p>
            <w:pPr>
              <w:ind w:left="160"/>
              <w:spacing w:after="0"/>
              <w:rPr>
                <w:sz w:val="20"/>
                <w:szCs w:val="20"/>
                <w:color w:val="auto"/>
              </w:rPr>
            </w:pPr>
            <w:r>
              <w:rPr>
                <w:rFonts w:ascii="Arial" w:cs="Arial" w:eastAsia="Arial" w:hAnsi="Arial"/>
                <w:sz w:val="14"/>
                <w:szCs w:val="14"/>
                <w:color w:val="auto"/>
              </w:rPr>
              <w:t>REGULAR MEETINGS</w:t>
            </w:r>
          </w:p>
        </w:tc>
        <w:tc>
          <w:tcPr>
            <w:tcW w:w="1540" w:type="dxa"/>
            <w:vAlign w:val="bottom"/>
          </w:tcPr>
          <w:p>
            <w:pPr>
              <w:jc w:val="right"/>
              <w:spacing w:after="0"/>
              <w:rPr>
                <w:sz w:val="20"/>
                <w:szCs w:val="20"/>
                <w:color w:val="auto"/>
              </w:rPr>
            </w:pPr>
            <w:r>
              <w:rPr>
                <w:rFonts w:ascii="Arial" w:cs="Arial" w:eastAsia="Arial" w:hAnsi="Arial"/>
                <w:sz w:val="14"/>
                <w:szCs w:val="14"/>
                <w:color w:val="auto"/>
              </w:rPr>
              <w:t>C-10</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3.7</w:t>
            </w:r>
          </w:p>
        </w:tc>
        <w:tc>
          <w:tcPr>
            <w:tcW w:w="6040" w:type="dxa"/>
            <w:vAlign w:val="bottom"/>
          </w:tcPr>
          <w:p>
            <w:pPr>
              <w:ind w:left="160"/>
              <w:spacing w:after="0"/>
              <w:rPr>
                <w:sz w:val="20"/>
                <w:szCs w:val="20"/>
                <w:color w:val="auto"/>
              </w:rPr>
            </w:pPr>
            <w:r>
              <w:rPr>
                <w:rFonts w:ascii="Arial" w:cs="Arial" w:eastAsia="Arial" w:hAnsi="Arial"/>
                <w:sz w:val="14"/>
                <w:szCs w:val="14"/>
                <w:color w:val="auto"/>
              </w:rPr>
              <w:t>SPECIAL MEETINGS; NOTICE</w:t>
            </w:r>
          </w:p>
        </w:tc>
        <w:tc>
          <w:tcPr>
            <w:tcW w:w="1540" w:type="dxa"/>
            <w:vAlign w:val="bottom"/>
          </w:tcPr>
          <w:p>
            <w:pPr>
              <w:jc w:val="right"/>
              <w:spacing w:after="0"/>
              <w:rPr>
                <w:sz w:val="20"/>
                <w:szCs w:val="20"/>
                <w:color w:val="auto"/>
              </w:rPr>
            </w:pPr>
            <w:r>
              <w:rPr>
                <w:rFonts w:ascii="Arial" w:cs="Arial" w:eastAsia="Arial" w:hAnsi="Arial"/>
                <w:sz w:val="14"/>
                <w:szCs w:val="14"/>
                <w:color w:val="auto"/>
              </w:rPr>
              <w:t>C-10</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3.8</w:t>
            </w:r>
          </w:p>
        </w:tc>
        <w:tc>
          <w:tcPr>
            <w:tcW w:w="6040" w:type="dxa"/>
            <w:vAlign w:val="bottom"/>
          </w:tcPr>
          <w:p>
            <w:pPr>
              <w:ind w:left="160"/>
              <w:spacing w:after="0"/>
              <w:rPr>
                <w:sz w:val="20"/>
                <w:szCs w:val="20"/>
                <w:color w:val="auto"/>
              </w:rPr>
            </w:pPr>
            <w:r>
              <w:rPr>
                <w:rFonts w:ascii="Arial" w:cs="Arial" w:eastAsia="Arial" w:hAnsi="Arial"/>
                <w:sz w:val="14"/>
                <w:szCs w:val="14"/>
                <w:color w:val="auto"/>
              </w:rPr>
              <w:t>QUORUM; VOTING</w:t>
            </w:r>
          </w:p>
        </w:tc>
        <w:tc>
          <w:tcPr>
            <w:tcW w:w="1540" w:type="dxa"/>
            <w:vAlign w:val="bottom"/>
          </w:tcPr>
          <w:p>
            <w:pPr>
              <w:jc w:val="right"/>
              <w:spacing w:after="0"/>
              <w:rPr>
                <w:sz w:val="20"/>
                <w:szCs w:val="20"/>
                <w:color w:val="auto"/>
              </w:rPr>
            </w:pPr>
            <w:r>
              <w:rPr>
                <w:rFonts w:ascii="Arial" w:cs="Arial" w:eastAsia="Arial" w:hAnsi="Arial"/>
                <w:sz w:val="14"/>
                <w:szCs w:val="14"/>
                <w:color w:val="auto"/>
              </w:rPr>
              <w:t>C-10</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3.9</w:t>
            </w:r>
          </w:p>
        </w:tc>
        <w:tc>
          <w:tcPr>
            <w:tcW w:w="6040" w:type="dxa"/>
            <w:vAlign w:val="bottom"/>
          </w:tcPr>
          <w:p>
            <w:pPr>
              <w:ind w:left="160"/>
              <w:spacing w:after="0"/>
              <w:rPr>
                <w:sz w:val="20"/>
                <w:szCs w:val="20"/>
                <w:color w:val="auto"/>
              </w:rPr>
            </w:pPr>
            <w:r>
              <w:rPr>
                <w:rFonts w:ascii="Arial" w:cs="Arial" w:eastAsia="Arial" w:hAnsi="Arial"/>
                <w:sz w:val="14"/>
                <w:szCs w:val="14"/>
                <w:color w:val="auto"/>
              </w:rPr>
              <w:t>BOARD ACTION BY WRITTEN CONSENT WITHOUT A MEETING</w:t>
            </w:r>
          </w:p>
        </w:tc>
        <w:tc>
          <w:tcPr>
            <w:tcW w:w="1540" w:type="dxa"/>
            <w:vAlign w:val="bottom"/>
          </w:tcPr>
          <w:p>
            <w:pPr>
              <w:jc w:val="right"/>
              <w:spacing w:after="0"/>
              <w:rPr>
                <w:sz w:val="20"/>
                <w:szCs w:val="20"/>
                <w:color w:val="auto"/>
              </w:rPr>
            </w:pPr>
            <w:r>
              <w:rPr>
                <w:rFonts w:ascii="Arial" w:cs="Arial" w:eastAsia="Arial" w:hAnsi="Arial"/>
                <w:sz w:val="14"/>
                <w:szCs w:val="14"/>
                <w:color w:val="auto"/>
              </w:rPr>
              <w:t>C-10</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3.10</w:t>
            </w:r>
          </w:p>
        </w:tc>
        <w:tc>
          <w:tcPr>
            <w:tcW w:w="6040" w:type="dxa"/>
            <w:vAlign w:val="bottom"/>
          </w:tcPr>
          <w:p>
            <w:pPr>
              <w:ind w:left="160"/>
              <w:spacing w:after="0"/>
              <w:rPr>
                <w:sz w:val="20"/>
                <w:szCs w:val="20"/>
                <w:color w:val="auto"/>
              </w:rPr>
            </w:pPr>
            <w:r>
              <w:rPr>
                <w:rFonts w:ascii="Arial" w:cs="Arial" w:eastAsia="Arial" w:hAnsi="Arial"/>
                <w:sz w:val="14"/>
                <w:szCs w:val="14"/>
                <w:color w:val="auto"/>
              </w:rPr>
              <w:t>FEES AND COMPENSATION OF 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3.11</w:t>
            </w:r>
          </w:p>
        </w:tc>
        <w:tc>
          <w:tcPr>
            <w:tcW w:w="6040" w:type="dxa"/>
            <w:vAlign w:val="bottom"/>
          </w:tcPr>
          <w:p>
            <w:pPr>
              <w:ind w:left="160"/>
              <w:spacing w:after="0"/>
              <w:rPr>
                <w:sz w:val="20"/>
                <w:szCs w:val="20"/>
                <w:color w:val="auto"/>
              </w:rPr>
            </w:pPr>
            <w:r>
              <w:rPr>
                <w:rFonts w:ascii="Arial" w:cs="Arial" w:eastAsia="Arial" w:hAnsi="Arial"/>
                <w:sz w:val="14"/>
                <w:szCs w:val="14"/>
                <w:color w:val="auto"/>
              </w:rPr>
              <w:t>REMOVAL OF 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244"/>
        </w:trPr>
        <w:tc>
          <w:tcPr>
            <w:tcW w:w="6700" w:type="dxa"/>
            <w:vAlign w:val="bottom"/>
            <w:gridSpan w:val="2"/>
          </w:tcPr>
          <w:p>
            <w:pPr>
              <w:spacing w:after="0"/>
              <w:rPr>
                <w:sz w:val="20"/>
                <w:szCs w:val="20"/>
                <w:color w:val="auto"/>
              </w:rPr>
            </w:pPr>
            <w:r>
              <w:rPr>
                <w:rFonts w:ascii="Arial" w:cs="Arial" w:eastAsia="Arial" w:hAnsi="Arial"/>
                <w:sz w:val="14"/>
                <w:szCs w:val="14"/>
                <w:color w:val="auto"/>
              </w:rPr>
              <w:t>ARTICLE IV—COMMITTEES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4.1</w:t>
            </w:r>
          </w:p>
        </w:tc>
        <w:tc>
          <w:tcPr>
            <w:tcW w:w="6040" w:type="dxa"/>
            <w:vAlign w:val="bottom"/>
          </w:tcPr>
          <w:p>
            <w:pPr>
              <w:ind w:left="160"/>
              <w:spacing w:after="0"/>
              <w:rPr>
                <w:sz w:val="20"/>
                <w:szCs w:val="20"/>
                <w:color w:val="auto"/>
              </w:rPr>
            </w:pPr>
            <w:r>
              <w:rPr>
                <w:rFonts w:ascii="Arial" w:cs="Arial" w:eastAsia="Arial" w:hAnsi="Arial"/>
                <w:sz w:val="14"/>
                <w:szCs w:val="14"/>
                <w:color w:val="auto"/>
              </w:rPr>
              <w:t>COMMITTEES OF DIRECTORS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4.2</w:t>
            </w:r>
          </w:p>
        </w:tc>
        <w:tc>
          <w:tcPr>
            <w:tcW w:w="6040" w:type="dxa"/>
            <w:vAlign w:val="bottom"/>
          </w:tcPr>
          <w:p>
            <w:pPr>
              <w:ind w:left="160"/>
              <w:spacing w:after="0"/>
              <w:rPr>
                <w:sz w:val="20"/>
                <w:szCs w:val="20"/>
                <w:color w:val="auto"/>
              </w:rPr>
            </w:pPr>
            <w:r>
              <w:rPr>
                <w:rFonts w:ascii="Arial" w:cs="Arial" w:eastAsia="Arial" w:hAnsi="Arial"/>
                <w:sz w:val="14"/>
                <w:szCs w:val="14"/>
                <w:color w:val="auto"/>
              </w:rPr>
              <w:t>COMMITTEE MINUTES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4.3</w:t>
            </w:r>
          </w:p>
        </w:tc>
        <w:tc>
          <w:tcPr>
            <w:tcW w:w="6040" w:type="dxa"/>
            <w:vAlign w:val="bottom"/>
          </w:tcPr>
          <w:p>
            <w:pPr>
              <w:ind w:left="160"/>
              <w:spacing w:after="0"/>
              <w:rPr>
                <w:sz w:val="20"/>
                <w:szCs w:val="20"/>
                <w:color w:val="auto"/>
              </w:rPr>
            </w:pPr>
            <w:r>
              <w:rPr>
                <w:rFonts w:ascii="Arial" w:cs="Arial" w:eastAsia="Arial" w:hAnsi="Arial"/>
                <w:sz w:val="14"/>
                <w:szCs w:val="14"/>
                <w:color w:val="auto"/>
              </w:rPr>
              <w:t>MEETINGS AND ACTION OF COMMITTEES</w:t>
            </w:r>
          </w:p>
        </w:tc>
        <w:tc>
          <w:tcPr>
            <w:tcW w:w="1540" w:type="dxa"/>
            <w:vAlign w:val="bottom"/>
          </w:tcPr>
          <w:p>
            <w:pPr>
              <w:jc w:val="right"/>
              <w:spacing w:after="0"/>
              <w:rPr>
                <w:sz w:val="20"/>
                <w:szCs w:val="20"/>
                <w:color w:val="auto"/>
              </w:rPr>
            </w:pPr>
            <w:r>
              <w:rPr>
                <w:rFonts w:ascii="Arial" w:cs="Arial" w:eastAsia="Arial" w:hAnsi="Arial"/>
                <w:sz w:val="14"/>
                <w:szCs w:val="14"/>
                <w:color w:val="auto"/>
              </w:rPr>
              <w:t>C-11</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4.4</w:t>
            </w:r>
          </w:p>
        </w:tc>
        <w:tc>
          <w:tcPr>
            <w:tcW w:w="6040" w:type="dxa"/>
            <w:vAlign w:val="bottom"/>
          </w:tcPr>
          <w:p>
            <w:pPr>
              <w:ind w:left="160"/>
              <w:spacing w:after="0"/>
              <w:rPr>
                <w:sz w:val="20"/>
                <w:szCs w:val="20"/>
                <w:color w:val="auto"/>
              </w:rPr>
            </w:pPr>
            <w:r>
              <w:rPr>
                <w:rFonts w:ascii="Arial" w:cs="Arial" w:eastAsia="Arial" w:hAnsi="Arial"/>
                <w:sz w:val="14"/>
                <w:szCs w:val="14"/>
                <w:color w:val="auto"/>
              </w:rPr>
              <w:t>SUBCOMMITTEES</w:t>
            </w:r>
          </w:p>
        </w:tc>
        <w:tc>
          <w:tcPr>
            <w:tcW w:w="1540" w:type="dxa"/>
            <w:vAlign w:val="bottom"/>
          </w:tcPr>
          <w:p>
            <w:pPr>
              <w:jc w:val="right"/>
              <w:spacing w:after="0"/>
              <w:rPr>
                <w:sz w:val="20"/>
                <w:szCs w:val="20"/>
                <w:color w:val="auto"/>
              </w:rPr>
            </w:pPr>
            <w:r>
              <w:rPr>
                <w:rFonts w:ascii="Arial" w:cs="Arial" w:eastAsia="Arial" w:hAnsi="Arial"/>
                <w:sz w:val="14"/>
                <w:szCs w:val="14"/>
                <w:color w:val="auto"/>
              </w:rPr>
              <w:t>C-12</w:t>
            </w:r>
          </w:p>
        </w:tc>
      </w:tr>
      <w:tr>
        <w:trPr>
          <w:trHeight w:val="244"/>
        </w:trPr>
        <w:tc>
          <w:tcPr>
            <w:tcW w:w="6700" w:type="dxa"/>
            <w:vAlign w:val="bottom"/>
            <w:gridSpan w:val="2"/>
          </w:tcPr>
          <w:p>
            <w:pPr>
              <w:spacing w:after="0"/>
              <w:rPr>
                <w:sz w:val="20"/>
                <w:szCs w:val="20"/>
                <w:color w:val="auto"/>
              </w:rPr>
            </w:pPr>
            <w:r>
              <w:rPr>
                <w:rFonts w:ascii="Arial" w:cs="Arial" w:eastAsia="Arial" w:hAnsi="Arial"/>
                <w:sz w:val="14"/>
                <w:szCs w:val="14"/>
                <w:color w:val="auto"/>
              </w:rPr>
              <w:t>ARTICLE V—OFFICERS</w:t>
            </w:r>
          </w:p>
        </w:tc>
        <w:tc>
          <w:tcPr>
            <w:tcW w:w="1540" w:type="dxa"/>
            <w:vAlign w:val="bottom"/>
          </w:tcPr>
          <w:p>
            <w:pPr>
              <w:jc w:val="right"/>
              <w:spacing w:after="0"/>
              <w:rPr>
                <w:sz w:val="20"/>
                <w:szCs w:val="20"/>
                <w:color w:val="auto"/>
              </w:rPr>
            </w:pPr>
            <w:r>
              <w:rPr>
                <w:rFonts w:ascii="Arial" w:cs="Arial" w:eastAsia="Arial" w:hAnsi="Arial"/>
                <w:sz w:val="14"/>
                <w:szCs w:val="14"/>
                <w:color w:val="auto"/>
              </w:rPr>
              <w:t>C-12</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5.1</w:t>
            </w:r>
          </w:p>
        </w:tc>
        <w:tc>
          <w:tcPr>
            <w:tcW w:w="6040" w:type="dxa"/>
            <w:vAlign w:val="bottom"/>
          </w:tcPr>
          <w:p>
            <w:pPr>
              <w:ind w:left="160"/>
              <w:spacing w:after="0"/>
              <w:rPr>
                <w:sz w:val="20"/>
                <w:szCs w:val="20"/>
                <w:color w:val="auto"/>
              </w:rPr>
            </w:pPr>
            <w:r>
              <w:rPr>
                <w:rFonts w:ascii="Arial" w:cs="Arial" w:eastAsia="Arial" w:hAnsi="Arial"/>
                <w:sz w:val="14"/>
                <w:szCs w:val="14"/>
                <w:color w:val="auto"/>
              </w:rPr>
              <w:t>OFFICERS</w:t>
            </w:r>
          </w:p>
        </w:tc>
        <w:tc>
          <w:tcPr>
            <w:tcW w:w="1540" w:type="dxa"/>
            <w:vAlign w:val="bottom"/>
          </w:tcPr>
          <w:p>
            <w:pPr>
              <w:jc w:val="right"/>
              <w:spacing w:after="0"/>
              <w:rPr>
                <w:sz w:val="20"/>
                <w:szCs w:val="20"/>
                <w:color w:val="auto"/>
              </w:rPr>
            </w:pPr>
            <w:r>
              <w:rPr>
                <w:rFonts w:ascii="Arial" w:cs="Arial" w:eastAsia="Arial" w:hAnsi="Arial"/>
                <w:sz w:val="14"/>
                <w:szCs w:val="14"/>
                <w:color w:val="auto"/>
              </w:rPr>
              <w:t>C-12</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5.2</w:t>
            </w:r>
          </w:p>
        </w:tc>
        <w:tc>
          <w:tcPr>
            <w:tcW w:w="6040" w:type="dxa"/>
            <w:vAlign w:val="bottom"/>
          </w:tcPr>
          <w:p>
            <w:pPr>
              <w:ind w:left="160"/>
              <w:spacing w:after="0"/>
              <w:rPr>
                <w:sz w:val="20"/>
                <w:szCs w:val="20"/>
                <w:color w:val="auto"/>
              </w:rPr>
            </w:pPr>
            <w:r>
              <w:rPr>
                <w:rFonts w:ascii="Arial" w:cs="Arial" w:eastAsia="Arial" w:hAnsi="Arial"/>
                <w:sz w:val="14"/>
                <w:szCs w:val="14"/>
                <w:color w:val="auto"/>
              </w:rPr>
              <w:t>APPOINTMENT OF OFFICERS</w:t>
            </w:r>
          </w:p>
        </w:tc>
        <w:tc>
          <w:tcPr>
            <w:tcW w:w="1540" w:type="dxa"/>
            <w:vAlign w:val="bottom"/>
          </w:tcPr>
          <w:p>
            <w:pPr>
              <w:jc w:val="right"/>
              <w:spacing w:after="0"/>
              <w:rPr>
                <w:sz w:val="20"/>
                <w:szCs w:val="20"/>
                <w:color w:val="auto"/>
              </w:rPr>
            </w:pPr>
            <w:r>
              <w:rPr>
                <w:rFonts w:ascii="Arial" w:cs="Arial" w:eastAsia="Arial" w:hAnsi="Arial"/>
                <w:sz w:val="14"/>
                <w:szCs w:val="14"/>
                <w:color w:val="auto"/>
              </w:rPr>
              <w:t>C-12</w:t>
            </w: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9019"/>
          </w:cols>
          <w:pgMar w:left="1440" w:top="127" w:right="1440" w:bottom="1440" w:gutter="0" w:footer="0" w:header="0"/>
        </w:sectPr>
      </w:pPr>
    </w:p>
    <w:bookmarkStart w:id="36" w:name="page37"/>
    <w:bookmarkEnd w:id="36"/>
    <w:tbl>
      <w:tblPr>
        <w:tblLayout w:type="fixed"/>
        <w:tblInd w:w="360" w:type="dxa"/>
        <w:tblCellMar>
          <w:top w:w="0" w:type="dxa"/>
          <w:left w:w="0" w:type="dxa"/>
          <w:bottom w:w="0" w:type="dxa"/>
          <w:right w:w="0" w:type="dxa"/>
        </w:tblCellMar>
      </w:tblP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5.3</w:t>
            </w:r>
          </w:p>
        </w:tc>
        <w:tc>
          <w:tcPr>
            <w:tcW w:w="7140" w:type="dxa"/>
            <w:vAlign w:val="bottom"/>
          </w:tcPr>
          <w:p>
            <w:pPr>
              <w:ind w:left="160"/>
              <w:spacing w:after="0"/>
              <w:rPr>
                <w:sz w:val="20"/>
                <w:szCs w:val="20"/>
                <w:color w:val="auto"/>
              </w:rPr>
            </w:pPr>
            <w:r>
              <w:rPr>
                <w:rFonts w:ascii="Arial" w:cs="Arial" w:eastAsia="Arial" w:hAnsi="Arial"/>
                <w:sz w:val="14"/>
                <w:szCs w:val="14"/>
                <w:color w:val="auto"/>
              </w:rPr>
              <w:t>SUBORDINATE OFFICERS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C-12</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5.4</w:t>
            </w:r>
          </w:p>
        </w:tc>
        <w:tc>
          <w:tcPr>
            <w:tcW w:w="7140" w:type="dxa"/>
            <w:vAlign w:val="bottom"/>
          </w:tcPr>
          <w:p>
            <w:pPr>
              <w:ind w:left="160"/>
              <w:spacing w:after="0"/>
              <w:rPr>
                <w:sz w:val="20"/>
                <w:szCs w:val="20"/>
                <w:color w:val="auto"/>
              </w:rPr>
            </w:pPr>
            <w:r>
              <w:rPr>
                <w:rFonts w:ascii="Arial" w:cs="Arial" w:eastAsia="Arial" w:hAnsi="Arial"/>
                <w:sz w:val="14"/>
                <w:szCs w:val="14"/>
                <w:color w:val="auto"/>
              </w:rPr>
              <w:t>REMOVAL AND RESIGNATION OF OFFICERS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C-12</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5.5</w:t>
            </w:r>
          </w:p>
        </w:tc>
        <w:tc>
          <w:tcPr>
            <w:tcW w:w="7140" w:type="dxa"/>
            <w:vAlign w:val="bottom"/>
          </w:tcPr>
          <w:p>
            <w:pPr>
              <w:ind w:left="160"/>
              <w:spacing w:after="0"/>
              <w:rPr>
                <w:sz w:val="20"/>
                <w:szCs w:val="20"/>
                <w:color w:val="auto"/>
              </w:rPr>
            </w:pPr>
            <w:r>
              <w:rPr>
                <w:rFonts w:ascii="Arial" w:cs="Arial" w:eastAsia="Arial" w:hAnsi="Arial"/>
                <w:sz w:val="14"/>
                <w:szCs w:val="14"/>
                <w:color w:val="auto"/>
              </w:rPr>
              <w:t>VACANCIES IN OFFICES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C-12</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5.6</w:t>
            </w:r>
          </w:p>
        </w:tc>
        <w:tc>
          <w:tcPr>
            <w:tcW w:w="7140" w:type="dxa"/>
            <w:vAlign w:val="bottom"/>
          </w:tcPr>
          <w:p>
            <w:pPr>
              <w:ind w:left="160"/>
              <w:spacing w:after="0"/>
              <w:rPr>
                <w:sz w:val="20"/>
                <w:szCs w:val="20"/>
                <w:color w:val="auto"/>
              </w:rPr>
            </w:pPr>
            <w:r>
              <w:rPr>
                <w:rFonts w:ascii="Arial" w:cs="Arial" w:eastAsia="Arial" w:hAnsi="Arial"/>
                <w:sz w:val="14"/>
                <w:szCs w:val="14"/>
                <w:color w:val="auto"/>
              </w:rPr>
              <w:t>REPRESENTATION OF SECURITIES OF OTHER ENTITIES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5.7</w:t>
            </w:r>
          </w:p>
        </w:tc>
        <w:tc>
          <w:tcPr>
            <w:tcW w:w="7140" w:type="dxa"/>
            <w:vAlign w:val="bottom"/>
          </w:tcPr>
          <w:p>
            <w:pPr>
              <w:ind w:left="160"/>
              <w:spacing w:after="0"/>
              <w:rPr>
                <w:sz w:val="20"/>
                <w:szCs w:val="20"/>
                <w:color w:val="auto"/>
              </w:rPr>
            </w:pPr>
            <w:r>
              <w:rPr>
                <w:rFonts w:ascii="Arial" w:cs="Arial" w:eastAsia="Arial" w:hAnsi="Arial"/>
                <w:sz w:val="14"/>
                <w:szCs w:val="14"/>
                <w:color w:val="auto"/>
              </w:rPr>
              <w:t>AUTHORITY AND DUTIES OF OFFICERS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VI—STOCK</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6.1</w:t>
            </w:r>
          </w:p>
        </w:tc>
        <w:tc>
          <w:tcPr>
            <w:tcW w:w="7140" w:type="dxa"/>
            <w:vAlign w:val="bottom"/>
          </w:tcPr>
          <w:p>
            <w:pPr>
              <w:ind w:left="160"/>
              <w:spacing w:after="0"/>
              <w:rPr>
                <w:sz w:val="20"/>
                <w:szCs w:val="20"/>
                <w:color w:val="auto"/>
              </w:rPr>
            </w:pPr>
            <w:r>
              <w:rPr>
                <w:rFonts w:ascii="Arial" w:cs="Arial" w:eastAsia="Arial" w:hAnsi="Arial"/>
                <w:sz w:val="14"/>
                <w:szCs w:val="14"/>
                <w:color w:val="auto"/>
              </w:rPr>
              <w:t>SHARES OF STOCK</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6.2</w:t>
            </w:r>
          </w:p>
        </w:tc>
        <w:tc>
          <w:tcPr>
            <w:tcW w:w="7140" w:type="dxa"/>
            <w:vAlign w:val="bottom"/>
          </w:tcPr>
          <w:p>
            <w:pPr>
              <w:ind w:left="160"/>
              <w:spacing w:after="0"/>
              <w:rPr>
                <w:sz w:val="20"/>
                <w:szCs w:val="20"/>
                <w:color w:val="auto"/>
              </w:rPr>
            </w:pPr>
            <w:r>
              <w:rPr>
                <w:rFonts w:ascii="Arial" w:cs="Arial" w:eastAsia="Arial" w:hAnsi="Arial"/>
                <w:sz w:val="14"/>
                <w:szCs w:val="14"/>
                <w:color w:val="auto"/>
              </w:rPr>
              <w:t>DIVIDENDS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6.3</w:t>
            </w:r>
          </w:p>
        </w:tc>
        <w:tc>
          <w:tcPr>
            <w:tcW w:w="7140" w:type="dxa"/>
            <w:vAlign w:val="bottom"/>
          </w:tcPr>
          <w:p>
            <w:pPr>
              <w:ind w:left="160"/>
              <w:spacing w:after="0"/>
              <w:rPr>
                <w:sz w:val="20"/>
                <w:szCs w:val="20"/>
                <w:color w:val="auto"/>
              </w:rPr>
            </w:pPr>
            <w:r>
              <w:rPr>
                <w:rFonts w:ascii="Arial" w:cs="Arial" w:eastAsia="Arial" w:hAnsi="Arial"/>
                <w:sz w:val="14"/>
                <w:szCs w:val="14"/>
                <w:color w:val="auto"/>
              </w:rPr>
              <w:t>STOCK TRANSFER AGREEMENTS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6.4</w:t>
            </w:r>
          </w:p>
        </w:tc>
        <w:tc>
          <w:tcPr>
            <w:tcW w:w="7140" w:type="dxa"/>
            <w:vAlign w:val="bottom"/>
          </w:tcPr>
          <w:p>
            <w:pPr>
              <w:ind w:left="160"/>
              <w:spacing w:after="0"/>
              <w:rPr>
                <w:sz w:val="20"/>
                <w:szCs w:val="20"/>
                <w:color w:val="auto"/>
              </w:rPr>
            </w:pPr>
            <w:r>
              <w:rPr>
                <w:rFonts w:ascii="Arial" w:cs="Arial" w:eastAsia="Arial" w:hAnsi="Arial"/>
                <w:sz w:val="14"/>
                <w:szCs w:val="14"/>
                <w:color w:val="auto"/>
              </w:rPr>
              <w:t>REGISTERED STOCKHOLDERS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VII—MANNER OF GIVING NOTICE AND WAIVER</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7.1</w:t>
            </w:r>
          </w:p>
        </w:tc>
        <w:tc>
          <w:tcPr>
            <w:tcW w:w="7140" w:type="dxa"/>
            <w:vAlign w:val="bottom"/>
          </w:tcPr>
          <w:p>
            <w:pPr>
              <w:ind w:left="160"/>
              <w:spacing w:after="0"/>
              <w:rPr>
                <w:sz w:val="20"/>
                <w:szCs w:val="20"/>
                <w:color w:val="auto"/>
              </w:rPr>
            </w:pPr>
            <w:r>
              <w:rPr>
                <w:rFonts w:ascii="Arial" w:cs="Arial" w:eastAsia="Arial" w:hAnsi="Arial"/>
                <w:sz w:val="14"/>
                <w:szCs w:val="14"/>
                <w:color w:val="auto"/>
              </w:rPr>
              <w:t>NOTICE OF STOCKHOLDERS’ MEETINGS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C-13</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7.2</w:t>
            </w:r>
          </w:p>
        </w:tc>
        <w:tc>
          <w:tcPr>
            <w:tcW w:w="7140" w:type="dxa"/>
            <w:vAlign w:val="bottom"/>
          </w:tcPr>
          <w:p>
            <w:pPr>
              <w:ind w:left="160"/>
              <w:spacing w:after="0"/>
              <w:rPr>
                <w:sz w:val="20"/>
                <w:szCs w:val="20"/>
                <w:color w:val="auto"/>
              </w:rPr>
            </w:pPr>
            <w:r>
              <w:rPr>
                <w:rFonts w:ascii="Arial" w:cs="Arial" w:eastAsia="Arial" w:hAnsi="Arial"/>
                <w:sz w:val="14"/>
                <w:szCs w:val="14"/>
                <w:color w:val="auto"/>
              </w:rPr>
              <w:t>NOTICE TO STOCKHOLDERS SHARING AN ADDRESS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C-14</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7.3</w:t>
            </w:r>
          </w:p>
        </w:tc>
        <w:tc>
          <w:tcPr>
            <w:tcW w:w="7140" w:type="dxa"/>
            <w:vAlign w:val="bottom"/>
          </w:tcPr>
          <w:p>
            <w:pPr>
              <w:ind w:left="160"/>
              <w:spacing w:after="0"/>
              <w:rPr>
                <w:sz w:val="20"/>
                <w:szCs w:val="20"/>
                <w:color w:val="auto"/>
              </w:rPr>
            </w:pPr>
            <w:r>
              <w:rPr>
                <w:rFonts w:ascii="Arial" w:cs="Arial" w:eastAsia="Arial" w:hAnsi="Arial"/>
                <w:sz w:val="14"/>
                <w:szCs w:val="14"/>
                <w:color w:val="auto"/>
              </w:rPr>
              <w:t>NOTICE TO PERSON WITH WHOM COMMUNICATION IS UNLAWFUL</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C-14</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7.4</w:t>
            </w:r>
          </w:p>
        </w:tc>
        <w:tc>
          <w:tcPr>
            <w:tcW w:w="7140" w:type="dxa"/>
            <w:vAlign w:val="bottom"/>
          </w:tcPr>
          <w:p>
            <w:pPr>
              <w:ind w:left="160"/>
              <w:spacing w:after="0"/>
              <w:rPr>
                <w:sz w:val="20"/>
                <w:szCs w:val="20"/>
                <w:color w:val="auto"/>
              </w:rPr>
            </w:pPr>
            <w:r>
              <w:rPr>
                <w:rFonts w:ascii="Arial" w:cs="Arial" w:eastAsia="Arial" w:hAnsi="Arial"/>
                <w:sz w:val="14"/>
                <w:szCs w:val="14"/>
                <w:color w:val="auto"/>
              </w:rPr>
              <w:t>WAIVER OF NOTICE</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C-14</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VIII—INDEMNIFICATION</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C-14</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8.1</w:t>
            </w:r>
          </w:p>
        </w:tc>
        <w:tc>
          <w:tcPr>
            <w:tcW w:w="7140" w:type="dxa"/>
            <w:vAlign w:val="bottom"/>
          </w:tcPr>
          <w:p>
            <w:pPr>
              <w:ind w:left="160"/>
              <w:spacing w:after="0"/>
              <w:rPr>
                <w:sz w:val="20"/>
                <w:szCs w:val="20"/>
                <w:color w:val="auto"/>
              </w:rPr>
            </w:pPr>
            <w:r>
              <w:rPr>
                <w:rFonts w:ascii="Arial" w:cs="Arial" w:eastAsia="Arial" w:hAnsi="Arial"/>
                <w:sz w:val="14"/>
                <w:szCs w:val="14"/>
                <w:color w:val="auto"/>
              </w:rPr>
              <w:t>INDEMNIFICATION OF DIRECTORS AND OFFICERS IN THIRD PARTY PROCEEDINGS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C-14</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8.2</w:t>
            </w:r>
          </w:p>
        </w:tc>
        <w:tc>
          <w:tcPr>
            <w:tcW w:w="7140" w:type="dxa"/>
            <w:vAlign w:val="bottom"/>
          </w:tcPr>
          <w:p>
            <w:pPr>
              <w:ind w:left="160"/>
              <w:spacing w:after="0"/>
              <w:rPr>
                <w:sz w:val="20"/>
                <w:szCs w:val="20"/>
                <w:color w:val="auto"/>
              </w:rPr>
            </w:pPr>
            <w:r>
              <w:rPr>
                <w:rFonts w:ascii="Arial" w:cs="Arial" w:eastAsia="Arial" w:hAnsi="Arial"/>
                <w:sz w:val="14"/>
                <w:szCs w:val="14"/>
                <w:color w:val="auto"/>
                <w:w w:val="94"/>
              </w:rPr>
              <w:t>INDEMNIFICATION OF DIRECTORS AND OFFICERS IN ACTIONS BY OR IN THE RIGHT OF THE CORPORATION</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C-15</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8.3</w:t>
            </w:r>
          </w:p>
        </w:tc>
        <w:tc>
          <w:tcPr>
            <w:tcW w:w="7140" w:type="dxa"/>
            <w:vAlign w:val="bottom"/>
          </w:tcPr>
          <w:p>
            <w:pPr>
              <w:ind w:left="160"/>
              <w:spacing w:after="0"/>
              <w:rPr>
                <w:sz w:val="20"/>
                <w:szCs w:val="20"/>
                <w:color w:val="auto"/>
              </w:rPr>
            </w:pPr>
            <w:r>
              <w:rPr>
                <w:rFonts w:ascii="Arial" w:cs="Arial" w:eastAsia="Arial" w:hAnsi="Arial"/>
                <w:sz w:val="14"/>
                <w:szCs w:val="14"/>
                <w:color w:val="auto"/>
              </w:rPr>
              <w:t>SUCCESSFUL DEFENSE</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C-15</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8.4</w:t>
            </w:r>
          </w:p>
        </w:tc>
        <w:tc>
          <w:tcPr>
            <w:tcW w:w="7140" w:type="dxa"/>
            <w:vAlign w:val="bottom"/>
          </w:tcPr>
          <w:p>
            <w:pPr>
              <w:ind w:left="160"/>
              <w:spacing w:after="0"/>
              <w:rPr>
                <w:sz w:val="20"/>
                <w:szCs w:val="20"/>
                <w:color w:val="auto"/>
              </w:rPr>
            </w:pPr>
            <w:r>
              <w:rPr>
                <w:rFonts w:ascii="Arial" w:cs="Arial" w:eastAsia="Arial" w:hAnsi="Arial"/>
                <w:sz w:val="14"/>
                <w:szCs w:val="14"/>
                <w:color w:val="auto"/>
              </w:rPr>
              <w:t>INDEMNIFICATION OF OTHERS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C-15</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8.5</w:t>
            </w:r>
          </w:p>
        </w:tc>
        <w:tc>
          <w:tcPr>
            <w:tcW w:w="7140" w:type="dxa"/>
            <w:vAlign w:val="bottom"/>
          </w:tcPr>
          <w:p>
            <w:pPr>
              <w:ind w:left="160"/>
              <w:spacing w:after="0"/>
              <w:rPr>
                <w:sz w:val="20"/>
                <w:szCs w:val="20"/>
                <w:color w:val="auto"/>
              </w:rPr>
            </w:pPr>
            <w:r>
              <w:rPr>
                <w:rFonts w:ascii="Arial" w:cs="Arial" w:eastAsia="Arial" w:hAnsi="Arial"/>
                <w:sz w:val="14"/>
                <w:szCs w:val="14"/>
                <w:color w:val="auto"/>
              </w:rPr>
              <w:t>ADVANCE PAYMENT OF EXPENSES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C-15</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8.6</w:t>
            </w:r>
          </w:p>
        </w:tc>
        <w:tc>
          <w:tcPr>
            <w:tcW w:w="7140" w:type="dxa"/>
            <w:vAlign w:val="bottom"/>
          </w:tcPr>
          <w:p>
            <w:pPr>
              <w:ind w:left="160"/>
              <w:spacing w:after="0"/>
              <w:rPr>
                <w:sz w:val="20"/>
                <w:szCs w:val="20"/>
                <w:color w:val="auto"/>
              </w:rPr>
            </w:pPr>
            <w:r>
              <w:rPr>
                <w:rFonts w:ascii="Arial" w:cs="Arial" w:eastAsia="Arial" w:hAnsi="Arial"/>
                <w:sz w:val="14"/>
                <w:szCs w:val="14"/>
                <w:color w:val="auto"/>
              </w:rPr>
              <w:t>LIMITATION ON INDEMNIFICATION</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8.7</w:t>
            </w:r>
          </w:p>
        </w:tc>
        <w:tc>
          <w:tcPr>
            <w:tcW w:w="7140" w:type="dxa"/>
            <w:vAlign w:val="bottom"/>
          </w:tcPr>
          <w:p>
            <w:pPr>
              <w:ind w:left="160"/>
              <w:spacing w:after="0"/>
              <w:rPr>
                <w:sz w:val="20"/>
                <w:szCs w:val="20"/>
                <w:color w:val="auto"/>
              </w:rPr>
            </w:pPr>
            <w:r>
              <w:rPr>
                <w:rFonts w:ascii="Arial" w:cs="Arial" w:eastAsia="Arial" w:hAnsi="Arial"/>
                <w:sz w:val="14"/>
                <w:szCs w:val="14"/>
                <w:color w:val="auto"/>
              </w:rPr>
              <w:t>DETERMINATION; CLAIM</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8.8</w:t>
            </w:r>
          </w:p>
        </w:tc>
        <w:tc>
          <w:tcPr>
            <w:tcW w:w="7140" w:type="dxa"/>
            <w:vAlign w:val="bottom"/>
          </w:tcPr>
          <w:p>
            <w:pPr>
              <w:ind w:left="160"/>
              <w:spacing w:after="0"/>
              <w:rPr>
                <w:sz w:val="20"/>
                <w:szCs w:val="20"/>
                <w:color w:val="auto"/>
              </w:rPr>
            </w:pPr>
            <w:r>
              <w:rPr>
                <w:rFonts w:ascii="Arial" w:cs="Arial" w:eastAsia="Arial" w:hAnsi="Arial"/>
                <w:sz w:val="14"/>
                <w:szCs w:val="14"/>
                <w:color w:val="auto"/>
              </w:rPr>
              <w:t>NON-EXCLUSIVITY OF RIGHTS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8.9</w:t>
            </w:r>
          </w:p>
        </w:tc>
        <w:tc>
          <w:tcPr>
            <w:tcW w:w="7140" w:type="dxa"/>
            <w:vAlign w:val="bottom"/>
          </w:tcPr>
          <w:p>
            <w:pPr>
              <w:ind w:left="160"/>
              <w:spacing w:after="0"/>
              <w:rPr>
                <w:sz w:val="20"/>
                <w:szCs w:val="20"/>
                <w:color w:val="auto"/>
              </w:rPr>
            </w:pPr>
            <w:r>
              <w:rPr>
                <w:rFonts w:ascii="Arial" w:cs="Arial" w:eastAsia="Arial" w:hAnsi="Arial"/>
                <w:sz w:val="14"/>
                <w:szCs w:val="14"/>
                <w:color w:val="auto"/>
              </w:rPr>
              <w:t>INSURANCE</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C-16</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8.10</w:t>
            </w:r>
          </w:p>
        </w:tc>
        <w:tc>
          <w:tcPr>
            <w:tcW w:w="7140" w:type="dxa"/>
            <w:vAlign w:val="bottom"/>
          </w:tcPr>
          <w:p>
            <w:pPr>
              <w:ind w:left="160"/>
              <w:spacing w:after="0"/>
              <w:rPr>
                <w:sz w:val="20"/>
                <w:szCs w:val="20"/>
                <w:color w:val="auto"/>
              </w:rPr>
            </w:pPr>
            <w:r>
              <w:rPr>
                <w:rFonts w:ascii="Arial" w:cs="Arial" w:eastAsia="Arial" w:hAnsi="Arial"/>
                <w:sz w:val="14"/>
                <w:szCs w:val="14"/>
                <w:color w:val="auto"/>
              </w:rPr>
              <w:t>SURVIVAL</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8.11</w:t>
            </w:r>
          </w:p>
        </w:tc>
        <w:tc>
          <w:tcPr>
            <w:tcW w:w="7140" w:type="dxa"/>
            <w:vAlign w:val="bottom"/>
          </w:tcPr>
          <w:p>
            <w:pPr>
              <w:ind w:left="160"/>
              <w:spacing w:after="0"/>
              <w:rPr>
                <w:sz w:val="20"/>
                <w:szCs w:val="20"/>
                <w:color w:val="auto"/>
              </w:rPr>
            </w:pPr>
            <w:r>
              <w:rPr>
                <w:rFonts w:ascii="Arial" w:cs="Arial" w:eastAsia="Arial" w:hAnsi="Arial"/>
                <w:sz w:val="14"/>
                <w:szCs w:val="14"/>
                <w:color w:val="auto"/>
              </w:rPr>
              <w:t>EFFECT OF REPEAL OR MODIFICATION</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8.12</w:t>
            </w:r>
          </w:p>
        </w:tc>
        <w:tc>
          <w:tcPr>
            <w:tcW w:w="7140" w:type="dxa"/>
            <w:vAlign w:val="bottom"/>
          </w:tcPr>
          <w:p>
            <w:pPr>
              <w:ind w:left="160"/>
              <w:spacing w:after="0"/>
              <w:rPr>
                <w:sz w:val="20"/>
                <w:szCs w:val="20"/>
                <w:color w:val="auto"/>
              </w:rPr>
            </w:pPr>
            <w:r>
              <w:rPr>
                <w:rFonts w:ascii="Arial" w:cs="Arial" w:eastAsia="Arial" w:hAnsi="Arial"/>
                <w:sz w:val="14"/>
                <w:szCs w:val="14"/>
                <w:color w:val="auto"/>
              </w:rPr>
              <w:t>CERTAIN DEFINITIONS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IX—GENERAL MATTERS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233"/>
        </w:trPr>
        <w:tc>
          <w:tcPr>
            <w:tcW w:w="660" w:type="dxa"/>
            <w:vAlign w:val="bottom"/>
          </w:tcPr>
          <w:p>
            <w:pPr>
              <w:ind w:left="280"/>
              <w:spacing w:after="0"/>
              <w:rPr>
                <w:sz w:val="20"/>
                <w:szCs w:val="20"/>
                <w:color w:val="auto"/>
              </w:rPr>
            </w:pPr>
            <w:r>
              <w:rPr>
                <w:rFonts w:ascii="Arial" w:cs="Arial" w:eastAsia="Arial" w:hAnsi="Arial"/>
                <w:sz w:val="14"/>
                <w:szCs w:val="14"/>
                <w:color w:val="auto"/>
              </w:rPr>
              <w:t>9.1</w:t>
            </w:r>
          </w:p>
        </w:tc>
        <w:tc>
          <w:tcPr>
            <w:tcW w:w="7140" w:type="dxa"/>
            <w:vAlign w:val="bottom"/>
          </w:tcPr>
          <w:p>
            <w:pPr>
              <w:ind w:left="160"/>
              <w:spacing w:after="0"/>
              <w:rPr>
                <w:sz w:val="20"/>
                <w:szCs w:val="20"/>
                <w:color w:val="auto"/>
              </w:rPr>
            </w:pPr>
            <w:r>
              <w:rPr>
                <w:rFonts w:ascii="Arial" w:cs="Arial" w:eastAsia="Arial" w:hAnsi="Arial"/>
                <w:sz w:val="14"/>
                <w:szCs w:val="14"/>
                <w:color w:val="auto"/>
              </w:rPr>
              <w:t>EXECUTION OF CORPORATE CONTRACTS AND INSTRUMENTS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9.2</w:t>
            </w:r>
          </w:p>
        </w:tc>
        <w:tc>
          <w:tcPr>
            <w:tcW w:w="7140" w:type="dxa"/>
            <w:vAlign w:val="bottom"/>
          </w:tcPr>
          <w:p>
            <w:pPr>
              <w:ind w:left="160"/>
              <w:spacing w:after="0"/>
              <w:rPr>
                <w:sz w:val="20"/>
                <w:szCs w:val="20"/>
                <w:color w:val="auto"/>
              </w:rPr>
            </w:pPr>
            <w:r>
              <w:rPr>
                <w:rFonts w:ascii="Arial" w:cs="Arial" w:eastAsia="Arial" w:hAnsi="Arial"/>
                <w:sz w:val="14"/>
                <w:szCs w:val="14"/>
                <w:color w:val="auto"/>
              </w:rPr>
              <w:t>FISCAL YEAR</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C-17</w:t>
            </w:r>
          </w:p>
        </w:tc>
      </w:tr>
      <w:tr>
        <w:trPr>
          <w:trHeight w:val="162"/>
        </w:trPr>
        <w:tc>
          <w:tcPr>
            <w:tcW w:w="660" w:type="dxa"/>
            <w:vAlign w:val="bottom"/>
          </w:tcPr>
          <w:p>
            <w:pPr>
              <w:ind w:left="280"/>
              <w:spacing w:after="0"/>
              <w:rPr>
                <w:sz w:val="20"/>
                <w:szCs w:val="20"/>
                <w:color w:val="auto"/>
              </w:rPr>
            </w:pPr>
            <w:r>
              <w:rPr>
                <w:rFonts w:ascii="Arial" w:cs="Arial" w:eastAsia="Arial" w:hAnsi="Arial"/>
                <w:sz w:val="14"/>
                <w:szCs w:val="14"/>
                <w:color w:val="auto"/>
              </w:rPr>
              <w:t>9.3</w:t>
            </w:r>
          </w:p>
        </w:tc>
        <w:tc>
          <w:tcPr>
            <w:tcW w:w="7140" w:type="dxa"/>
            <w:vAlign w:val="bottom"/>
          </w:tcPr>
          <w:p>
            <w:pPr>
              <w:ind w:left="160"/>
              <w:spacing w:after="0"/>
              <w:rPr>
                <w:sz w:val="20"/>
                <w:szCs w:val="20"/>
                <w:color w:val="auto"/>
              </w:rPr>
            </w:pPr>
            <w:r>
              <w:rPr>
                <w:rFonts w:ascii="Arial" w:cs="Arial" w:eastAsia="Arial" w:hAnsi="Arial"/>
                <w:sz w:val="14"/>
                <w:szCs w:val="14"/>
                <w:color w:val="auto"/>
              </w:rPr>
              <w:t>SEAL</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C-18</w:t>
            </w:r>
          </w:p>
        </w:tc>
      </w:tr>
      <w:tr>
        <w:trPr>
          <w:trHeight w:val="173"/>
        </w:trPr>
        <w:tc>
          <w:tcPr>
            <w:tcW w:w="660" w:type="dxa"/>
            <w:vAlign w:val="bottom"/>
          </w:tcPr>
          <w:p>
            <w:pPr>
              <w:ind w:left="280"/>
              <w:spacing w:after="0"/>
              <w:rPr>
                <w:sz w:val="20"/>
                <w:szCs w:val="20"/>
                <w:color w:val="auto"/>
              </w:rPr>
            </w:pPr>
            <w:r>
              <w:rPr>
                <w:rFonts w:ascii="Arial" w:cs="Arial" w:eastAsia="Arial" w:hAnsi="Arial"/>
                <w:sz w:val="14"/>
                <w:szCs w:val="14"/>
                <w:color w:val="auto"/>
              </w:rPr>
              <w:t>9.4</w:t>
            </w:r>
          </w:p>
        </w:tc>
        <w:tc>
          <w:tcPr>
            <w:tcW w:w="7140" w:type="dxa"/>
            <w:vAlign w:val="bottom"/>
          </w:tcPr>
          <w:p>
            <w:pPr>
              <w:ind w:left="160"/>
              <w:spacing w:after="0"/>
              <w:rPr>
                <w:sz w:val="20"/>
                <w:szCs w:val="20"/>
                <w:color w:val="auto"/>
              </w:rPr>
            </w:pPr>
            <w:r>
              <w:rPr>
                <w:rFonts w:ascii="Arial" w:cs="Arial" w:eastAsia="Arial" w:hAnsi="Arial"/>
                <w:sz w:val="14"/>
                <w:szCs w:val="14"/>
                <w:color w:val="auto"/>
              </w:rPr>
              <w:t>CONSTRUCTION; DEFINITIONS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C-18</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X—AMENDMENTS</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C-18</w:t>
            </w:r>
          </w:p>
        </w:tc>
      </w:tr>
      <w:tr>
        <w:trPr>
          <w:trHeight w:val="244"/>
        </w:trPr>
        <w:tc>
          <w:tcPr>
            <w:tcW w:w="7800" w:type="dxa"/>
            <w:vAlign w:val="bottom"/>
            <w:gridSpan w:val="2"/>
          </w:tcPr>
          <w:p>
            <w:pPr>
              <w:spacing w:after="0"/>
              <w:rPr>
                <w:sz w:val="20"/>
                <w:szCs w:val="20"/>
                <w:color w:val="auto"/>
              </w:rPr>
            </w:pPr>
            <w:r>
              <w:rPr>
                <w:rFonts w:ascii="Arial" w:cs="Arial" w:eastAsia="Arial" w:hAnsi="Arial"/>
                <w:sz w:val="14"/>
                <w:szCs w:val="14"/>
                <w:color w:val="auto"/>
              </w:rPr>
              <w:t>ARTICLE XI—EXCLUSIVE FORUM</w:t>
            </w:r>
          </w:p>
        </w:tc>
        <w:tc>
          <w:tcPr>
            <w:tcW w:w="440" w:type="dxa"/>
            <w:vAlign w:val="bottom"/>
          </w:tcPr>
          <w:p>
            <w:pPr>
              <w:ind w:left="180"/>
              <w:spacing w:after="0"/>
              <w:rPr>
                <w:sz w:val="20"/>
                <w:szCs w:val="20"/>
                <w:color w:val="auto"/>
              </w:rPr>
            </w:pPr>
            <w:r>
              <w:rPr>
                <w:rFonts w:ascii="Arial" w:cs="Arial" w:eastAsia="Arial" w:hAnsi="Arial"/>
                <w:sz w:val="14"/>
                <w:szCs w:val="14"/>
                <w:color w:val="auto"/>
                <w:w w:val="78"/>
              </w:rPr>
              <w:t>C-18</w:t>
            </w:r>
          </w:p>
        </w:tc>
      </w:tr>
      <w:tr>
        <w:trPr>
          <w:trHeight w:val="274"/>
        </w:trPr>
        <w:tc>
          <w:tcPr>
            <w:tcW w:w="660" w:type="dxa"/>
            <w:vAlign w:val="bottom"/>
          </w:tcPr>
          <w:p>
            <w:pPr>
              <w:spacing w:after="0"/>
              <w:rPr>
                <w:sz w:val="23"/>
                <w:szCs w:val="23"/>
                <w:color w:val="auto"/>
              </w:rPr>
            </w:pPr>
          </w:p>
        </w:tc>
        <w:tc>
          <w:tcPr>
            <w:tcW w:w="7140" w:type="dxa"/>
            <w:vAlign w:val="bottom"/>
          </w:tcPr>
          <w:p>
            <w:pPr>
              <w:ind w:left="3440"/>
              <w:spacing w:after="0"/>
              <w:rPr>
                <w:sz w:val="20"/>
                <w:szCs w:val="20"/>
                <w:color w:val="auto"/>
              </w:rPr>
            </w:pPr>
            <w:r>
              <w:rPr>
                <w:rFonts w:ascii="Arial" w:cs="Arial" w:eastAsia="Arial" w:hAnsi="Arial"/>
                <w:sz w:val="14"/>
                <w:szCs w:val="14"/>
                <w:color w:val="auto"/>
              </w:rPr>
              <w:t>ii</w:t>
            </w:r>
          </w:p>
        </w:tc>
        <w:tc>
          <w:tcPr>
            <w:tcW w:w="440" w:type="dxa"/>
            <w:vAlign w:val="bottom"/>
          </w:tcPr>
          <w:p>
            <w:pPr>
              <w:spacing w:after="0"/>
              <w:rPr>
                <w:sz w:val="23"/>
                <w:szCs w:val="23"/>
                <w:color w:val="auto"/>
              </w:rPr>
            </w:pPr>
          </w:p>
        </w:tc>
      </w:tr>
    </w:tbl>
    <w:p>
      <w:pPr>
        <w:spacing w:after="0"/>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6">
                      <a:extLst>
                        <a:ext uri="{28A0092B-C50C-407E-A947-70E740481C1C}"/>
                      </a:extLst>
                    </a:blip>
                    <a:srcRect/>
                    <a:stretch>
                      <a:fillRect/>
                    </a:stretch>
                  </pic:blipFill>
                  <pic:spPr bwMode="auto">
                    <a:xfrm>
                      <a:off x="0" y="0"/>
                      <a:ext cx="7179310" cy="19050"/>
                    </a:xfrm>
                    <a:prstGeom prst="rect">
                      <a:avLst/>
                    </a:prstGeom>
                    <a:noFill/>
                  </pic:spPr>
                </pic:pic>
              </a:graphicData>
            </a:graphic>
          </wp:anchor>
        </w:drawing>
      </w:r>
    </w:p>
    <w:bookmarkStart w:id="37" w:name="page38"/>
    <w:bookmarkEnd w:id="3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BYLAWS OF 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I—CORPORATE OFFICES</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1.1 REGISTERED OFFICE</w:t>
      </w:r>
    </w:p>
    <w:p>
      <w:pPr>
        <w:spacing w:after="0" w:line="81" w:lineRule="exact"/>
        <w:rPr>
          <w:sz w:val="20"/>
          <w:szCs w:val="20"/>
          <w:color w:val="auto"/>
        </w:rPr>
      </w:pPr>
    </w:p>
    <w:p>
      <w:pPr>
        <w:ind w:left="360" w:right="599" w:firstLine="331"/>
        <w:spacing w:after="0" w:line="262" w:lineRule="auto"/>
        <w:rPr>
          <w:sz w:val="20"/>
          <w:szCs w:val="20"/>
          <w:color w:val="auto"/>
        </w:rPr>
      </w:pPr>
      <w:r>
        <w:rPr>
          <w:rFonts w:ascii="Arial" w:cs="Arial" w:eastAsia="Arial" w:hAnsi="Arial"/>
          <w:sz w:val="14"/>
          <w:szCs w:val="14"/>
          <w:color w:val="auto"/>
        </w:rPr>
        <w:t>The registered office of QuantumScape Corporation (the “</w:t>
      </w:r>
      <w:r>
        <w:rPr>
          <w:rFonts w:ascii="Arial" w:cs="Arial" w:eastAsia="Arial" w:hAnsi="Arial"/>
          <w:sz w:val="14"/>
          <w:szCs w:val="14"/>
          <w:b w:val="1"/>
          <w:bCs w:val="1"/>
          <w:color w:val="auto"/>
        </w:rPr>
        <w:t>Corporation</w:t>
      </w:r>
      <w:r>
        <w:rPr>
          <w:rFonts w:ascii="Arial" w:cs="Arial" w:eastAsia="Arial" w:hAnsi="Arial"/>
          <w:sz w:val="14"/>
          <w:szCs w:val="14"/>
          <w:color w:val="auto"/>
        </w:rPr>
        <w:t>”) shall be fixed in the Corporation’s certificate of incorporation, as the same may be amended from time to time.</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1.2 OTHER OFFICES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Corporation may at any time establish other offices at any place or places.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II—MEETINGS OF STOCKHOLDERS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2.1 PLACE OF MEETINGS</w:t>
      </w:r>
    </w:p>
    <w:p>
      <w:pPr>
        <w:spacing w:after="0" w:line="83" w:lineRule="exact"/>
        <w:rPr>
          <w:sz w:val="20"/>
          <w:szCs w:val="20"/>
          <w:color w:val="auto"/>
        </w:rPr>
      </w:pPr>
    </w:p>
    <w:p>
      <w:pPr>
        <w:ind w:left="360" w:right="419" w:firstLine="331"/>
        <w:spacing w:after="0" w:line="246" w:lineRule="auto"/>
        <w:rPr>
          <w:sz w:val="20"/>
          <w:szCs w:val="20"/>
          <w:color w:val="auto"/>
        </w:rPr>
      </w:pPr>
      <w:r>
        <w:rPr>
          <w:rFonts w:ascii="Arial" w:cs="Arial" w:eastAsia="Arial" w:hAnsi="Arial"/>
          <w:sz w:val="14"/>
          <w:szCs w:val="14"/>
          <w:color w:val="auto"/>
        </w:rPr>
        <w:t>Meetings of stockholders shall be held at a place, if any, within or outside the State of Delaware, designated by the board of directors of the Corporation (the “</w:t>
      </w:r>
      <w:r>
        <w:rPr>
          <w:rFonts w:ascii="Arial" w:cs="Arial" w:eastAsia="Arial" w:hAnsi="Arial"/>
          <w:sz w:val="14"/>
          <w:szCs w:val="14"/>
          <w:b w:val="1"/>
          <w:bCs w:val="1"/>
          <w:color w:val="auto"/>
        </w:rPr>
        <w:t>Board</w:t>
      </w:r>
      <w:r>
        <w:rPr>
          <w:rFonts w:ascii="Arial" w:cs="Arial" w:eastAsia="Arial" w:hAnsi="Arial"/>
          <w:sz w:val="14"/>
          <w:szCs w:val="14"/>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4"/>
          <w:szCs w:val="14"/>
          <w:b w:val="1"/>
          <w:bCs w:val="1"/>
          <w:color w:val="auto"/>
        </w:rPr>
        <w:t>DGCL</w:t>
      </w:r>
      <w:r>
        <w:rPr>
          <w:rFonts w:ascii="Arial" w:cs="Arial" w:eastAsia="Arial" w:hAnsi="Arial"/>
          <w:sz w:val="14"/>
          <w:szCs w:val="14"/>
          <w:color w:val="auto"/>
        </w:rPr>
        <w:t>”) or any successor legislation. In the absence of any such designation or determination, stockholders’ meetings shall be held at the Corporation’s principal executive office.</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2.2 ANNUAL MEETING</w:t>
      </w:r>
    </w:p>
    <w:p>
      <w:pPr>
        <w:spacing w:after="0" w:line="83" w:lineRule="exact"/>
        <w:rPr>
          <w:sz w:val="20"/>
          <w:szCs w:val="20"/>
          <w:color w:val="auto"/>
        </w:rPr>
      </w:pPr>
    </w:p>
    <w:p>
      <w:pPr>
        <w:ind w:left="360" w:right="379" w:firstLine="331"/>
        <w:spacing w:after="0" w:line="292" w:lineRule="auto"/>
        <w:rPr>
          <w:sz w:val="20"/>
          <w:szCs w:val="20"/>
          <w:color w:val="auto"/>
        </w:rPr>
      </w:pPr>
      <w:r>
        <w:rPr>
          <w:rFonts w:ascii="Arial" w:cs="Arial" w:eastAsia="Arial" w:hAnsi="Arial"/>
          <w:sz w:val="12"/>
          <w:szCs w:val="12"/>
          <w:color w:val="auto"/>
        </w:rPr>
        <w:t>The annual meeting of stockholders shall be held on such date, at such time, and at such place (if any) within or without the State of Delaware, as the Board shall designate from time to time and as stated in the Corporation’s notice of the meeting. At the annual meeting, directors shall be elected and any other proper business, brought in accordance with Section 2.4 of these bylaws, may be transacted. The Board, acting pursuant to a resolution adopted by a majority of the Whole Board, or the chair of the meeting, may cancel, postpone or reschedule any previously scheduled annual meeting at any time, before or after the notice for such meeting has been sent to the stockholders. For purposes of these bylaws, the term “</w:t>
      </w:r>
      <w:r>
        <w:rPr>
          <w:rFonts w:ascii="Arial" w:cs="Arial" w:eastAsia="Arial" w:hAnsi="Arial"/>
          <w:sz w:val="12"/>
          <w:szCs w:val="12"/>
          <w:b w:val="1"/>
          <w:bCs w:val="1"/>
          <w:color w:val="auto"/>
        </w:rPr>
        <w:t>Whole Board</w:t>
      </w:r>
      <w:r>
        <w:rPr>
          <w:rFonts w:ascii="Arial" w:cs="Arial" w:eastAsia="Arial" w:hAnsi="Arial"/>
          <w:sz w:val="12"/>
          <w:szCs w:val="12"/>
          <w:color w:val="auto"/>
        </w:rPr>
        <w:t>” shall mean the total number of authorized directors whether or not there exist any vacancies or other unfilled seats in previously authorized directorships (provided for the avoidance of doubt that voting power shall be attributed to any such vacancies or unfilled seats).</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2.3 SPECIAL MEETING</w:t>
      </w:r>
    </w:p>
    <w:p>
      <w:pPr>
        <w:spacing w:after="0" w:line="83" w:lineRule="exact"/>
        <w:rPr>
          <w:sz w:val="20"/>
          <w:szCs w:val="20"/>
          <w:color w:val="auto"/>
        </w:rPr>
      </w:pPr>
    </w:p>
    <w:p>
      <w:pPr>
        <w:ind w:left="360" w:right="379" w:firstLine="749"/>
        <w:spacing w:after="0" w:line="297" w:lineRule="auto"/>
        <w:tabs>
          <w:tab w:leader="none" w:pos="1289" w:val="left"/>
        </w:tabs>
        <w:numPr>
          <w:ilvl w:val="0"/>
          <w:numId w:val="39"/>
        </w:numPr>
        <w:rPr>
          <w:rFonts w:ascii="Arial" w:cs="Arial" w:eastAsia="Arial" w:hAnsi="Arial"/>
          <w:sz w:val="12"/>
          <w:szCs w:val="12"/>
          <w:color w:val="auto"/>
        </w:rPr>
      </w:pPr>
      <w:r>
        <w:rPr>
          <w:rFonts w:ascii="Arial" w:cs="Arial" w:eastAsia="Arial" w:hAnsi="Arial"/>
          <w:sz w:val="12"/>
          <w:szCs w:val="12"/>
          <w:color w:val="auto"/>
        </w:rPr>
        <w:t xml:space="preserve">A special meeting of the stockholders, other than as required by the DGCL, may be called at any time by the Board, acting pursuant to a resolution adopted by a majority of the Whole Board; the chair of the Board; or the chief executive officer;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special meeting may not be called by any other person or persons and any power of stockholders to call a special meeting is specifically denied, except as provided in the certificate of incorporation. The Board or the chair of the meeting may cancel, postpone or reschedule any previously scheduled special meeting at any time, before or after the notice for such meeting has been sent to the stockholders.</w:t>
      </w:r>
    </w:p>
    <w:p>
      <w:pPr>
        <w:spacing w:after="0" w:line="39" w:lineRule="exact"/>
        <w:rPr>
          <w:rFonts w:ascii="Arial" w:cs="Arial" w:eastAsia="Arial" w:hAnsi="Arial"/>
          <w:sz w:val="12"/>
          <w:szCs w:val="12"/>
          <w:color w:val="auto"/>
        </w:rPr>
      </w:pPr>
    </w:p>
    <w:p>
      <w:pPr>
        <w:ind w:left="360" w:right="499" w:firstLine="749"/>
        <w:spacing w:after="0" w:line="247" w:lineRule="auto"/>
        <w:tabs>
          <w:tab w:leader="none" w:pos="1297"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notice of a special meeting shall include the purpose for which the meeting is called. Only such business shall be conducted at a special meeting of stockholders as shall have been brought before the meeting by or at the direction of the Board, chair of the Board or chief executive officer. Nothing contained in this Section 2.3(b) shall be construed as limiting, fixing or affecting the time when a meeting of stockholders called by action of the Board may be held.</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2.4 ADVANCE NOTICE PROCEDURES</w:t>
      </w:r>
    </w:p>
    <w:p>
      <w:pPr>
        <w:spacing w:after="0" w:line="83" w:lineRule="exact"/>
        <w:rPr>
          <w:sz w:val="20"/>
          <w:szCs w:val="20"/>
          <w:color w:val="auto"/>
        </w:rPr>
      </w:pPr>
    </w:p>
    <w:p>
      <w:pPr>
        <w:ind w:left="1300" w:hanging="191"/>
        <w:spacing w:after="0"/>
        <w:tabs>
          <w:tab w:leader="none" w:pos="130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Annual Meetings of Stockholders</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360" w:right="719" w:firstLine="1080"/>
        <w:spacing w:after="0" w:line="259" w:lineRule="auto"/>
        <w:tabs>
          <w:tab w:leader="none" w:pos="1598" w:val="left"/>
        </w:tabs>
        <w:numPr>
          <w:ilvl w:val="1"/>
          <w:numId w:val="40"/>
        </w:numPr>
        <w:rPr>
          <w:rFonts w:ascii="Arial" w:cs="Arial" w:eastAsia="Arial" w:hAnsi="Arial"/>
          <w:sz w:val="14"/>
          <w:szCs w:val="14"/>
          <w:color w:val="auto"/>
        </w:rPr>
      </w:pPr>
      <w:r>
        <w:rPr>
          <w:rFonts w:ascii="Arial" w:cs="Arial" w:eastAsia="Arial" w:hAnsi="Arial"/>
          <w:sz w:val="14"/>
          <w:szCs w:val="14"/>
          <w:color w:val="auto"/>
        </w:rPr>
        <w:t>Nominations of persons for election to the Board or the proposal of other business to be transacted by the stockholders at an annual meeting of stockholders may be made only (1) pursuant to the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238" w:right="1440" w:bottom="1440" w:gutter="0" w:footer="0" w:header="0"/>
        </w:sectPr>
      </w:pPr>
    </w:p>
    <w:bookmarkStart w:id="38" w:name="page39"/>
    <w:bookmarkEnd w:id="38"/>
    <w:p>
      <w:pPr>
        <w:ind w:left="360" w:right="419"/>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Corporation’s notice of meeting (or any supplement thereto); (2) by or at the direction of the Board; (3) as may be provided in the certificate of designations for any class or series of preferred stock; or (4) by any stockholder of the Corporation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39" w:lineRule="exact"/>
        <w:rPr>
          <w:sz w:val="20"/>
          <w:szCs w:val="20"/>
          <w:color w:val="auto"/>
        </w:rPr>
      </w:pPr>
    </w:p>
    <w:p>
      <w:pPr>
        <w:ind w:left="360" w:right="379" w:firstLine="1080"/>
        <w:spacing w:after="0" w:line="286" w:lineRule="auto"/>
        <w:tabs>
          <w:tab w:leader="none" w:pos="1636" w:val="left"/>
        </w:tabs>
        <w:numPr>
          <w:ilvl w:val="0"/>
          <w:numId w:val="41"/>
        </w:numPr>
        <w:rPr>
          <w:rFonts w:ascii="Arial" w:cs="Arial" w:eastAsia="Arial" w:hAnsi="Arial"/>
          <w:sz w:val="12"/>
          <w:szCs w:val="12"/>
          <w:color w:val="auto"/>
        </w:rPr>
      </w:pPr>
      <w:r>
        <w:rPr>
          <w:rFonts w:ascii="Arial" w:cs="Arial" w:eastAsia="Arial" w:hAnsi="Arial"/>
          <w:sz w:val="12"/>
          <w:szCs w:val="12"/>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Corporation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Corporation no earlier than 8:00 a.m., local time, on the 120th day prior to the day of the annual meeting and no later than 5:00 p.m., local time, on the 10th day following the day on which public announcement of the date of the annual meeting was first made by the Corporation. In no event will the adjournment, rescheduling or postponement of any annual meeting, or any announcement thereof, commence a new time period (or extend any time period) for the giving of a stockholder’s notice as described above. If the number of directors to be elected to the Board is increased and there is no public announcement naming all of the nominees for director or specifying the size of the increased Board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Corporation no later than 5:00 p.m., local time, on the 10th day following the day on which such public announcement is first made. “</w:t>
      </w:r>
      <w:r>
        <w:rPr>
          <w:rFonts w:ascii="Arial" w:cs="Arial" w:eastAsia="Arial" w:hAnsi="Arial"/>
          <w:sz w:val="12"/>
          <w:szCs w:val="12"/>
          <w:b w:val="1"/>
          <w:bCs w:val="1"/>
          <w:color w:val="auto"/>
        </w:rPr>
        <w:t>Public</w:t>
      </w:r>
      <w:r>
        <w:rPr>
          <w:rFonts w:ascii="Arial" w:cs="Arial" w:eastAsia="Arial" w:hAnsi="Arial"/>
          <w:sz w:val="12"/>
          <w:szCs w:val="12"/>
          <w:color w:val="auto"/>
        </w:rPr>
        <w:t xml:space="preserve"> </w:t>
      </w:r>
      <w:r>
        <w:rPr>
          <w:rFonts w:ascii="Arial" w:cs="Arial" w:eastAsia="Arial" w:hAnsi="Arial"/>
          <w:sz w:val="12"/>
          <w:szCs w:val="12"/>
          <w:b w:val="1"/>
          <w:bCs w:val="1"/>
          <w:color w:val="auto"/>
        </w:rPr>
        <w:t>announcement</w:t>
      </w:r>
      <w:r>
        <w:rPr>
          <w:rFonts w:ascii="Arial" w:cs="Arial" w:eastAsia="Arial" w:hAnsi="Arial"/>
          <w:sz w:val="12"/>
          <w:szCs w:val="12"/>
          <w:color w:val="auto"/>
        </w:rPr>
        <w:t>” means disclosure in a press release reported by a national news service or in a document publicly filed by the Corporation with the</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and Exchange Commission pursuant to Section 13, 14 or 15(d) of the Securities Exchange Act of 1934 (as amended and inclusive of rules and regulations thereunder, the “</w:t>
      </w:r>
      <w:r>
        <w:rPr>
          <w:rFonts w:ascii="Arial" w:cs="Arial" w:eastAsia="Arial" w:hAnsi="Arial"/>
          <w:sz w:val="12"/>
          <w:szCs w:val="12"/>
          <w:b w:val="1"/>
          <w:bCs w:val="1"/>
          <w:color w:val="auto"/>
        </w:rPr>
        <w:t>1934 Act</w:t>
      </w:r>
      <w:r>
        <w:rPr>
          <w:rFonts w:ascii="Arial" w:cs="Arial" w:eastAsia="Arial" w:hAnsi="Arial"/>
          <w:sz w:val="12"/>
          <w:szCs w:val="12"/>
          <w:color w:val="auto"/>
        </w:rPr>
        <w:t>”).</w:t>
      </w:r>
    </w:p>
    <w:p>
      <w:pPr>
        <w:spacing w:after="0" w:line="208" w:lineRule="exact"/>
        <w:rPr>
          <w:rFonts w:ascii="Arial" w:cs="Arial" w:eastAsia="Arial" w:hAnsi="Arial"/>
          <w:sz w:val="12"/>
          <w:szCs w:val="12"/>
          <w:color w:val="auto"/>
        </w:rPr>
      </w:pPr>
    </w:p>
    <w:p>
      <w:pPr>
        <w:ind w:left="1680" w:hanging="240"/>
        <w:spacing w:after="0"/>
        <w:tabs>
          <w:tab w:leader="none" w:pos="1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stockholder’s notice to the secretary must set forth:</w:t>
      </w:r>
    </w:p>
    <w:p>
      <w:pPr>
        <w:spacing w:after="0" w:line="82" w:lineRule="exact"/>
        <w:rPr>
          <w:rFonts w:ascii="Arial" w:cs="Arial" w:eastAsia="Arial" w:hAnsi="Arial"/>
          <w:sz w:val="14"/>
          <w:szCs w:val="14"/>
          <w:color w:val="auto"/>
        </w:rPr>
      </w:pPr>
    </w:p>
    <w:p>
      <w:pPr>
        <w:ind w:left="2040" w:hanging="186"/>
        <w:spacing w:after="0"/>
        <w:tabs>
          <w:tab w:leader="none" w:pos="20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as to each person whom the stockholder proposes to nominate for election as a director:</w:t>
      </w:r>
    </w:p>
    <w:p>
      <w:pPr>
        <w:spacing w:after="0" w:line="82" w:lineRule="exact"/>
        <w:rPr>
          <w:rFonts w:ascii="Arial" w:cs="Arial" w:eastAsia="Arial" w:hAnsi="Arial"/>
          <w:sz w:val="14"/>
          <w:szCs w:val="14"/>
          <w:color w:val="auto"/>
        </w:rPr>
      </w:pPr>
    </w:p>
    <w:p>
      <w:pPr>
        <w:ind w:left="360" w:right="499" w:firstLine="1825"/>
        <w:spacing w:after="0" w:line="294" w:lineRule="auto"/>
        <w:tabs>
          <w:tab w:leader="none" w:pos="2404" w:val="left"/>
        </w:tabs>
        <w:numPr>
          <w:ilvl w:val="2"/>
          <w:numId w:val="41"/>
        </w:numPr>
        <w:rPr>
          <w:rFonts w:ascii="Arial" w:cs="Arial" w:eastAsia="Arial" w:hAnsi="Arial"/>
          <w:sz w:val="12"/>
          <w:szCs w:val="12"/>
          <w:color w:val="auto"/>
        </w:rPr>
      </w:pPr>
      <w:r>
        <w:rPr>
          <w:rFonts w:ascii="Arial" w:cs="Arial" w:eastAsia="Arial" w:hAnsi="Arial"/>
          <w:sz w:val="12"/>
          <w:szCs w:val="12"/>
          <w:color w:val="auto"/>
        </w:rPr>
        <w:t>such person’s name, age, business address, residence address and principal occupation or employment; the class and number of shares of the Corporation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spacing w:after="0" w:line="41" w:lineRule="exact"/>
        <w:rPr>
          <w:rFonts w:ascii="Arial" w:cs="Arial" w:eastAsia="Arial" w:hAnsi="Arial"/>
          <w:sz w:val="12"/>
          <w:szCs w:val="12"/>
          <w:color w:val="auto"/>
        </w:rPr>
      </w:pPr>
    </w:p>
    <w:p>
      <w:pPr>
        <w:ind w:left="360" w:right="899" w:firstLine="1825"/>
        <w:spacing w:after="0" w:line="259" w:lineRule="auto"/>
        <w:tabs>
          <w:tab w:leader="none" w:pos="2396" w:val="left"/>
        </w:tabs>
        <w:numPr>
          <w:ilvl w:val="2"/>
          <w:numId w:val="41"/>
        </w:numPr>
        <w:rPr>
          <w:rFonts w:ascii="Arial" w:cs="Arial" w:eastAsia="Arial" w:hAnsi="Arial"/>
          <w:sz w:val="14"/>
          <w:szCs w:val="14"/>
          <w:color w:val="auto"/>
        </w:rPr>
      </w:pPr>
      <w:r>
        <w:rPr>
          <w:rFonts w:ascii="Arial" w:cs="Arial" w:eastAsia="Arial" w:hAnsi="Arial"/>
          <w:sz w:val="14"/>
          <w:szCs w:val="14"/>
          <w:color w:val="auto"/>
        </w:rPr>
        <w:t>such person’s written consent to being named in such stockholder’s proxy statement as a nominee of such stockholder and to serving as a director of the Corporation if elected;</w:t>
      </w:r>
    </w:p>
    <w:p>
      <w:pPr>
        <w:spacing w:after="0" w:line="58" w:lineRule="exact"/>
        <w:rPr>
          <w:rFonts w:ascii="Arial" w:cs="Arial" w:eastAsia="Arial" w:hAnsi="Arial"/>
          <w:sz w:val="14"/>
          <w:szCs w:val="14"/>
          <w:color w:val="auto"/>
        </w:rPr>
      </w:pPr>
    </w:p>
    <w:p>
      <w:pPr>
        <w:ind w:left="360" w:right="419" w:firstLine="1825"/>
        <w:spacing w:after="0" w:line="302" w:lineRule="auto"/>
        <w:tabs>
          <w:tab w:leader="none" w:pos="2396" w:val="left"/>
        </w:tabs>
        <w:numPr>
          <w:ilvl w:val="2"/>
          <w:numId w:val="41"/>
        </w:numPr>
        <w:rPr>
          <w:rFonts w:ascii="Arial" w:cs="Arial" w:eastAsia="Arial" w:hAnsi="Arial"/>
          <w:sz w:val="12"/>
          <w:szCs w:val="12"/>
          <w:color w:val="auto"/>
        </w:rPr>
      </w:pPr>
      <w:r>
        <w:rPr>
          <w:rFonts w:ascii="Arial" w:cs="Arial" w:eastAsia="Arial" w:hAnsi="Arial"/>
          <w:sz w:val="12"/>
          <w:szCs w:val="12"/>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Corporation (including the amount of any payment or payments received or receivable thereunder), in each case in connection with his or her candidacy or service as a director of the Corporation (a “</w:t>
      </w:r>
      <w:r>
        <w:rPr>
          <w:rFonts w:ascii="Arial" w:cs="Arial" w:eastAsia="Arial" w:hAnsi="Arial"/>
          <w:sz w:val="12"/>
          <w:szCs w:val="12"/>
          <w:b w:val="1"/>
          <w:bCs w:val="1"/>
          <w:color w:val="auto"/>
        </w:rPr>
        <w:t>Third-Party Compensation Arrangement</w:t>
      </w:r>
      <w:r>
        <w:rPr>
          <w:rFonts w:ascii="Arial" w:cs="Arial" w:eastAsia="Arial" w:hAnsi="Arial"/>
          <w:sz w:val="12"/>
          <w:szCs w:val="12"/>
          <w:color w:val="auto"/>
        </w:rPr>
        <w:t>”); and</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0" w:right="1440" w:bottom="1440" w:gutter="0" w:footer="0" w:header="0"/>
        </w:sectPr>
      </w:pPr>
    </w:p>
    <w:bookmarkStart w:id="39" w:name="page40"/>
    <w:bookmarkEnd w:id="39"/>
    <w:p>
      <w:pPr>
        <w:ind w:left="360" w:right="559" w:firstLine="1825"/>
        <w:spacing w:after="0" w:line="312" w:lineRule="auto"/>
        <w:tabs>
          <w:tab w:leader="none" w:pos="2404" w:val="left"/>
        </w:tabs>
        <w:numPr>
          <w:ilvl w:val="1"/>
          <w:numId w:val="4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30" w:lineRule="exact"/>
        <w:rPr>
          <w:rFonts w:ascii="Arial" w:cs="Arial" w:eastAsia="Arial" w:hAnsi="Arial"/>
          <w:sz w:val="12"/>
          <w:szCs w:val="12"/>
          <w:color w:val="auto"/>
        </w:rPr>
      </w:pPr>
    </w:p>
    <w:p>
      <w:pPr>
        <w:ind w:left="2040" w:hanging="186"/>
        <w:spacing w:after="0"/>
        <w:tabs>
          <w:tab w:leader="none" w:pos="20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as to any other business that the stockholder proposes to bring before the annual meeting:</w:t>
      </w:r>
    </w:p>
    <w:p>
      <w:pPr>
        <w:spacing w:after="0" w:line="82" w:lineRule="exact"/>
        <w:rPr>
          <w:rFonts w:ascii="Arial" w:cs="Arial" w:eastAsia="Arial" w:hAnsi="Arial"/>
          <w:sz w:val="14"/>
          <w:szCs w:val="14"/>
          <w:color w:val="auto"/>
        </w:rPr>
      </w:pPr>
    </w:p>
    <w:p>
      <w:pPr>
        <w:ind w:left="2400" w:hanging="215"/>
        <w:spacing w:after="0"/>
        <w:tabs>
          <w:tab w:leader="none" w:pos="24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 brief description of the business desired to be brought before the annual meeting;</w:t>
      </w:r>
    </w:p>
    <w:p>
      <w:pPr>
        <w:spacing w:after="0" w:line="82" w:lineRule="exact"/>
        <w:rPr>
          <w:rFonts w:ascii="Arial" w:cs="Arial" w:eastAsia="Arial" w:hAnsi="Arial"/>
          <w:sz w:val="14"/>
          <w:szCs w:val="14"/>
          <w:color w:val="auto"/>
        </w:rPr>
      </w:pPr>
    </w:p>
    <w:p>
      <w:pPr>
        <w:ind w:left="360" w:right="839" w:firstLine="1825"/>
        <w:spacing w:after="0" w:line="342" w:lineRule="auto"/>
        <w:tabs>
          <w:tab w:leader="none" w:pos="2396"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text of the proposal or business (including the text of any resolutions proposed for consideration and, if applicable, the text of any proposed amendment to these bylaws or the Corporation’s certificate of incorporation);</w:t>
      </w:r>
    </w:p>
    <w:p>
      <w:pPr>
        <w:spacing w:after="0" w:line="12" w:lineRule="exact"/>
        <w:rPr>
          <w:rFonts w:ascii="Arial" w:cs="Arial" w:eastAsia="Arial" w:hAnsi="Arial"/>
          <w:sz w:val="12"/>
          <w:szCs w:val="12"/>
          <w:color w:val="auto"/>
        </w:rPr>
      </w:pPr>
    </w:p>
    <w:p>
      <w:pPr>
        <w:ind w:left="2400" w:hanging="215"/>
        <w:spacing w:after="0"/>
        <w:tabs>
          <w:tab w:leader="none" w:pos="2400" w:val="left"/>
        </w:tabs>
        <w:numPr>
          <w:ilvl w:val="1"/>
          <w:numId w:val="43"/>
        </w:numPr>
        <w:rPr>
          <w:rFonts w:ascii="Arial" w:cs="Arial" w:eastAsia="Arial" w:hAnsi="Arial"/>
          <w:sz w:val="14"/>
          <w:szCs w:val="14"/>
          <w:color w:val="auto"/>
        </w:rPr>
      </w:pPr>
      <w:r>
        <w:rPr>
          <w:rFonts w:ascii="Arial" w:cs="Arial" w:eastAsia="Arial" w:hAnsi="Arial"/>
          <w:sz w:val="14"/>
          <w:szCs w:val="14"/>
          <w:color w:val="auto"/>
        </w:rPr>
        <w:t>the reasons for conducting such business at the annual meeting;</w:t>
      </w:r>
    </w:p>
    <w:p>
      <w:pPr>
        <w:spacing w:after="0" w:line="82" w:lineRule="exact"/>
        <w:rPr>
          <w:rFonts w:ascii="Arial" w:cs="Arial" w:eastAsia="Arial" w:hAnsi="Arial"/>
          <w:sz w:val="14"/>
          <w:szCs w:val="14"/>
          <w:color w:val="auto"/>
        </w:rPr>
      </w:pPr>
    </w:p>
    <w:p>
      <w:pPr>
        <w:ind w:left="360" w:right="619" w:firstLine="1825"/>
        <w:spacing w:after="0" w:line="342" w:lineRule="auto"/>
        <w:tabs>
          <w:tab w:leader="none" w:pos="2404"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2" w:lineRule="exact"/>
        <w:rPr>
          <w:rFonts w:ascii="Arial" w:cs="Arial" w:eastAsia="Arial" w:hAnsi="Arial"/>
          <w:sz w:val="12"/>
          <w:szCs w:val="12"/>
          <w:color w:val="auto"/>
        </w:rPr>
      </w:pPr>
    </w:p>
    <w:p>
      <w:pPr>
        <w:jc w:val="both"/>
        <w:ind w:left="360" w:right="659" w:firstLine="1825"/>
        <w:spacing w:after="0" w:line="312" w:lineRule="auto"/>
        <w:tabs>
          <w:tab w:leader="none" w:pos="238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30" w:lineRule="exact"/>
        <w:rPr>
          <w:rFonts w:ascii="Arial" w:cs="Arial" w:eastAsia="Arial" w:hAnsi="Arial"/>
          <w:sz w:val="12"/>
          <w:szCs w:val="12"/>
          <w:color w:val="auto"/>
        </w:rPr>
      </w:pPr>
    </w:p>
    <w:p>
      <w:pPr>
        <w:ind w:left="2040" w:hanging="186"/>
        <w:spacing w:after="0"/>
        <w:tabs>
          <w:tab w:leader="none" w:pos="20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as to the stockholder giving the notice and the beneficial owner, if any, on whose behalf the nomination or proposal is</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made:</w:t>
      </w:r>
    </w:p>
    <w:p>
      <w:pPr>
        <w:spacing w:after="0" w:line="72" w:lineRule="exact"/>
        <w:rPr>
          <w:rFonts w:ascii="Arial" w:cs="Arial" w:eastAsia="Arial" w:hAnsi="Arial"/>
          <w:sz w:val="12"/>
          <w:szCs w:val="12"/>
          <w:color w:val="auto"/>
        </w:rPr>
      </w:pPr>
    </w:p>
    <w:p>
      <w:pPr>
        <w:ind w:left="360" w:right="559" w:firstLine="1825"/>
        <w:spacing w:after="0" w:line="259" w:lineRule="auto"/>
        <w:tabs>
          <w:tab w:leader="none" w:pos="2404" w:val="left"/>
        </w:tabs>
        <w:numPr>
          <w:ilvl w:val="1"/>
          <w:numId w:val="43"/>
        </w:numPr>
        <w:rPr>
          <w:rFonts w:ascii="Arial" w:cs="Arial" w:eastAsia="Arial" w:hAnsi="Arial"/>
          <w:sz w:val="14"/>
          <w:szCs w:val="14"/>
          <w:color w:val="auto"/>
        </w:rPr>
      </w:pPr>
      <w:r>
        <w:rPr>
          <w:rFonts w:ascii="Arial" w:cs="Arial" w:eastAsia="Arial" w:hAnsi="Arial"/>
          <w:sz w:val="14"/>
          <w:szCs w:val="14"/>
          <w:color w:val="auto"/>
        </w:rPr>
        <w:t>the name and address of such stockholder (as they appear on the Corporation’s books), of such beneficial owner and of their respective affiliates or associates or others acting in concert with them;</w:t>
      </w:r>
    </w:p>
    <w:p>
      <w:pPr>
        <w:spacing w:after="0" w:line="58" w:lineRule="exact"/>
        <w:rPr>
          <w:rFonts w:ascii="Arial" w:cs="Arial" w:eastAsia="Arial" w:hAnsi="Arial"/>
          <w:sz w:val="14"/>
          <w:szCs w:val="14"/>
          <w:color w:val="auto"/>
        </w:rPr>
      </w:pPr>
    </w:p>
    <w:p>
      <w:pPr>
        <w:ind w:left="360" w:right="579" w:firstLine="1825"/>
        <w:spacing w:after="0" w:line="250" w:lineRule="auto"/>
        <w:tabs>
          <w:tab w:leader="none" w:pos="2396"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each class or series, the number of shares of stock of the Corporation that are, directly or indirectly, held of record or are beneficially owned by such stockholder, such beneficial owner or their respective affiliates or associates or others acting in concert with them;</w:t>
      </w:r>
    </w:p>
    <w:p>
      <w:pPr>
        <w:spacing w:after="0" w:line="65" w:lineRule="exact"/>
        <w:rPr>
          <w:rFonts w:ascii="Arial" w:cs="Arial" w:eastAsia="Arial" w:hAnsi="Arial"/>
          <w:sz w:val="14"/>
          <w:szCs w:val="14"/>
          <w:color w:val="auto"/>
        </w:rPr>
      </w:pPr>
    </w:p>
    <w:p>
      <w:pPr>
        <w:ind w:left="360" w:right="439" w:firstLine="1825"/>
        <w:spacing w:after="0" w:line="250" w:lineRule="auto"/>
        <w:tabs>
          <w:tab w:leader="none" w:pos="2396" w:val="left"/>
        </w:tabs>
        <w:numPr>
          <w:ilvl w:val="1"/>
          <w:numId w:val="43"/>
        </w:numPr>
        <w:rPr>
          <w:rFonts w:ascii="Arial" w:cs="Arial" w:eastAsia="Arial" w:hAnsi="Arial"/>
          <w:sz w:val="14"/>
          <w:szCs w:val="14"/>
          <w:color w:val="auto"/>
        </w:rPr>
      </w:pPr>
      <w:r>
        <w:rPr>
          <w:rFonts w:ascii="Arial" w:cs="Arial" w:eastAsia="Arial" w:hAnsi="Arial"/>
          <w:sz w:val="14"/>
          <w:szCs w:val="14"/>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65" w:lineRule="exact"/>
        <w:rPr>
          <w:rFonts w:ascii="Arial" w:cs="Arial" w:eastAsia="Arial" w:hAnsi="Arial"/>
          <w:sz w:val="14"/>
          <w:szCs w:val="14"/>
          <w:color w:val="auto"/>
        </w:rPr>
      </w:pPr>
    </w:p>
    <w:p>
      <w:pPr>
        <w:ind w:left="360" w:right="379" w:firstLine="1825"/>
        <w:spacing w:after="0" w:line="292" w:lineRule="auto"/>
        <w:tabs>
          <w:tab w:leader="none" w:pos="2404" w:val="left"/>
        </w:tabs>
        <w:numPr>
          <w:ilvl w:val="1"/>
          <w:numId w:val="43"/>
        </w:numPr>
        <w:rPr>
          <w:rFonts w:ascii="Arial" w:cs="Arial" w:eastAsia="Arial" w:hAnsi="Arial"/>
          <w:sz w:val="12"/>
          <w:szCs w:val="12"/>
          <w:color w:val="auto"/>
        </w:rPr>
      </w:pPr>
      <w:r>
        <w:rPr>
          <w:rFonts w:ascii="Arial" w:cs="Arial" w:eastAsia="Arial" w:hAnsi="Arial"/>
          <w:sz w:val="12"/>
          <w:szCs w:val="12"/>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Corporation’s securities (any of the foregoing, a “</w:t>
      </w:r>
      <w:r>
        <w:rPr>
          <w:rFonts w:ascii="Arial" w:cs="Arial" w:eastAsia="Arial" w:hAnsi="Arial"/>
          <w:sz w:val="12"/>
          <w:szCs w:val="12"/>
          <w:b w:val="1"/>
          <w:bCs w:val="1"/>
          <w:color w:val="auto"/>
        </w:rPr>
        <w:t>Derivative</w:t>
      </w:r>
      <w:r>
        <w:rPr>
          <w:rFonts w:ascii="Arial" w:cs="Arial" w:eastAsia="Arial" w:hAnsi="Arial"/>
          <w:sz w:val="12"/>
          <w:szCs w:val="12"/>
          <w:color w:val="auto"/>
        </w:rPr>
        <w:t xml:space="preserve"> </w:t>
      </w:r>
      <w:r>
        <w:rPr>
          <w:rFonts w:ascii="Arial" w:cs="Arial" w:eastAsia="Arial" w:hAnsi="Arial"/>
          <w:sz w:val="12"/>
          <w:szCs w:val="12"/>
          <w:b w:val="1"/>
          <w:bCs w:val="1"/>
          <w:color w:val="auto"/>
        </w:rPr>
        <w:t>Instrument</w:t>
      </w:r>
      <w:r>
        <w:rPr>
          <w:rFonts w:ascii="Arial" w:cs="Arial" w:eastAsia="Arial" w:hAnsi="Arial"/>
          <w:sz w:val="12"/>
          <w:szCs w:val="12"/>
          <w:color w:val="auto"/>
        </w:rPr>
        <w:t>”), or any other agreement, arrangement or understanding that has been made the effect or intent of which is to create or mitigate loss to,</w:t>
      </w:r>
      <w:r>
        <w:rPr>
          <w:rFonts w:ascii="Arial" w:cs="Arial" w:eastAsia="Arial" w:hAnsi="Arial"/>
          <w:sz w:val="12"/>
          <w:szCs w:val="12"/>
          <w:b w:val="1"/>
          <w:bCs w:val="1"/>
          <w:color w:val="auto"/>
        </w:rPr>
        <w:t xml:space="preserve"> </w:t>
      </w:r>
      <w:r>
        <w:rPr>
          <w:rFonts w:ascii="Arial" w:cs="Arial" w:eastAsia="Arial" w:hAnsi="Arial"/>
          <w:sz w:val="12"/>
          <w:szCs w:val="12"/>
          <w:color w:val="auto"/>
        </w:rPr>
        <w:t>manage risk or benefit of share price changes for or increase or decrease the voting power of such stockholder, such beneficial owner or their respective affiliates or associates or others acting in concert with them, with respect to the Corporation’s securities;</w:t>
      </w:r>
    </w:p>
    <w:p>
      <w:pPr>
        <w:spacing w:after="0" w:line="42" w:lineRule="exact"/>
        <w:rPr>
          <w:rFonts w:ascii="Arial" w:cs="Arial" w:eastAsia="Arial" w:hAnsi="Arial"/>
          <w:sz w:val="12"/>
          <w:szCs w:val="12"/>
          <w:color w:val="auto"/>
        </w:rPr>
      </w:pPr>
    </w:p>
    <w:p>
      <w:pPr>
        <w:ind w:left="360" w:right="639" w:firstLine="1825"/>
        <w:spacing w:after="0" w:line="342" w:lineRule="auto"/>
        <w:tabs>
          <w:tab w:leader="none" w:pos="2388"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rights to dividends on the Corporation’s securities owned beneficially by such stockholder, such beneficial owner or their respective affiliates or associates or others acting in concert with them, that are separated or separable from the underlying security;</w:t>
      </w:r>
    </w:p>
    <w:p>
      <w:pPr>
        <w:spacing w:after="0" w:line="12" w:lineRule="exact"/>
        <w:rPr>
          <w:rFonts w:ascii="Arial" w:cs="Arial" w:eastAsia="Arial" w:hAnsi="Arial"/>
          <w:sz w:val="12"/>
          <w:szCs w:val="12"/>
          <w:color w:val="auto"/>
        </w:rPr>
      </w:pPr>
    </w:p>
    <w:p>
      <w:pPr>
        <w:jc w:val="both"/>
        <w:ind w:left="360" w:right="399" w:firstLine="1825"/>
        <w:spacing w:after="0" w:line="312" w:lineRule="auto"/>
        <w:tabs>
          <w:tab w:leader="none" w:pos="2381" w:val="left"/>
        </w:tabs>
        <w:numPr>
          <w:ilvl w:val="1"/>
          <w:numId w:val="43"/>
        </w:numPr>
        <w:rPr>
          <w:rFonts w:ascii="Arial" w:cs="Arial" w:eastAsia="Arial" w:hAnsi="Arial"/>
          <w:sz w:val="12"/>
          <w:szCs w:val="12"/>
          <w:color w:val="auto"/>
        </w:rPr>
      </w:pPr>
      <w:r>
        <w:rPr>
          <w:rFonts w:ascii="Arial" w:cs="Arial" w:eastAsia="Arial" w:hAnsi="Arial"/>
          <w:sz w:val="12"/>
          <w:szCs w:val="12"/>
          <w:color w:val="auto"/>
        </w:rPr>
        <w:t>any proportionate interest in the Corporation’s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40" w:name="page41"/>
    <w:bookmarkEnd w:id="40"/>
    <w:p>
      <w:pPr>
        <w:jc w:val="both"/>
        <w:ind w:left="360" w:right="459" w:firstLine="1825"/>
        <w:spacing w:after="0" w:line="247" w:lineRule="auto"/>
        <w:tabs>
          <w:tab w:leader="none" w:pos="2404" w:val="left"/>
        </w:tabs>
        <w:numPr>
          <w:ilvl w:val="2"/>
          <w:numId w:val="4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any performance-related fees (other than an asset-based fee) that such stockholder, such beneficial owner or their respective affiliates or associates or others acting in concert with, them is entitled to based on any increase or decrease in the value of the Corporation’s securities or Derivative Instruments, including, without limitation, any such interests held by members of the immediate family of such persons sharing the same household;</w:t>
      </w:r>
    </w:p>
    <w:p>
      <w:pPr>
        <w:spacing w:after="0" w:line="67" w:lineRule="exact"/>
        <w:rPr>
          <w:rFonts w:ascii="Arial" w:cs="Arial" w:eastAsia="Arial" w:hAnsi="Arial"/>
          <w:sz w:val="14"/>
          <w:szCs w:val="14"/>
          <w:color w:val="auto"/>
        </w:rPr>
      </w:pPr>
    </w:p>
    <w:p>
      <w:pPr>
        <w:ind w:left="360" w:right="539" w:firstLine="1825"/>
        <w:spacing w:after="0" w:line="342" w:lineRule="auto"/>
        <w:tabs>
          <w:tab w:leader="none" w:pos="2404" w:val="left"/>
        </w:tabs>
        <w:numPr>
          <w:ilvl w:val="2"/>
          <w:numId w:val="44"/>
        </w:numPr>
        <w:rPr>
          <w:rFonts w:ascii="Arial" w:cs="Arial" w:eastAsia="Arial" w:hAnsi="Arial"/>
          <w:sz w:val="12"/>
          <w:szCs w:val="12"/>
          <w:color w:val="auto"/>
        </w:rPr>
      </w:pPr>
      <w:r>
        <w:rPr>
          <w:rFonts w:ascii="Arial" w:cs="Arial" w:eastAsia="Arial" w:hAnsi="Arial"/>
          <w:sz w:val="12"/>
          <w:szCs w:val="12"/>
          <w:color w:val="auto"/>
        </w:rPr>
        <w:t>any significant equity interests or any Derivative Instruments in any principal competitor of the Corporation that are held by such stockholder, such beneficial owner or their respective affiliates or associates or others acting in concert with them;</w:t>
      </w:r>
    </w:p>
    <w:p>
      <w:pPr>
        <w:spacing w:after="0" w:line="12" w:lineRule="exact"/>
        <w:rPr>
          <w:rFonts w:ascii="Arial" w:cs="Arial" w:eastAsia="Arial" w:hAnsi="Arial"/>
          <w:sz w:val="12"/>
          <w:szCs w:val="12"/>
          <w:color w:val="auto"/>
        </w:rPr>
      </w:pPr>
    </w:p>
    <w:p>
      <w:pPr>
        <w:ind w:left="360" w:right="379" w:firstLine="1825"/>
        <w:spacing w:after="0" w:line="312" w:lineRule="auto"/>
        <w:tabs>
          <w:tab w:leader="none" w:pos="2351" w:val="left"/>
        </w:tabs>
        <w:numPr>
          <w:ilvl w:val="2"/>
          <w:numId w:val="44"/>
        </w:numPr>
        <w:rPr>
          <w:rFonts w:ascii="Arial" w:cs="Arial" w:eastAsia="Arial" w:hAnsi="Arial"/>
          <w:sz w:val="12"/>
          <w:szCs w:val="12"/>
          <w:color w:val="auto"/>
        </w:rPr>
      </w:pPr>
      <w:r>
        <w:rPr>
          <w:rFonts w:ascii="Arial" w:cs="Arial" w:eastAsia="Arial" w:hAnsi="Arial"/>
          <w:sz w:val="12"/>
          <w:szCs w:val="12"/>
          <w:color w:val="auto"/>
        </w:rPr>
        <w:t>any direct or indirect interest of such stockholder, such beneficial owner or their respective affiliates or associates or others acting in concert with them, in any contract with the Corporation, any affiliate of the Corporation or any principal competitor of the Corporation (in each case, including any employment agreement, collective bargaining agreement or consulting agreement);</w:t>
      </w:r>
    </w:p>
    <w:p>
      <w:pPr>
        <w:spacing w:after="0" w:line="30" w:lineRule="exact"/>
        <w:rPr>
          <w:rFonts w:ascii="Arial" w:cs="Arial" w:eastAsia="Arial" w:hAnsi="Arial"/>
          <w:sz w:val="12"/>
          <w:szCs w:val="12"/>
          <w:color w:val="auto"/>
        </w:rPr>
      </w:pPr>
    </w:p>
    <w:p>
      <w:pPr>
        <w:ind w:left="360" w:right="419" w:firstLine="1825"/>
        <w:spacing w:after="0" w:line="250" w:lineRule="auto"/>
        <w:tabs>
          <w:tab w:leader="none" w:pos="2358" w:val="left"/>
        </w:tabs>
        <w:numPr>
          <w:ilvl w:val="2"/>
          <w:numId w:val="44"/>
        </w:numPr>
        <w:rPr>
          <w:rFonts w:ascii="Arial" w:cs="Arial" w:eastAsia="Arial" w:hAnsi="Arial"/>
          <w:sz w:val="14"/>
          <w:szCs w:val="14"/>
          <w:color w:val="auto"/>
        </w:rPr>
      </w:pPr>
      <w:r>
        <w:rPr>
          <w:rFonts w:ascii="Arial" w:cs="Arial" w:eastAsia="Arial" w:hAnsi="Arial"/>
          <w:sz w:val="14"/>
          <w:szCs w:val="14"/>
          <w:color w:val="auto"/>
        </w:rPr>
        <w:t>a representation and undertaking that the stockholder is a holder of record of stock of the Corporation as of the date of submission of the stockholder’s notice and intends to appear in person or by proxy at the meeting to bring such nomination or other business before the meeting;</w:t>
      </w:r>
    </w:p>
    <w:p>
      <w:pPr>
        <w:spacing w:after="0" w:line="65" w:lineRule="exact"/>
        <w:rPr>
          <w:rFonts w:ascii="Arial" w:cs="Arial" w:eastAsia="Arial" w:hAnsi="Arial"/>
          <w:sz w:val="14"/>
          <w:szCs w:val="14"/>
          <w:color w:val="auto"/>
        </w:rPr>
      </w:pPr>
    </w:p>
    <w:p>
      <w:pPr>
        <w:ind w:left="360" w:right="479" w:firstLine="1825"/>
        <w:spacing w:after="0" w:line="247" w:lineRule="auto"/>
        <w:tabs>
          <w:tab w:leader="none" w:pos="2404" w:val="left"/>
        </w:tabs>
        <w:numPr>
          <w:ilvl w:val="2"/>
          <w:numId w:val="44"/>
        </w:numPr>
        <w:rPr>
          <w:rFonts w:ascii="Arial" w:cs="Arial" w:eastAsia="Arial" w:hAnsi="Arial"/>
          <w:sz w:val="14"/>
          <w:szCs w:val="14"/>
          <w:color w:val="auto"/>
        </w:rPr>
      </w:pPr>
      <w:r>
        <w:rPr>
          <w:rFonts w:ascii="Arial" w:cs="Arial" w:eastAsia="Arial" w:hAnsi="Arial"/>
          <w:sz w:val="14"/>
          <w:szCs w:val="14"/>
          <w:color w:val="auto"/>
        </w:rPr>
        <w:t>a representation and undertaking that such stockholder or any such beneficial owner intends, or is part of a group that intends, to (x) deliver a proxy statement or form of proxy to holders of at least the percentage of the voting power of the Corporation’s then-outstanding stock required to approve or adopt the proposal or to elect each such nominee; or (y) otherwise solicit proxies from stockholders in support of such proposal or nomination;</w:t>
      </w:r>
    </w:p>
    <w:p>
      <w:pPr>
        <w:spacing w:after="0" w:line="67" w:lineRule="exact"/>
        <w:rPr>
          <w:rFonts w:ascii="Arial" w:cs="Arial" w:eastAsia="Arial" w:hAnsi="Arial"/>
          <w:sz w:val="14"/>
          <w:szCs w:val="14"/>
          <w:color w:val="auto"/>
        </w:rPr>
      </w:pPr>
    </w:p>
    <w:p>
      <w:pPr>
        <w:jc w:val="both"/>
        <w:ind w:left="360" w:right="379" w:firstLine="1825"/>
        <w:spacing w:after="0" w:line="247" w:lineRule="auto"/>
        <w:tabs>
          <w:tab w:leader="none" w:pos="2388" w:val="left"/>
        </w:tabs>
        <w:numPr>
          <w:ilvl w:val="2"/>
          <w:numId w:val="44"/>
        </w:numPr>
        <w:rPr>
          <w:rFonts w:ascii="Arial" w:cs="Arial" w:eastAsia="Arial" w:hAnsi="Arial"/>
          <w:sz w:val="14"/>
          <w:szCs w:val="14"/>
          <w:color w:val="auto"/>
        </w:rPr>
      </w:pPr>
      <w:r>
        <w:rPr>
          <w:rFonts w:ascii="Arial" w:cs="Arial" w:eastAsia="Arial" w:hAnsi="Arial"/>
          <w:sz w:val="14"/>
          <w:szCs w:val="14"/>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67" w:lineRule="exact"/>
        <w:rPr>
          <w:rFonts w:ascii="Arial" w:cs="Arial" w:eastAsia="Arial" w:hAnsi="Arial"/>
          <w:sz w:val="14"/>
          <w:szCs w:val="14"/>
          <w:color w:val="auto"/>
        </w:rPr>
      </w:pPr>
    </w:p>
    <w:p>
      <w:pPr>
        <w:ind w:left="360" w:right="619" w:firstLine="1825"/>
        <w:spacing w:after="0" w:line="259" w:lineRule="auto"/>
        <w:tabs>
          <w:tab w:leader="none" w:pos="2426" w:val="left"/>
        </w:tabs>
        <w:numPr>
          <w:ilvl w:val="2"/>
          <w:numId w:val="44"/>
        </w:numPr>
        <w:rPr>
          <w:rFonts w:ascii="Arial" w:cs="Arial" w:eastAsia="Arial" w:hAnsi="Arial"/>
          <w:sz w:val="14"/>
          <w:szCs w:val="14"/>
          <w:color w:val="auto"/>
        </w:rPr>
      </w:pPr>
      <w:r>
        <w:rPr>
          <w:rFonts w:ascii="Arial" w:cs="Arial" w:eastAsia="Arial" w:hAnsi="Arial"/>
          <w:sz w:val="14"/>
          <w:szCs w:val="14"/>
          <w:color w:val="auto"/>
        </w:rPr>
        <w:t>such other information relating to any proposed item of business as the Corporation may reasonably require to determine whether such proposed item of business is a proper matter for stockholder action.</w:t>
      </w:r>
    </w:p>
    <w:p>
      <w:pPr>
        <w:spacing w:after="0" w:line="58" w:lineRule="exact"/>
        <w:rPr>
          <w:rFonts w:ascii="Arial" w:cs="Arial" w:eastAsia="Arial" w:hAnsi="Arial"/>
          <w:sz w:val="14"/>
          <w:szCs w:val="14"/>
          <w:color w:val="auto"/>
        </w:rPr>
      </w:pPr>
    </w:p>
    <w:p>
      <w:pPr>
        <w:ind w:left="360" w:right="379" w:firstLine="1080"/>
        <w:spacing w:after="0" w:line="287" w:lineRule="auto"/>
        <w:tabs>
          <w:tab w:leader="none" w:pos="1666" w:val="left"/>
        </w:tabs>
        <w:numPr>
          <w:ilvl w:val="1"/>
          <w:numId w:val="45"/>
        </w:numPr>
        <w:rPr>
          <w:rFonts w:ascii="Arial" w:cs="Arial" w:eastAsia="Arial" w:hAnsi="Arial"/>
          <w:sz w:val="12"/>
          <w:szCs w:val="12"/>
          <w:color w:val="auto"/>
        </w:rPr>
      </w:pPr>
      <w:r>
        <w:rPr>
          <w:rFonts w:ascii="Arial" w:cs="Arial" w:eastAsia="Arial" w:hAnsi="Arial"/>
          <w:sz w:val="12"/>
          <w:szCs w:val="12"/>
          <w:color w:val="auto"/>
        </w:rPr>
        <w:t>In addition to the requirements of this Section 2.4, to be timely, a stockholder’s notice (and any additional information submitted to the Corporation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Corporation may reasonably request. Such update and supplement or additional information, if applicable, must be received by the secretary at the principal executive offices of the Corporation, in the case of a request for additional information, promptly following a request therefor, which response must be delivered not later than such reasonable time as is specified in any such request from the Corporation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supplement or additional information shall result in the nomination or proposal no longer being eligible for consideration at the meeting.</w:t>
      </w:r>
    </w:p>
    <w:p>
      <w:pPr>
        <w:spacing w:after="0" w:line="49" w:lineRule="exact"/>
        <w:rPr>
          <w:rFonts w:ascii="Arial" w:cs="Arial" w:eastAsia="Arial" w:hAnsi="Arial"/>
          <w:sz w:val="12"/>
          <w:szCs w:val="12"/>
          <w:color w:val="auto"/>
        </w:rPr>
      </w:pPr>
    </w:p>
    <w:p>
      <w:pPr>
        <w:ind w:left="360" w:right="499" w:firstLine="749"/>
        <w:spacing w:after="0" w:line="312" w:lineRule="auto"/>
        <w:tabs>
          <w:tab w:leader="none" w:pos="1297"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Special Meetings of Stockholders</w:t>
      </w:r>
      <w:r>
        <w:rPr>
          <w:rFonts w:ascii="Arial" w:cs="Arial" w:eastAsia="Arial" w:hAnsi="Arial"/>
          <w:sz w:val="12"/>
          <w:szCs w:val="12"/>
          <w:color w:val="auto"/>
        </w:rPr>
        <w:t>. Except to the extent required by the DGCL, special meetings of stockholders may be called only in</w:t>
      </w:r>
      <w:r>
        <w:rPr>
          <w:rFonts w:ascii="Arial" w:cs="Arial" w:eastAsia="Arial" w:hAnsi="Arial"/>
          <w:sz w:val="12"/>
          <w:szCs w:val="12"/>
          <w:i w:val="1"/>
          <w:iCs w:val="1"/>
          <w:color w:val="auto"/>
        </w:rPr>
        <w:t xml:space="preserve"> </w:t>
      </w:r>
      <w:r>
        <w:rPr>
          <w:rFonts w:ascii="Arial" w:cs="Arial" w:eastAsia="Arial" w:hAnsi="Arial"/>
          <w:sz w:val="12"/>
          <w:szCs w:val="12"/>
          <w:color w:val="auto"/>
        </w:rPr>
        <w:t>accordance with the Corporation’s certificate of incorporation and these bylaws. Only such business will be conducted at a special meeting of stockholders as has been brought before the special meeting pursuant to the Corporation’s notice of meeting. If the election of directors is included as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41" w:name="page42"/>
    <w:bookmarkEnd w:id="41"/>
    <w:p>
      <w:pPr>
        <w:ind w:left="360" w:right="619"/>
        <w:spacing w:after="0" w:line="29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business to be brought before a special meeting in the Corporation’s notice of meeting, then nominations of persons for election to the Board at such special meeting may be made by any stockholder who (i) is a stockholder of record at the time of giving of the notice contemplated by this</w:t>
      </w:r>
    </w:p>
    <w:p>
      <w:pPr>
        <w:ind w:left="360" w:right="399"/>
        <w:spacing w:after="0" w:line="282" w:lineRule="auto"/>
        <w:rPr>
          <w:sz w:val="20"/>
          <w:szCs w:val="20"/>
          <w:color w:val="auto"/>
        </w:rPr>
      </w:pPr>
      <w:r>
        <w:rPr>
          <w:rFonts w:ascii="Arial" w:cs="Arial" w:eastAsia="Arial" w:hAnsi="Arial"/>
          <w:sz w:val="12"/>
          <w:szCs w:val="12"/>
          <w:color w:val="auto"/>
        </w:rPr>
        <w:t>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Corporation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Sections 2.4(a)</w:t>
      </w:r>
    </w:p>
    <w:p>
      <w:pPr>
        <w:spacing w:after="0" w:line="2" w:lineRule="exact"/>
        <w:rPr>
          <w:sz w:val="20"/>
          <w:szCs w:val="20"/>
          <w:color w:val="auto"/>
        </w:rPr>
      </w:pPr>
    </w:p>
    <w:p>
      <w:pPr>
        <w:ind w:left="600" w:hanging="237"/>
        <w:spacing w:after="0"/>
        <w:tabs>
          <w:tab w:leader="none" w:pos="6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and 2.4(a)(iv).</w:t>
      </w:r>
    </w:p>
    <w:p>
      <w:pPr>
        <w:spacing w:after="0" w:line="72" w:lineRule="exact"/>
        <w:rPr>
          <w:rFonts w:ascii="Arial" w:cs="Arial" w:eastAsia="Arial" w:hAnsi="Arial"/>
          <w:sz w:val="14"/>
          <w:szCs w:val="14"/>
          <w:color w:val="auto"/>
        </w:rPr>
      </w:pPr>
    </w:p>
    <w:p>
      <w:pPr>
        <w:ind w:left="1300" w:hanging="191"/>
        <w:spacing w:after="0"/>
        <w:tabs>
          <w:tab w:leader="none" w:pos="1300" w:val="left"/>
        </w:tabs>
        <w:numPr>
          <w:ilvl w:val="1"/>
          <w:numId w:val="47"/>
        </w:numPr>
        <w:rPr>
          <w:rFonts w:ascii="Arial" w:cs="Arial" w:eastAsia="Arial" w:hAnsi="Arial"/>
          <w:sz w:val="14"/>
          <w:szCs w:val="14"/>
          <w:color w:val="auto"/>
        </w:rPr>
      </w:pPr>
      <w:r>
        <w:rPr>
          <w:rFonts w:ascii="Arial" w:cs="Arial" w:eastAsia="Arial" w:hAnsi="Arial"/>
          <w:sz w:val="14"/>
          <w:szCs w:val="14"/>
          <w:i w:val="1"/>
          <w:iCs w:val="1"/>
          <w:color w:val="auto"/>
        </w:rPr>
        <w:t>Other Requirements</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jc w:val="both"/>
        <w:ind w:left="360" w:right="739" w:firstLine="1080"/>
        <w:spacing w:after="0" w:line="342" w:lineRule="auto"/>
        <w:tabs>
          <w:tab w:leader="none" w:pos="1598" w:val="left"/>
        </w:tabs>
        <w:numPr>
          <w:ilvl w:val="2"/>
          <w:numId w:val="47"/>
        </w:numPr>
        <w:rPr>
          <w:rFonts w:ascii="Arial" w:cs="Arial" w:eastAsia="Arial" w:hAnsi="Arial"/>
          <w:sz w:val="12"/>
          <w:szCs w:val="12"/>
          <w:color w:val="auto"/>
        </w:rPr>
      </w:pPr>
      <w:r>
        <w:rPr>
          <w:rFonts w:ascii="Arial" w:cs="Arial" w:eastAsia="Arial" w:hAnsi="Arial"/>
          <w:sz w:val="12"/>
          <w:szCs w:val="12"/>
          <w:color w:val="auto"/>
        </w:rPr>
        <w:t>To be eligible to be a nominee by any stockholder for election as a director of the Corporation, the proposed nominee must provide to the secretary, in accordance with the applicable time periods prescribed for delivery of notice under Section 2.4(a)(ii) or Section 2.4(b):</w:t>
      </w:r>
    </w:p>
    <w:p>
      <w:pPr>
        <w:spacing w:after="0" w:line="12" w:lineRule="exact"/>
        <w:rPr>
          <w:rFonts w:ascii="Arial" w:cs="Arial" w:eastAsia="Arial" w:hAnsi="Arial"/>
          <w:sz w:val="12"/>
          <w:szCs w:val="12"/>
          <w:color w:val="auto"/>
        </w:rPr>
      </w:pPr>
    </w:p>
    <w:p>
      <w:pPr>
        <w:ind w:left="360" w:right="499" w:firstLine="1494"/>
        <w:spacing w:after="0" w:line="302" w:lineRule="auto"/>
        <w:tabs>
          <w:tab w:leader="none" w:pos="2042" w:val="left"/>
        </w:tabs>
        <w:numPr>
          <w:ilvl w:val="3"/>
          <w:numId w:val="47"/>
        </w:numPr>
        <w:rPr>
          <w:rFonts w:ascii="Arial" w:cs="Arial" w:eastAsia="Arial" w:hAnsi="Arial"/>
          <w:sz w:val="12"/>
          <w:szCs w:val="12"/>
          <w:color w:val="auto"/>
        </w:rPr>
      </w:pPr>
      <w:r>
        <w:rPr>
          <w:rFonts w:ascii="Arial" w:cs="Arial" w:eastAsia="Arial" w:hAnsi="Arial"/>
          <w:sz w:val="12"/>
          <w:szCs w:val="12"/>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w:t>
      </w:r>
    </w:p>
    <w:p>
      <w:pPr>
        <w:spacing w:after="0" w:line="36" w:lineRule="exact"/>
        <w:rPr>
          <w:rFonts w:ascii="Arial" w:cs="Arial" w:eastAsia="Arial" w:hAnsi="Arial"/>
          <w:sz w:val="12"/>
          <w:szCs w:val="12"/>
          <w:color w:val="auto"/>
        </w:rPr>
      </w:pPr>
    </w:p>
    <w:p>
      <w:pPr>
        <w:ind w:left="360" w:right="559" w:firstLine="1494"/>
        <w:spacing w:after="0" w:line="250" w:lineRule="auto"/>
        <w:tabs>
          <w:tab w:leader="none" w:pos="2042" w:val="left"/>
        </w:tabs>
        <w:numPr>
          <w:ilvl w:val="3"/>
          <w:numId w:val="47"/>
        </w:numPr>
        <w:rPr>
          <w:rFonts w:ascii="Arial" w:cs="Arial" w:eastAsia="Arial" w:hAnsi="Arial"/>
          <w:sz w:val="14"/>
          <w:szCs w:val="14"/>
          <w:color w:val="auto"/>
        </w:rPr>
      </w:pPr>
      <w:r>
        <w:rPr>
          <w:rFonts w:ascii="Arial" w:cs="Arial" w:eastAsia="Arial" w:hAnsi="Arial"/>
          <w:sz w:val="14"/>
          <w:szCs w:val="14"/>
          <w:color w:val="auto"/>
        </w:rPr>
        <w:t>a written representation and undertaking that, unless previously disclosed to the Corporation, such nominee is not, and will not become, a party to any voting agreement, arrangement, commitment, assurance or understanding with any person or entity as to how such nominee, if elected as a director, will vote on any issue;</w:t>
      </w:r>
    </w:p>
    <w:p>
      <w:pPr>
        <w:spacing w:after="0" w:line="65" w:lineRule="exact"/>
        <w:rPr>
          <w:rFonts w:ascii="Arial" w:cs="Arial" w:eastAsia="Arial" w:hAnsi="Arial"/>
          <w:sz w:val="14"/>
          <w:szCs w:val="14"/>
          <w:color w:val="auto"/>
        </w:rPr>
      </w:pPr>
    </w:p>
    <w:p>
      <w:pPr>
        <w:ind w:left="360" w:right="559" w:firstLine="1494"/>
        <w:spacing w:after="0" w:line="259" w:lineRule="auto"/>
        <w:tabs>
          <w:tab w:leader="none" w:pos="2042" w:val="left"/>
        </w:tabs>
        <w:numPr>
          <w:ilvl w:val="3"/>
          <w:numId w:val="47"/>
        </w:numPr>
        <w:rPr>
          <w:rFonts w:ascii="Arial" w:cs="Arial" w:eastAsia="Arial" w:hAnsi="Arial"/>
          <w:sz w:val="14"/>
          <w:szCs w:val="14"/>
          <w:color w:val="auto"/>
        </w:rPr>
      </w:pPr>
      <w:r>
        <w:rPr>
          <w:rFonts w:ascii="Arial" w:cs="Arial" w:eastAsia="Arial" w:hAnsi="Arial"/>
          <w:sz w:val="14"/>
          <w:szCs w:val="14"/>
          <w:color w:val="auto"/>
        </w:rPr>
        <w:t>a written representation and undertaking that, unless previously disclosed to the Corporation, such nominee is not, and will not become, a party to any Third-Party Compensation Arrangement;</w:t>
      </w:r>
    </w:p>
    <w:p>
      <w:pPr>
        <w:spacing w:after="0" w:line="58" w:lineRule="exact"/>
        <w:rPr>
          <w:rFonts w:ascii="Arial" w:cs="Arial" w:eastAsia="Arial" w:hAnsi="Arial"/>
          <w:sz w:val="14"/>
          <w:szCs w:val="14"/>
          <w:color w:val="auto"/>
        </w:rPr>
      </w:pPr>
    </w:p>
    <w:p>
      <w:pPr>
        <w:ind w:left="360" w:right="539" w:firstLine="1494"/>
        <w:spacing w:after="0" w:line="250" w:lineRule="auto"/>
        <w:tabs>
          <w:tab w:leader="none" w:pos="2042" w:val="left"/>
        </w:tabs>
        <w:numPr>
          <w:ilvl w:val="3"/>
          <w:numId w:val="47"/>
        </w:numPr>
        <w:rPr>
          <w:rFonts w:ascii="Arial" w:cs="Arial" w:eastAsia="Arial" w:hAnsi="Arial"/>
          <w:sz w:val="14"/>
          <w:szCs w:val="14"/>
          <w:color w:val="auto"/>
        </w:rPr>
      </w:pPr>
      <w:r>
        <w:rPr>
          <w:rFonts w:ascii="Arial" w:cs="Arial" w:eastAsia="Arial" w:hAnsi="Arial"/>
          <w:sz w:val="14"/>
          <w:szCs w:val="14"/>
          <w:color w:val="auto"/>
        </w:rPr>
        <w:t>a written representation and undertaking that, if elected as a director, such nominee would be in compliance, and will continue to comply, with the Corporation’s corporate governance guidelines as disclosed on the Corporation’s website, as amended from time to time; and</w:t>
      </w:r>
    </w:p>
    <w:p>
      <w:pPr>
        <w:spacing w:after="0" w:line="65" w:lineRule="exact"/>
        <w:rPr>
          <w:rFonts w:ascii="Arial" w:cs="Arial" w:eastAsia="Arial" w:hAnsi="Arial"/>
          <w:sz w:val="14"/>
          <w:szCs w:val="14"/>
          <w:color w:val="auto"/>
        </w:rPr>
      </w:pPr>
    </w:p>
    <w:p>
      <w:pPr>
        <w:ind w:left="2040" w:hanging="186"/>
        <w:spacing w:after="0"/>
        <w:tabs>
          <w:tab w:leader="none" w:pos="2040" w:val="left"/>
        </w:tabs>
        <w:numPr>
          <w:ilvl w:val="3"/>
          <w:numId w:val="47"/>
        </w:numPr>
        <w:rPr>
          <w:rFonts w:ascii="Arial" w:cs="Arial" w:eastAsia="Arial" w:hAnsi="Arial"/>
          <w:sz w:val="12"/>
          <w:szCs w:val="12"/>
          <w:color w:val="auto"/>
        </w:rPr>
      </w:pPr>
      <w:r>
        <w:rPr>
          <w:rFonts w:ascii="Arial" w:cs="Arial" w:eastAsia="Arial" w:hAnsi="Arial"/>
          <w:sz w:val="12"/>
          <w:szCs w:val="12"/>
          <w:color w:val="auto"/>
        </w:rPr>
        <w:t>a written representation and undertaking that such nominee, if elected, intends to serve a full term on the Board.</w:t>
      </w:r>
    </w:p>
    <w:p>
      <w:pPr>
        <w:spacing w:after="0" w:line="105" w:lineRule="exact"/>
        <w:rPr>
          <w:rFonts w:ascii="Arial" w:cs="Arial" w:eastAsia="Arial" w:hAnsi="Arial"/>
          <w:sz w:val="12"/>
          <w:szCs w:val="12"/>
          <w:color w:val="auto"/>
        </w:rPr>
      </w:pPr>
    </w:p>
    <w:p>
      <w:pPr>
        <w:ind w:left="360" w:right="799" w:firstLine="1080"/>
        <w:spacing w:after="0" w:line="342" w:lineRule="auto"/>
        <w:tabs>
          <w:tab w:leader="none" w:pos="1636" w:val="left"/>
        </w:tabs>
        <w:numPr>
          <w:ilvl w:val="2"/>
          <w:numId w:val="47"/>
        </w:numPr>
        <w:rPr>
          <w:rFonts w:ascii="Arial" w:cs="Arial" w:eastAsia="Arial" w:hAnsi="Arial"/>
          <w:sz w:val="12"/>
          <w:szCs w:val="12"/>
          <w:color w:val="auto"/>
        </w:rPr>
      </w:pPr>
      <w:r>
        <w:rPr>
          <w:rFonts w:ascii="Arial" w:cs="Arial" w:eastAsia="Arial" w:hAnsi="Arial"/>
          <w:sz w:val="12"/>
          <w:szCs w:val="12"/>
          <w:color w:val="auto"/>
        </w:rPr>
        <w:t>At the request of the Board, any person nominated by the Board for election as a director must furnish to the secretary the information that is required to be set forth in a stockholder’s notice of nomination that pertains to such nominee.</w:t>
      </w:r>
    </w:p>
    <w:p>
      <w:pPr>
        <w:spacing w:after="0" w:line="12" w:lineRule="exact"/>
        <w:rPr>
          <w:rFonts w:ascii="Arial" w:cs="Arial" w:eastAsia="Arial" w:hAnsi="Arial"/>
          <w:sz w:val="12"/>
          <w:szCs w:val="12"/>
          <w:color w:val="auto"/>
        </w:rPr>
      </w:pPr>
    </w:p>
    <w:p>
      <w:pPr>
        <w:ind w:left="360" w:right="399" w:firstLine="1080"/>
        <w:spacing w:after="0" w:line="250" w:lineRule="auto"/>
        <w:tabs>
          <w:tab w:leader="none" w:pos="1673" w:val="left"/>
        </w:tabs>
        <w:numPr>
          <w:ilvl w:val="2"/>
          <w:numId w:val="47"/>
        </w:numPr>
        <w:rPr>
          <w:rFonts w:ascii="Arial" w:cs="Arial" w:eastAsia="Arial" w:hAnsi="Arial"/>
          <w:sz w:val="14"/>
          <w:szCs w:val="14"/>
          <w:color w:val="auto"/>
        </w:rPr>
      </w:pPr>
      <w:r>
        <w:rPr>
          <w:rFonts w:ascii="Arial" w:cs="Arial" w:eastAsia="Arial" w:hAnsi="Arial"/>
          <w:sz w:val="14"/>
          <w:szCs w:val="14"/>
          <w:color w:val="auto"/>
        </w:rPr>
        <w:t>No person will be eligible to be nominated by a stockholder for election as a director of the Corporation unless nominated in accordance with the procedures set forth in this Section 2.4. No business proposed by a stockholder will be conducted at a stockholder meeting except in accordance with this Section 2.4.</w:t>
      </w:r>
    </w:p>
    <w:p>
      <w:pPr>
        <w:spacing w:after="0" w:line="65" w:lineRule="exact"/>
        <w:rPr>
          <w:rFonts w:ascii="Arial" w:cs="Arial" w:eastAsia="Arial" w:hAnsi="Arial"/>
          <w:sz w:val="14"/>
          <w:szCs w:val="14"/>
          <w:color w:val="auto"/>
        </w:rPr>
      </w:pPr>
    </w:p>
    <w:p>
      <w:pPr>
        <w:ind w:left="360" w:right="399" w:firstLine="1080"/>
        <w:spacing w:after="0" w:line="302" w:lineRule="auto"/>
        <w:tabs>
          <w:tab w:leader="none" w:pos="1666" w:val="left"/>
        </w:tabs>
        <w:numPr>
          <w:ilvl w:val="2"/>
          <w:numId w:val="47"/>
        </w:numPr>
        <w:rPr>
          <w:rFonts w:ascii="Arial" w:cs="Arial" w:eastAsia="Arial" w:hAnsi="Arial"/>
          <w:sz w:val="12"/>
          <w:szCs w:val="12"/>
          <w:color w:val="auto"/>
        </w:rPr>
      </w:pPr>
      <w:r>
        <w:rPr>
          <w:rFonts w:ascii="Arial" w:cs="Arial" w:eastAsia="Arial" w:hAnsi="Arial"/>
          <w:sz w:val="12"/>
          <w:szCs w:val="12"/>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36" w:lineRule="exact"/>
        <w:rPr>
          <w:rFonts w:ascii="Arial" w:cs="Arial" w:eastAsia="Arial" w:hAnsi="Arial"/>
          <w:sz w:val="12"/>
          <w:szCs w:val="12"/>
          <w:color w:val="auto"/>
        </w:rPr>
      </w:pPr>
    </w:p>
    <w:p>
      <w:pPr>
        <w:ind w:left="360" w:right="499" w:firstLine="1080"/>
        <w:spacing w:after="0" w:line="259" w:lineRule="auto"/>
        <w:tabs>
          <w:tab w:leader="none" w:pos="1628" w:val="left"/>
        </w:tabs>
        <w:numPr>
          <w:ilvl w:val="2"/>
          <w:numId w:val="47"/>
        </w:numPr>
        <w:rPr>
          <w:rFonts w:ascii="Arial" w:cs="Arial" w:eastAsia="Arial" w:hAnsi="Arial"/>
          <w:sz w:val="14"/>
          <w:szCs w:val="14"/>
          <w:color w:val="auto"/>
        </w:rPr>
      </w:pPr>
      <w:r>
        <w:rPr>
          <w:rFonts w:ascii="Arial" w:cs="Arial" w:eastAsia="Arial" w:hAnsi="Arial"/>
          <w:sz w:val="14"/>
          <w:szCs w:val="14"/>
          <w:color w:val="auto"/>
        </w:rPr>
        <w:t>Notwithstanding anything to the contrary in this Section 2.4, unless otherwise required by law, if the stockholder (or a qualified representative of the stockholder) does not appear in person at the meeting to</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42" w:name="page43"/>
    <w:bookmarkEnd w:id="42"/>
    <w:p>
      <w:pPr>
        <w:ind w:left="360" w:right="37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present a nomination or other proposed business, such nomination will be disregarded or such proposed business will not be transacted, as the case may be, notwithstanding that proxies in respect of such nomination or business may have been received by the Corporation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41" w:lineRule="exact"/>
        <w:rPr>
          <w:sz w:val="20"/>
          <w:szCs w:val="20"/>
          <w:color w:val="auto"/>
        </w:rPr>
      </w:pPr>
    </w:p>
    <w:p>
      <w:pPr>
        <w:ind w:left="360" w:right="439" w:firstLine="1080"/>
        <w:spacing w:after="0" w:line="246" w:lineRule="auto"/>
        <w:tabs>
          <w:tab w:leader="none" w:pos="1666"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68" w:lineRule="exact"/>
        <w:rPr>
          <w:rFonts w:ascii="Arial" w:cs="Arial" w:eastAsia="Arial" w:hAnsi="Arial"/>
          <w:sz w:val="14"/>
          <w:szCs w:val="14"/>
          <w:color w:val="auto"/>
        </w:rPr>
      </w:pPr>
    </w:p>
    <w:p>
      <w:pPr>
        <w:ind w:left="360" w:right="419" w:firstLine="1080"/>
        <w:spacing w:after="0" w:line="294" w:lineRule="auto"/>
        <w:tabs>
          <w:tab w:leader="none" w:pos="1703"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Corporation in compliance with Rule 14a 8 under the 1934 Act; and (2) such stockholder’s proposal has been included in a proxy statement that has been prepared by the Corporation to solicit proxies for the meeting of stockholders. Subject to Rule 14a 8 and other applicable rules and regulations under the 1934 Act, nothing in these bylaws will be construed to permit any stockholder, or give any stockholder the right, to include or have disseminated or described in the Corporation’s proxy statement any nomination of a director or any other business proposal.</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2.5 NOTICE OF STOCKHOLDERS’ MEETINGS</w:t>
      </w:r>
    </w:p>
    <w:p>
      <w:pPr>
        <w:spacing w:after="0" w:line="83" w:lineRule="exact"/>
        <w:rPr>
          <w:sz w:val="20"/>
          <w:szCs w:val="20"/>
          <w:color w:val="auto"/>
        </w:rPr>
      </w:pPr>
    </w:p>
    <w:p>
      <w:pPr>
        <w:ind w:left="360" w:right="399" w:firstLine="331"/>
        <w:spacing w:after="0" w:line="292" w:lineRule="auto"/>
        <w:rPr>
          <w:sz w:val="20"/>
          <w:szCs w:val="20"/>
          <w:color w:val="auto"/>
        </w:rPr>
      </w:pPr>
      <w:r>
        <w:rPr>
          <w:rFonts w:ascii="Arial" w:cs="Arial" w:eastAsia="Arial" w:hAnsi="Arial"/>
          <w:sz w:val="12"/>
          <w:szCs w:val="12"/>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2.6 QUORUM</w:t>
      </w:r>
    </w:p>
    <w:p>
      <w:pPr>
        <w:spacing w:after="0" w:line="83" w:lineRule="exact"/>
        <w:rPr>
          <w:sz w:val="20"/>
          <w:szCs w:val="20"/>
          <w:color w:val="auto"/>
        </w:rPr>
      </w:pPr>
    </w:p>
    <w:p>
      <w:pPr>
        <w:ind w:left="360" w:right="419" w:firstLine="331"/>
        <w:spacing w:after="0" w:line="297" w:lineRule="auto"/>
        <w:rPr>
          <w:sz w:val="20"/>
          <w:szCs w:val="20"/>
          <w:color w:val="auto"/>
        </w:rPr>
      </w:pPr>
      <w:r>
        <w:rPr>
          <w:rFonts w:ascii="Arial" w:cs="Arial" w:eastAsia="Arial" w:hAnsi="Arial"/>
          <w:sz w:val="12"/>
          <w:szCs w:val="12"/>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20" w:lineRule="exact"/>
        <w:rPr>
          <w:sz w:val="20"/>
          <w:szCs w:val="20"/>
          <w:color w:val="auto"/>
        </w:rPr>
      </w:pPr>
    </w:p>
    <w:p>
      <w:pPr>
        <w:jc w:val="both"/>
        <w:ind w:left="360" w:right="759" w:firstLine="331"/>
        <w:spacing w:after="0" w:line="302" w:lineRule="auto"/>
        <w:rPr>
          <w:sz w:val="20"/>
          <w:szCs w:val="20"/>
          <w:color w:val="auto"/>
        </w:rPr>
      </w:pPr>
      <w:r>
        <w:rPr>
          <w:rFonts w:ascii="Arial" w:cs="Arial" w:eastAsia="Arial" w:hAnsi="Arial"/>
          <w:sz w:val="12"/>
          <w:szCs w:val="12"/>
          <w:color w:val="auto"/>
        </w:rPr>
        <w:t>If, however, such quorum is not present or represented at any meeting of the stockholders, then either (i) the chair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2.7 ADJOURNED MEETING; NOTICE</w:t>
      </w:r>
    </w:p>
    <w:p>
      <w:pPr>
        <w:spacing w:after="0" w:line="83" w:lineRule="exact"/>
        <w:rPr>
          <w:sz w:val="20"/>
          <w:szCs w:val="20"/>
          <w:color w:val="auto"/>
        </w:rPr>
      </w:pPr>
    </w:p>
    <w:p>
      <w:pPr>
        <w:ind w:left="360" w:right="419" w:firstLine="331"/>
        <w:spacing w:after="0" w:line="259" w:lineRule="auto"/>
        <w:rPr>
          <w:sz w:val="20"/>
          <w:szCs w:val="20"/>
          <w:color w:val="auto"/>
        </w:rPr>
      </w:pPr>
      <w:r>
        <w:rPr>
          <w:rFonts w:ascii="Arial" w:cs="Arial" w:eastAsia="Arial" w:hAnsi="Arial"/>
          <w:sz w:val="14"/>
          <w:szCs w:val="14"/>
          <w:color w:val="auto"/>
        </w:rPr>
        <w:t>When a meeting is adjourned to another time or place, unless these bylaws otherwise require, notice need not be given of the adjourned meeting if the time, place, if any, thereof, and the means of remote</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43" w:name="page44"/>
    <w:bookmarkEnd w:id="43"/>
    <w:p>
      <w:pPr>
        <w:ind w:left="360" w:right="399"/>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2.8 CONDUCT OF BUSINESS</w:t>
      </w:r>
    </w:p>
    <w:p>
      <w:pPr>
        <w:spacing w:after="0" w:line="83" w:lineRule="exact"/>
        <w:rPr>
          <w:sz w:val="20"/>
          <w:szCs w:val="20"/>
          <w:color w:val="auto"/>
        </w:rPr>
      </w:pPr>
    </w:p>
    <w:p>
      <w:pPr>
        <w:ind w:left="360" w:right="379" w:firstLine="331"/>
        <w:spacing w:after="0" w:line="297" w:lineRule="auto"/>
        <w:rPr>
          <w:sz w:val="20"/>
          <w:szCs w:val="20"/>
          <w:color w:val="auto"/>
        </w:rPr>
      </w:pPr>
      <w:r>
        <w:rPr>
          <w:rFonts w:ascii="Arial" w:cs="Arial" w:eastAsia="Arial" w:hAnsi="Arial"/>
          <w:sz w:val="12"/>
          <w:szCs w:val="12"/>
          <w:color w:val="auto"/>
        </w:rPr>
        <w:t>The chair of any meeting of stockholders shall determine the order of business and the procedure at the meeting, including such regulation of the manner of voting and the conduct of business and discussion as seem to the chair in order. The chair of any meeting of stockholders shall have the power to adjourn the meeting to another place, if any, date or time, whether or not a quorum is present. The chair of any meeting of stockholders shall be designated by the Board; in the absence of such designation, the chair of the Board, if any, or the chief executive officer (in the absence of the chair of the Board), or in their absence any other executive officer of the Corporation, shall serve as chair of the stockholder meeting.</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2.9 VOTING</w:t>
      </w:r>
    </w:p>
    <w:p>
      <w:pPr>
        <w:spacing w:after="0" w:line="83" w:lineRule="exact"/>
        <w:rPr>
          <w:sz w:val="20"/>
          <w:szCs w:val="20"/>
          <w:color w:val="auto"/>
        </w:rPr>
      </w:pPr>
    </w:p>
    <w:p>
      <w:pPr>
        <w:ind w:left="360" w:right="459" w:firstLine="331"/>
        <w:spacing w:after="0" w:line="250" w:lineRule="auto"/>
        <w:rPr>
          <w:sz w:val="20"/>
          <w:szCs w:val="20"/>
          <w:color w:val="auto"/>
        </w:rPr>
      </w:pPr>
      <w:r>
        <w:rPr>
          <w:rFonts w:ascii="Arial" w:cs="Arial" w:eastAsia="Arial" w:hAnsi="Arial"/>
          <w:sz w:val="14"/>
          <w:szCs w:val="14"/>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46" w:lineRule="exact"/>
        <w:rPr>
          <w:sz w:val="20"/>
          <w:szCs w:val="20"/>
          <w:color w:val="auto"/>
        </w:rPr>
      </w:pPr>
    </w:p>
    <w:p>
      <w:pPr>
        <w:ind w:left="360" w:right="499" w:firstLine="331"/>
        <w:spacing w:after="0" w:line="312" w:lineRule="auto"/>
        <w:rPr>
          <w:sz w:val="20"/>
          <w:szCs w:val="20"/>
          <w:color w:val="auto"/>
        </w:rPr>
      </w:pPr>
      <w:r>
        <w:rPr>
          <w:rFonts w:ascii="Arial" w:cs="Arial" w:eastAsia="Arial" w:hAnsi="Arial"/>
          <w:sz w:val="12"/>
          <w:szCs w:val="12"/>
          <w:color w:val="auto"/>
        </w:rPr>
        <w:t>Except as otherwise provided by law, the certificate of incorporation, these bylaws or the rules of any applicable stock exchange, in all matters other than the election of directors, the affirmative vote of a majority of the voting power of the shares present in person or represented by proxy at the meeting and entitled to vote on the subject matter shall be the act of the stockholders.</w:t>
      </w:r>
    </w:p>
    <w:p>
      <w:pPr>
        <w:spacing w:after="0" w:line="111" w:lineRule="exact"/>
        <w:rPr>
          <w:sz w:val="20"/>
          <w:szCs w:val="20"/>
          <w:color w:val="auto"/>
        </w:rPr>
      </w:pPr>
    </w:p>
    <w:p>
      <w:pPr>
        <w:ind w:left="360" w:right="459" w:firstLine="331"/>
        <w:spacing w:after="0" w:line="294" w:lineRule="auto"/>
        <w:rPr>
          <w:sz w:val="20"/>
          <w:szCs w:val="20"/>
          <w:color w:val="auto"/>
        </w:rPr>
      </w:pPr>
      <w:r>
        <w:rPr>
          <w:rFonts w:ascii="Arial" w:cs="Arial" w:eastAsia="Arial" w:hAnsi="Arial"/>
          <w:sz w:val="12"/>
          <w:szCs w:val="12"/>
          <w:color w:val="auto"/>
        </w:rPr>
        <w:t>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2.10 STOCKHOLDER ACTION BY WRITTEN CONSENT WITHOUT A MEETING</w:t>
      </w:r>
    </w:p>
    <w:p>
      <w:pPr>
        <w:spacing w:after="0" w:line="83" w:lineRule="exact"/>
        <w:rPr>
          <w:sz w:val="20"/>
          <w:szCs w:val="20"/>
          <w:color w:val="auto"/>
        </w:rPr>
      </w:pPr>
    </w:p>
    <w:p>
      <w:pPr>
        <w:ind w:left="360" w:right="639" w:firstLine="331"/>
        <w:spacing w:after="0" w:line="312" w:lineRule="auto"/>
        <w:rPr>
          <w:sz w:val="20"/>
          <w:szCs w:val="20"/>
          <w:color w:val="auto"/>
        </w:rPr>
      </w:pPr>
      <w:r>
        <w:rPr>
          <w:rFonts w:ascii="Arial" w:cs="Arial" w:eastAsia="Arial" w:hAnsi="Arial"/>
          <w:sz w:val="12"/>
          <w:szCs w:val="12"/>
          <w:color w:val="auto"/>
        </w:rPr>
        <w:t>Subject to the rights of the holders of the shares of any series of Preferred Stock and except as provided in the certificate of incorporation,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2.11 RECORD DATES</w:t>
      </w:r>
    </w:p>
    <w:p>
      <w:pPr>
        <w:spacing w:after="0" w:line="83" w:lineRule="exact"/>
        <w:rPr>
          <w:sz w:val="20"/>
          <w:szCs w:val="20"/>
          <w:color w:val="auto"/>
        </w:rPr>
      </w:pPr>
    </w:p>
    <w:p>
      <w:pPr>
        <w:ind w:left="360" w:right="379" w:firstLine="331"/>
        <w:spacing w:after="0" w:line="297" w:lineRule="auto"/>
        <w:rPr>
          <w:sz w:val="20"/>
          <w:szCs w:val="20"/>
          <w:color w:val="auto"/>
        </w:rPr>
      </w:pPr>
      <w:r>
        <w:rPr>
          <w:rFonts w:ascii="Arial" w:cs="Arial" w:eastAsia="Arial" w:hAnsi="Arial"/>
          <w:sz w:val="12"/>
          <w:szCs w:val="12"/>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44" w:name="page45"/>
    <w:bookmarkEnd w:id="44"/>
    <w:p>
      <w:pPr>
        <w:ind w:left="360" w:right="379" w:firstLine="331"/>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If no record date is fixed by the Board, the record date for determining stockholders entitled to notice of and to vote at a meeting of stockholders shall be at the close of business on the day immediately preceding the day on which notice is given, or, if notice is waived, at the close of business on the day immediately preceding the day on which the meeting is held.</w:t>
      </w:r>
    </w:p>
    <w:p>
      <w:pPr>
        <w:spacing w:after="0" w:line="65" w:lineRule="exact"/>
        <w:rPr>
          <w:sz w:val="20"/>
          <w:szCs w:val="20"/>
          <w:color w:val="auto"/>
        </w:rPr>
      </w:pPr>
    </w:p>
    <w:p>
      <w:pPr>
        <w:ind w:left="360" w:right="399" w:firstLine="331"/>
        <w:spacing w:after="0" w:line="246" w:lineRule="auto"/>
        <w:rPr>
          <w:sz w:val="20"/>
          <w:szCs w:val="20"/>
          <w:color w:val="auto"/>
        </w:rPr>
      </w:pPr>
      <w:r>
        <w:rPr>
          <w:rFonts w:ascii="Arial" w:cs="Arial" w:eastAsia="Arial" w:hAnsi="Arial"/>
          <w:sz w:val="14"/>
          <w:szCs w:val="14"/>
          <w:color w:val="auto"/>
        </w:rPr>
        <w:t xml:space="preserve">A determination of stockholders of record entitled to notice of or to vote at a meeting of stockholders shall apply to any adjournment of the meeting;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49" w:lineRule="exact"/>
        <w:rPr>
          <w:sz w:val="20"/>
          <w:szCs w:val="20"/>
          <w:color w:val="auto"/>
        </w:rPr>
      </w:pPr>
    </w:p>
    <w:p>
      <w:pPr>
        <w:ind w:left="360" w:right="399" w:firstLine="331"/>
        <w:spacing w:after="0" w:line="297" w:lineRule="auto"/>
        <w:rPr>
          <w:sz w:val="20"/>
          <w:szCs w:val="20"/>
          <w:color w:val="auto"/>
        </w:rPr>
      </w:pPr>
      <w:r>
        <w:rPr>
          <w:rFonts w:ascii="Arial" w:cs="Arial" w:eastAsia="Arial" w:hAnsi="Arial"/>
          <w:sz w:val="12"/>
          <w:szCs w:val="12"/>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2.12 PROXIES</w:t>
      </w:r>
    </w:p>
    <w:p>
      <w:pPr>
        <w:spacing w:after="0" w:line="83" w:lineRule="exact"/>
        <w:rPr>
          <w:sz w:val="20"/>
          <w:szCs w:val="20"/>
          <w:color w:val="auto"/>
        </w:rPr>
      </w:pPr>
    </w:p>
    <w:p>
      <w:pPr>
        <w:ind w:left="360" w:right="379" w:firstLine="331"/>
        <w:spacing w:after="0" w:line="302" w:lineRule="auto"/>
        <w:rPr>
          <w:sz w:val="20"/>
          <w:szCs w:val="20"/>
          <w:color w:val="auto"/>
        </w:rPr>
      </w:pPr>
      <w:r>
        <w:rPr>
          <w:rFonts w:ascii="Arial" w:cs="Arial" w:eastAsia="Arial" w:hAnsi="Arial"/>
          <w:sz w:val="12"/>
          <w:szCs w:val="12"/>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17" w:lineRule="exact"/>
        <w:rPr>
          <w:sz w:val="20"/>
          <w:szCs w:val="20"/>
          <w:color w:val="auto"/>
        </w:rPr>
      </w:pPr>
    </w:p>
    <w:p>
      <w:pPr>
        <w:ind w:left="360" w:right="559" w:firstLine="331"/>
        <w:spacing w:after="0" w:line="259" w:lineRule="auto"/>
        <w:rPr>
          <w:sz w:val="20"/>
          <w:szCs w:val="20"/>
          <w:color w:val="auto"/>
        </w:rPr>
      </w:pPr>
      <w:r>
        <w:rPr>
          <w:rFonts w:ascii="Arial" w:cs="Arial" w:eastAsia="Arial" w:hAnsi="Arial"/>
          <w:sz w:val="14"/>
          <w:szCs w:val="14"/>
          <w:color w:val="auto"/>
        </w:rPr>
        <w:t>A written proxy may be in the form of an electronic transmission (as defined in Section 232 of the DGCL) which sets forth or is submitted with information from which it can be determined that the electronic transmission was authorized by the stockholder.</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2.13 LIST OF STOCKHOLDERS ENTITLED TO VOTE</w:t>
      </w:r>
    </w:p>
    <w:p>
      <w:pPr>
        <w:spacing w:after="0" w:line="83" w:lineRule="exact"/>
        <w:rPr>
          <w:sz w:val="20"/>
          <w:szCs w:val="20"/>
          <w:color w:val="auto"/>
        </w:rPr>
      </w:pPr>
    </w:p>
    <w:p>
      <w:pPr>
        <w:ind w:left="360" w:right="399" w:firstLine="331"/>
        <w:spacing w:after="0" w:line="287" w:lineRule="auto"/>
        <w:rPr>
          <w:sz w:val="20"/>
          <w:szCs w:val="20"/>
          <w:color w:val="auto"/>
        </w:rPr>
      </w:pPr>
      <w:r>
        <w:rPr>
          <w:rFonts w:ascii="Arial" w:cs="Arial" w:eastAsia="Arial" w:hAnsi="Arial"/>
          <w:sz w:val="12"/>
          <w:szCs w:val="12"/>
          <w:color w:val="auto"/>
        </w:rPr>
        <w:t xml:space="preserve">The Corporation shall prepare, at least 10 days before every meeting of stockholders, a complete list of the stockholders entitled to vote at the meeting;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10 days prior to the meeting: (i) on a reasonably accessible electronic network,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45" w:name="page46"/>
    <w:bookmarkEnd w:id="45"/>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2.14 INSPECTORS OF ELECTION</w:t>
      </w:r>
    </w:p>
    <w:p>
      <w:pPr>
        <w:spacing w:after="0" w:line="83" w:lineRule="exact"/>
        <w:rPr>
          <w:sz w:val="20"/>
          <w:szCs w:val="20"/>
          <w:color w:val="auto"/>
        </w:rPr>
      </w:pPr>
    </w:p>
    <w:p>
      <w:pPr>
        <w:ind w:left="360" w:right="519" w:firstLine="331"/>
        <w:spacing w:after="0" w:line="250" w:lineRule="auto"/>
        <w:rPr>
          <w:sz w:val="20"/>
          <w:szCs w:val="20"/>
          <w:color w:val="auto"/>
        </w:rPr>
      </w:pPr>
      <w:r>
        <w:rPr>
          <w:rFonts w:ascii="Arial" w:cs="Arial" w:eastAsia="Arial" w:hAnsi="Arial"/>
          <w:sz w:val="14"/>
          <w:szCs w:val="14"/>
          <w:color w:val="auto"/>
        </w:rPr>
        <w:t>Before any meeting of stockholders, the Corporation shall appoint an inspector or inspectors of election to act at the meeting or its adjournment. The Corporation may designate one or more persons as alternate inspectors to replace any inspector who fails to act. Such inspectors shall take all actions as contemplated under Section 231 of the DGCL or any successor provision thereto.</w:t>
      </w:r>
    </w:p>
    <w:p>
      <w:pPr>
        <w:spacing w:after="0" w:line="146" w:lineRule="exact"/>
        <w:rPr>
          <w:sz w:val="20"/>
          <w:szCs w:val="20"/>
          <w:color w:val="auto"/>
        </w:rPr>
      </w:pPr>
    </w:p>
    <w:p>
      <w:pPr>
        <w:ind w:left="360" w:right="579" w:firstLine="331"/>
        <w:spacing w:after="0" w:line="312" w:lineRule="auto"/>
        <w:rPr>
          <w:sz w:val="20"/>
          <w:szCs w:val="20"/>
          <w:color w:val="auto"/>
        </w:rPr>
      </w:pPr>
      <w:r>
        <w:rPr>
          <w:rFonts w:ascii="Arial" w:cs="Arial" w:eastAsia="Arial" w:hAnsi="Arial"/>
          <w:sz w:val="12"/>
          <w:szCs w:val="12"/>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2"/>
          <w:szCs w:val="12"/>
          <w:i w:val="1"/>
          <w:iCs w:val="1"/>
          <w:color w:val="auto"/>
        </w:rPr>
        <w:t>prima facie</w:t>
      </w:r>
      <w:r>
        <w:rPr>
          <w:rFonts w:ascii="Arial" w:cs="Arial" w:eastAsia="Arial" w:hAnsi="Arial"/>
          <w:sz w:val="12"/>
          <w:szCs w:val="12"/>
          <w:color w:val="auto"/>
        </w:rPr>
        <w:t xml:space="preserve"> evidence of the facts stated therein.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III—DIRECTORS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 POWERS</w:t>
      </w:r>
    </w:p>
    <w:p>
      <w:pPr>
        <w:spacing w:after="0" w:line="83" w:lineRule="exact"/>
        <w:rPr>
          <w:sz w:val="20"/>
          <w:szCs w:val="20"/>
          <w:color w:val="auto"/>
        </w:rPr>
      </w:pPr>
    </w:p>
    <w:p>
      <w:pPr>
        <w:ind w:left="360" w:right="519" w:firstLine="331"/>
        <w:spacing w:after="0" w:line="259" w:lineRule="auto"/>
        <w:rPr>
          <w:sz w:val="20"/>
          <w:szCs w:val="20"/>
          <w:color w:val="auto"/>
        </w:rPr>
      </w:pPr>
      <w:r>
        <w:rPr>
          <w:rFonts w:ascii="Arial" w:cs="Arial" w:eastAsia="Arial" w:hAnsi="Arial"/>
          <w:sz w:val="14"/>
          <w:szCs w:val="14"/>
          <w:color w:val="auto"/>
        </w:rPr>
        <w:t>The business and affairs of the Corporation shall be managed by or under the direction of the Board, except as may be otherwise provided in the DGCL or the certificate of incorporation.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3.2 NUMBER OF DIRECTORS</w:t>
      </w:r>
    </w:p>
    <w:p>
      <w:pPr>
        <w:spacing w:after="0" w:line="83" w:lineRule="exact"/>
        <w:rPr>
          <w:sz w:val="20"/>
          <w:szCs w:val="20"/>
          <w:color w:val="auto"/>
        </w:rPr>
      </w:pPr>
    </w:p>
    <w:p>
      <w:pPr>
        <w:jc w:val="both"/>
        <w:ind w:left="360" w:right="439" w:firstLine="331"/>
        <w:spacing w:after="0" w:line="312" w:lineRule="auto"/>
        <w:rPr>
          <w:sz w:val="20"/>
          <w:szCs w:val="20"/>
          <w:color w:val="auto"/>
        </w:rPr>
      </w:pPr>
      <w:r>
        <w:rPr>
          <w:rFonts w:ascii="Arial" w:cs="Arial" w:eastAsia="Arial" w:hAnsi="Arial"/>
          <w:sz w:val="12"/>
          <w:szCs w:val="12"/>
          <w:color w:val="auto"/>
        </w:rPr>
        <w:t>The Board shall consist of one or more members, each of whom shall be a natural person. Unless the certificate of incorporation fixes the number of directors, the number of directors shall be determined from time to time by resolution adopted by a majority of the Whole Board. No reduction of the authorized number of directors shall have the effect of removing any director before that director’s term of office expires.</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3.3 ELECTION, QUALIFICATION AND TERM OF OFFICE OF DIRECTORS</w:t>
      </w:r>
    </w:p>
    <w:p>
      <w:pPr>
        <w:spacing w:after="0" w:line="83" w:lineRule="exact"/>
        <w:rPr>
          <w:sz w:val="20"/>
          <w:szCs w:val="20"/>
          <w:color w:val="auto"/>
        </w:rPr>
      </w:pPr>
    </w:p>
    <w:p>
      <w:pPr>
        <w:ind w:left="360" w:right="399" w:firstLine="331"/>
        <w:spacing w:after="0" w:line="247" w:lineRule="auto"/>
        <w:rPr>
          <w:sz w:val="20"/>
          <w:szCs w:val="20"/>
          <w:color w:val="auto"/>
        </w:rPr>
      </w:pPr>
      <w:r>
        <w:rPr>
          <w:rFonts w:ascii="Arial" w:cs="Arial" w:eastAsia="Arial" w:hAnsi="Arial"/>
          <w:sz w:val="14"/>
          <w:szCs w:val="14"/>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3.4 RESIGNATION AND VACANCIES</w:t>
      </w:r>
    </w:p>
    <w:p>
      <w:pPr>
        <w:spacing w:after="0" w:line="83" w:lineRule="exact"/>
        <w:rPr>
          <w:sz w:val="20"/>
          <w:szCs w:val="20"/>
          <w:color w:val="auto"/>
        </w:rPr>
      </w:pPr>
    </w:p>
    <w:p>
      <w:pPr>
        <w:ind w:left="360" w:right="419" w:firstLine="331"/>
        <w:spacing w:after="0" w:line="294" w:lineRule="auto"/>
        <w:rPr>
          <w:sz w:val="20"/>
          <w:szCs w:val="20"/>
          <w:color w:val="auto"/>
        </w:rPr>
      </w:pPr>
      <w:r>
        <w:rPr>
          <w:rFonts w:ascii="Arial" w:cs="Arial" w:eastAsia="Arial" w:hAnsi="Arial"/>
          <w:sz w:val="12"/>
          <w:szCs w:val="12"/>
          <w:color w:val="auto"/>
        </w:rPr>
        <w:t>Any director may resign at any time upon notice given in writing or by electronic transmission to the chair of the Board, chief executive officer or secretary of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2" w:lineRule="exact"/>
        <w:rPr>
          <w:sz w:val="20"/>
          <w:szCs w:val="20"/>
          <w:color w:val="auto"/>
        </w:rPr>
      </w:pPr>
    </w:p>
    <w:p>
      <w:pPr>
        <w:ind w:left="360" w:right="419" w:firstLine="331"/>
        <w:spacing w:after="0" w:line="294" w:lineRule="auto"/>
        <w:rPr>
          <w:sz w:val="20"/>
          <w:szCs w:val="20"/>
          <w:color w:val="auto"/>
        </w:rPr>
      </w:pPr>
      <w:r>
        <w:rPr>
          <w:rFonts w:ascii="Arial" w:cs="Arial" w:eastAsia="Arial" w:hAnsi="Arial"/>
          <w:sz w:val="12"/>
          <w:szCs w:val="12"/>
          <w:color w:val="auto"/>
        </w:rPr>
        <w:t>Unless otherwise provided in the certificate of incorporation or these bylaws or permitted in the specific case by resolution of the Board,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such person’s successor shall have been duly elected and qualified.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46" w:name="page47"/>
    <w:bookmarkEnd w:id="46"/>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3.5 PLACE OF MEETINGS; MEETINGS BY TELEPHONE</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Board may hold meetings, both regular and special, either within or outside the State of Delaware.</w:t>
      </w:r>
    </w:p>
    <w:p>
      <w:pPr>
        <w:spacing w:after="0" w:line="164" w:lineRule="exact"/>
        <w:rPr>
          <w:sz w:val="20"/>
          <w:szCs w:val="20"/>
          <w:color w:val="auto"/>
        </w:rPr>
      </w:pPr>
    </w:p>
    <w:p>
      <w:pPr>
        <w:jc w:val="both"/>
        <w:ind w:left="360" w:right="399" w:firstLine="331"/>
        <w:spacing w:after="0" w:line="312" w:lineRule="auto"/>
        <w:rPr>
          <w:sz w:val="20"/>
          <w:szCs w:val="20"/>
          <w:color w:val="auto"/>
        </w:rPr>
      </w:pPr>
      <w:r>
        <w:rPr>
          <w:rFonts w:ascii="Arial" w:cs="Arial" w:eastAsia="Arial" w:hAnsi="Arial"/>
          <w:sz w:val="12"/>
          <w:szCs w:val="12"/>
          <w:color w:val="auto"/>
        </w:rPr>
        <w:t>Unless otherwise restricted by the certificate of incorporation or these bylaws, members of the Board may participate in a meeting of the Board by means of conference telephone or other communications equipment by means of which all persons participating in the meeting can hear each other, and such participation in a meeting shall constitute presence in person at the meeting.</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3.6 REGULAR MEETINGS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Regular meetings of the Board may be held without notice at such time and at such place as shall from time to time be determined by the Board.</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3.7 SPECIAL MEETINGS; NOTICE</w:t>
      </w:r>
    </w:p>
    <w:p>
      <w:pPr>
        <w:spacing w:after="0" w:line="83" w:lineRule="exact"/>
        <w:rPr>
          <w:sz w:val="20"/>
          <w:szCs w:val="20"/>
          <w:color w:val="auto"/>
        </w:rPr>
      </w:pPr>
    </w:p>
    <w:p>
      <w:pPr>
        <w:ind w:left="360" w:right="379" w:firstLine="331"/>
        <w:spacing w:after="0" w:line="250" w:lineRule="auto"/>
        <w:rPr>
          <w:sz w:val="20"/>
          <w:szCs w:val="20"/>
          <w:color w:val="auto"/>
        </w:rPr>
      </w:pPr>
      <w:r>
        <w:rPr>
          <w:rFonts w:ascii="Arial" w:cs="Arial" w:eastAsia="Arial" w:hAnsi="Arial"/>
          <w:sz w:val="14"/>
          <w:szCs w:val="14"/>
          <w:color w:val="auto"/>
        </w:rPr>
        <w:t>Special meetings of the Board for any purpose or purposes may be called at any time by the chair of the Board, the chief executive officer, the secretary or a majority of the Whole Board, provided, that the person(s) authorized to call special meetings of the Board may authorize another person or persons to send notice of such meeting.</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Notice of the time and place of special meetings shall be:</w:t>
      </w:r>
    </w:p>
    <w:p>
      <w:pPr>
        <w:spacing w:after="0" w:line="93" w:lineRule="exact"/>
        <w:rPr>
          <w:sz w:val="20"/>
          <w:szCs w:val="20"/>
          <w:color w:val="auto"/>
        </w:rPr>
      </w:pPr>
    </w:p>
    <w:p>
      <w:pPr>
        <w:ind w:left="1420" w:hanging="316"/>
        <w:spacing w:after="0"/>
        <w:tabs>
          <w:tab w:leader="none" w:pos="1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delivered personally by hand, by courier or by telephone;</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sent by United States first-class mail, postage prepaid;</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sent by facsimile;</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sent by electronic mail; or</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otherwise given by electronic transmission (as defined in Section 232 of the DGCL),</w:t>
      </w:r>
    </w:p>
    <w:p>
      <w:pPr>
        <w:spacing w:after="0" w:line="164" w:lineRule="exact"/>
        <w:rPr>
          <w:sz w:val="20"/>
          <w:szCs w:val="20"/>
          <w:color w:val="auto"/>
        </w:rPr>
      </w:pPr>
    </w:p>
    <w:p>
      <w:pPr>
        <w:ind w:left="360" w:right="459"/>
        <w:spacing w:after="0" w:line="259" w:lineRule="auto"/>
        <w:rPr>
          <w:sz w:val="20"/>
          <w:szCs w:val="20"/>
          <w:color w:val="auto"/>
        </w:rPr>
      </w:pPr>
      <w:r>
        <w:rPr>
          <w:rFonts w:ascii="Arial" w:cs="Arial" w:eastAsia="Arial" w:hAnsi="Arial"/>
          <w:sz w:val="14"/>
          <w:szCs w:val="14"/>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40" w:lineRule="exact"/>
        <w:rPr>
          <w:sz w:val="20"/>
          <w:szCs w:val="20"/>
          <w:color w:val="auto"/>
        </w:rPr>
      </w:pPr>
    </w:p>
    <w:p>
      <w:pPr>
        <w:ind w:left="360" w:right="459" w:firstLine="331"/>
        <w:spacing w:after="0" w:line="297" w:lineRule="auto"/>
        <w:rPr>
          <w:sz w:val="20"/>
          <w:szCs w:val="20"/>
          <w:color w:val="auto"/>
        </w:rPr>
      </w:pPr>
      <w:r>
        <w:rPr>
          <w:rFonts w:ascii="Arial" w:cs="Arial" w:eastAsia="Arial" w:hAnsi="Arial"/>
          <w:sz w:val="12"/>
          <w:szCs w:val="12"/>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36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 unless required by statute.</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3.8 QUORUM; VOTING</w:t>
      </w:r>
    </w:p>
    <w:p>
      <w:pPr>
        <w:spacing w:after="0" w:line="83" w:lineRule="exact"/>
        <w:rPr>
          <w:sz w:val="20"/>
          <w:szCs w:val="20"/>
          <w:color w:val="auto"/>
        </w:rPr>
      </w:pPr>
    </w:p>
    <w:p>
      <w:pPr>
        <w:ind w:left="360" w:right="419" w:firstLine="331"/>
        <w:spacing w:after="0" w:line="250" w:lineRule="auto"/>
        <w:rPr>
          <w:sz w:val="20"/>
          <w:szCs w:val="20"/>
          <w:color w:val="auto"/>
        </w:rPr>
      </w:pPr>
      <w:r>
        <w:rPr>
          <w:rFonts w:ascii="Arial" w:cs="Arial" w:eastAsia="Arial" w:hAnsi="Arial"/>
          <w:sz w:val="14"/>
          <w:szCs w:val="14"/>
          <w:color w:val="auto"/>
        </w:rPr>
        <w:t>At all meetings of the Board, a majority of the Whole Board shall constitute a quorum for the transaction of business. If a quorum is not present at any meeting of the Board, then the directors present thereat may adjourn the meeting from time to time, without notice other than announcement at the meeting, until a quorum is present.</w:t>
      </w:r>
    </w:p>
    <w:p>
      <w:pPr>
        <w:spacing w:after="0" w:line="146" w:lineRule="exact"/>
        <w:rPr>
          <w:sz w:val="20"/>
          <w:szCs w:val="20"/>
          <w:color w:val="auto"/>
        </w:rPr>
      </w:pPr>
    </w:p>
    <w:p>
      <w:pPr>
        <w:ind w:left="360" w:right="399" w:firstLine="331"/>
        <w:spacing w:after="0" w:line="259" w:lineRule="auto"/>
        <w:rPr>
          <w:sz w:val="20"/>
          <w:szCs w:val="20"/>
          <w:color w:val="auto"/>
        </w:rPr>
      </w:pPr>
      <w:r>
        <w:rPr>
          <w:rFonts w:ascii="Arial" w:cs="Arial" w:eastAsia="Arial" w:hAnsi="Arial"/>
          <w:sz w:val="14"/>
          <w:szCs w:val="14"/>
          <w:color w:val="auto"/>
        </w:rPr>
        <w:t>The affirmative vote of a majority of the directors present at any meeting at which a quorum is present shall be the act of the Board, except as may be otherwise specifically provided by statute, the certificate of incorporation or these bylaws.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3.9 BOARD ACTION BY WRITTEN CONSENT WITHOUT A MEETING</w:t>
      </w:r>
    </w:p>
    <w:p>
      <w:pPr>
        <w:spacing w:after="0" w:line="83" w:lineRule="exact"/>
        <w:rPr>
          <w:sz w:val="20"/>
          <w:szCs w:val="20"/>
          <w:color w:val="auto"/>
        </w:rPr>
      </w:pPr>
    </w:p>
    <w:p>
      <w:pPr>
        <w:jc w:val="both"/>
        <w:ind w:left="360" w:right="519" w:firstLine="331"/>
        <w:spacing w:after="0" w:line="312" w:lineRule="auto"/>
        <w:rPr>
          <w:sz w:val="20"/>
          <w:szCs w:val="20"/>
          <w:color w:val="auto"/>
        </w:rPr>
      </w:pPr>
      <w:r>
        <w:rPr>
          <w:rFonts w:ascii="Arial" w:cs="Arial" w:eastAsia="Arial" w:hAnsi="Arial"/>
          <w:sz w:val="12"/>
          <w:szCs w:val="12"/>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Any person (whether or not then a director) may provide, whether through instruction to an agent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47" w:name="page48"/>
    <w:bookmarkEnd w:id="47"/>
    <w:p>
      <w:pPr>
        <w:ind w:left="360" w:right="419"/>
        <w:spacing w:after="0" w:line="24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 becoming effective. After an action is taken, the consent or consents relating thereto shall be filed with the minutes of proceedings of the Board or committee, as applicable.</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3.10 FEES AND COMPENSATION OF DIRECTORS</w:t>
      </w:r>
    </w:p>
    <w:p>
      <w:pPr>
        <w:spacing w:after="0" w:line="83" w:lineRule="exact"/>
        <w:rPr>
          <w:sz w:val="20"/>
          <w:szCs w:val="20"/>
          <w:color w:val="auto"/>
        </w:rPr>
      </w:pPr>
    </w:p>
    <w:p>
      <w:pPr>
        <w:ind w:left="360" w:right="779" w:firstLine="331"/>
        <w:spacing w:after="0" w:line="259" w:lineRule="auto"/>
        <w:rPr>
          <w:sz w:val="20"/>
          <w:szCs w:val="20"/>
          <w:color w:val="auto"/>
        </w:rPr>
      </w:pPr>
      <w:r>
        <w:rPr>
          <w:rFonts w:ascii="Arial" w:cs="Arial" w:eastAsia="Arial" w:hAnsi="Arial"/>
          <w:sz w:val="14"/>
          <w:szCs w:val="14"/>
          <w:color w:val="auto"/>
        </w:rPr>
        <w:t>Unless otherwise restricted by the certificate of incorporation or these bylaws, the Board shall have the authority to fix the compensation of directors.</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3.11 REMOVAL OF DIRECTORS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Any director may be removed from office by the stockholders of the Corporation as provided in Section 141(k) of the DGCL.</w:t>
      </w:r>
    </w:p>
    <w:p>
      <w:pPr>
        <w:spacing w:after="0" w:line="164" w:lineRule="exact"/>
        <w:rPr>
          <w:sz w:val="20"/>
          <w:szCs w:val="20"/>
          <w:color w:val="auto"/>
        </w:rPr>
      </w:pPr>
    </w:p>
    <w:p>
      <w:pPr>
        <w:ind w:left="360" w:right="439" w:firstLine="331"/>
        <w:spacing w:after="0" w:line="259" w:lineRule="auto"/>
        <w:rPr>
          <w:sz w:val="20"/>
          <w:szCs w:val="20"/>
          <w:color w:val="auto"/>
        </w:rPr>
      </w:pPr>
      <w:r>
        <w:rPr>
          <w:rFonts w:ascii="Arial" w:cs="Arial" w:eastAsia="Arial" w:hAnsi="Arial"/>
          <w:sz w:val="14"/>
          <w:szCs w:val="14"/>
          <w:color w:val="auto"/>
        </w:rPr>
        <w:t>No reduction of the authorized number of directors shall have the effect of removing any director prior to the expiration of such director’s term of office.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IV—COMMITTEES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4.1 COMMITTEES OF DIRECTORS</w:t>
      </w:r>
    </w:p>
    <w:p>
      <w:pPr>
        <w:spacing w:after="0" w:line="83" w:lineRule="exact"/>
        <w:rPr>
          <w:sz w:val="20"/>
          <w:szCs w:val="20"/>
          <w:color w:val="auto"/>
        </w:rPr>
      </w:pPr>
    </w:p>
    <w:p>
      <w:pPr>
        <w:ind w:left="360" w:right="419" w:firstLine="331"/>
        <w:spacing w:after="0" w:line="289" w:lineRule="auto"/>
        <w:rPr>
          <w:sz w:val="20"/>
          <w:szCs w:val="20"/>
          <w:color w:val="auto"/>
        </w:rPr>
      </w:pPr>
      <w:r>
        <w:rPr>
          <w:rFonts w:ascii="Arial" w:cs="Arial" w:eastAsia="Arial" w:hAnsi="Arial"/>
          <w:sz w:val="12"/>
          <w:szCs w:val="12"/>
          <w:color w:val="auto"/>
        </w:rPr>
        <w:t>The Board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4.2 COMMITTEE MINUTES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Each committee and subcommittee shall keep regular minutes of its meetings.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4.3 MEETINGS AND ACTION OF COMMITTEES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Meetings and actions of committees and subcommittees shall be governed by, and held and taken in accordance with, the provisions of:</w:t>
      </w:r>
    </w:p>
    <w:p>
      <w:pPr>
        <w:spacing w:after="0" w:line="116" w:lineRule="exact"/>
        <w:rPr>
          <w:sz w:val="20"/>
          <w:szCs w:val="20"/>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3.5 (place of meetings and meetings by telephone);</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3.6 (regular meetings);</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3.7 (special meetings and notice);</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3.8 (quorum; voting);</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3.9 (action without a meeting); and</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Section 7.4 (waiver of notice)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48" w:name="page49"/>
    <w:bookmarkEnd w:id="48"/>
    <w:p>
      <w:pPr>
        <w:ind w:left="360" w:right="379"/>
        <w:spacing w:after="0" w:line="29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with such changes in the context of those bylaws as are necessary to substitute the committee or subcommittees and its members for the Board and its members. </w:t>
      </w:r>
      <w:r>
        <w:rPr>
          <w:rFonts w:ascii="Arial" w:cs="Arial" w:eastAsia="Arial" w:hAnsi="Arial"/>
          <w:sz w:val="12"/>
          <w:szCs w:val="12"/>
          <w:i w:val="1"/>
          <w:iCs w:val="1"/>
          <w:color w:val="auto"/>
        </w:rPr>
        <w:t>However</w:t>
      </w:r>
      <w:r>
        <w:rPr>
          <w:rFonts w:ascii="Arial" w:cs="Arial" w:eastAsia="Arial" w:hAnsi="Arial"/>
          <w:sz w:val="12"/>
          <w:szCs w:val="12"/>
          <w:color w:val="auto"/>
        </w:rPr>
        <w:t>: (i) the time and place of regular meetings of committees or subcommittees or subcommittees may be determined either by the Board or by the committee; (ii) special meetings of committees or subcommittees may also be called by the Board; and (iii) notice of special meetings of committees or subcommittees shall also be given to all alternate members, as applicable, who shall have the right to attend all meetings of the committee or subcommittee. The Board may adopt rules for the government of any committee not inconsistent with the provisions of these bylaws.</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4.4 SUBCOMMITTEES</w:t>
      </w:r>
    </w:p>
    <w:p>
      <w:pPr>
        <w:spacing w:after="0" w:line="83" w:lineRule="exact"/>
        <w:rPr>
          <w:sz w:val="20"/>
          <w:szCs w:val="20"/>
          <w:color w:val="auto"/>
        </w:rPr>
      </w:pPr>
    </w:p>
    <w:p>
      <w:pPr>
        <w:jc w:val="both"/>
        <w:ind w:left="360" w:right="419" w:firstLine="331"/>
        <w:spacing w:after="0" w:line="250" w:lineRule="auto"/>
        <w:rPr>
          <w:sz w:val="20"/>
          <w:szCs w:val="20"/>
          <w:color w:val="auto"/>
        </w:rPr>
      </w:pPr>
      <w:r>
        <w:rPr>
          <w:rFonts w:ascii="Arial" w:cs="Arial" w:eastAsia="Arial" w:hAnsi="Arial"/>
          <w:sz w:val="14"/>
          <w:szCs w:val="14"/>
          <w:color w:val="auto"/>
        </w:rPr>
        <w:t>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V—OFFICERS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5.1 OFFICERS</w:t>
      </w:r>
    </w:p>
    <w:p>
      <w:pPr>
        <w:spacing w:after="0" w:line="83" w:lineRule="exact"/>
        <w:rPr>
          <w:sz w:val="20"/>
          <w:szCs w:val="20"/>
          <w:color w:val="auto"/>
        </w:rPr>
      </w:pPr>
    </w:p>
    <w:p>
      <w:pPr>
        <w:jc w:val="both"/>
        <w:ind w:left="360" w:right="379" w:firstLine="331"/>
        <w:spacing w:after="0" w:line="302" w:lineRule="auto"/>
        <w:rPr>
          <w:sz w:val="20"/>
          <w:szCs w:val="20"/>
          <w:color w:val="auto"/>
        </w:rPr>
      </w:pPr>
      <w:r>
        <w:rPr>
          <w:rFonts w:ascii="Arial" w:cs="Arial" w:eastAsia="Arial" w:hAnsi="Arial"/>
          <w:sz w:val="12"/>
          <w:szCs w:val="12"/>
          <w:color w:val="auto"/>
        </w:rPr>
        <w:t>The officers of the Corporation shall be a chief executive officer and a secretary. The Corporation may also have, at the discretion of the Board, a chair of the Board, a vice chair of the Board,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5.2 APPOINTMENT OF OFFICERS</w:t>
      </w:r>
    </w:p>
    <w:p>
      <w:pPr>
        <w:spacing w:after="0" w:line="83" w:lineRule="exact"/>
        <w:rPr>
          <w:sz w:val="20"/>
          <w:szCs w:val="20"/>
          <w:color w:val="auto"/>
        </w:rPr>
      </w:pPr>
    </w:p>
    <w:p>
      <w:pPr>
        <w:ind w:left="360" w:right="419" w:firstLine="331"/>
        <w:spacing w:after="0" w:line="259" w:lineRule="auto"/>
        <w:rPr>
          <w:sz w:val="20"/>
          <w:szCs w:val="20"/>
          <w:color w:val="auto"/>
        </w:rPr>
      </w:pPr>
      <w:r>
        <w:rPr>
          <w:rFonts w:ascii="Arial" w:cs="Arial" w:eastAsia="Arial" w:hAnsi="Arial"/>
          <w:sz w:val="14"/>
          <w:szCs w:val="14"/>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5.3 SUBORDINATE OFFICERS</w:t>
      </w:r>
    </w:p>
    <w:p>
      <w:pPr>
        <w:spacing w:after="0" w:line="83" w:lineRule="exact"/>
        <w:rPr>
          <w:sz w:val="20"/>
          <w:szCs w:val="20"/>
          <w:color w:val="auto"/>
        </w:rPr>
      </w:pPr>
    </w:p>
    <w:p>
      <w:pPr>
        <w:ind w:left="360" w:right="419" w:firstLine="331"/>
        <w:spacing w:after="0" w:line="250" w:lineRule="auto"/>
        <w:rPr>
          <w:sz w:val="20"/>
          <w:szCs w:val="20"/>
          <w:color w:val="auto"/>
        </w:rPr>
      </w:pPr>
      <w:r>
        <w:rPr>
          <w:rFonts w:ascii="Arial" w:cs="Arial" w:eastAsia="Arial" w:hAnsi="Arial"/>
          <w:sz w:val="14"/>
          <w:szCs w:val="14"/>
          <w:color w:val="auto"/>
        </w:rPr>
        <w:t>The Board may appoint, or empower the chief executive officer, to appoint, such other officers as the business of the Corporation may require. Each of such officers shall hold office for such period, have such authority, and perform such duties as are provided in these bylaws or as the Board may from time to time determine.</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5.4 REMOVAL AND RESIGNATION OF OFFICERS</w:t>
      </w:r>
    </w:p>
    <w:p>
      <w:pPr>
        <w:spacing w:after="0" w:line="83" w:lineRule="exact"/>
        <w:rPr>
          <w:sz w:val="20"/>
          <w:szCs w:val="20"/>
          <w:color w:val="auto"/>
        </w:rPr>
      </w:pPr>
    </w:p>
    <w:p>
      <w:pPr>
        <w:ind w:left="360" w:right="519" w:firstLine="331"/>
        <w:spacing w:after="0" w:line="250" w:lineRule="auto"/>
        <w:rPr>
          <w:sz w:val="20"/>
          <w:szCs w:val="20"/>
          <w:color w:val="auto"/>
        </w:rPr>
      </w:pPr>
      <w:r>
        <w:rPr>
          <w:rFonts w:ascii="Arial" w:cs="Arial" w:eastAsia="Arial" w:hAnsi="Arial"/>
          <w:sz w:val="14"/>
          <w:szCs w:val="14"/>
          <w:color w:val="auto"/>
        </w:rPr>
        <w:t>Subject to the rights, if any, of an officer under any contract of employment, any officer may be removed, either with or without cause, by the Board or, for the avoidance of doubt, any duly authorized committee or subcommittee thereof or by any officer who has been conferred such power of removal.</w:t>
      </w:r>
    </w:p>
    <w:p>
      <w:pPr>
        <w:spacing w:after="0" w:line="146" w:lineRule="exact"/>
        <w:rPr>
          <w:sz w:val="20"/>
          <w:szCs w:val="20"/>
          <w:color w:val="auto"/>
        </w:rPr>
      </w:pPr>
    </w:p>
    <w:p>
      <w:pPr>
        <w:ind w:left="360" w:right="419" w:firstLine="331"/>
        <w:spacing w:after="0" w:line="247" w:lineRule="auto"/>
        <w:rPr>
          <w:sz w:val="20"/>
          <w:szCs w:val="20"/>
          <w:color w:val="auto"/>
        </w:rPr>
      </w:pPr>
      <w:r>
        <w:rPr>
          <w:rFonts w:ascii="Arial" w:cs="Arial" w:eastAsia="Arial" w:hAnsi="Arial"/>
          <w:sz w:val="14"/>
          <w:szCs w:val="14"/>
          <w:color w:val="auto"/>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5.5 VACANCIES IN OFFICES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Any vacancy occurring in any office of the Corporation shall be filled by the Board or as provided in Section 5.3.</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49" w:name="page50"/>
    <w:bookmarkEnd w:id="49"/>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5.6 REPRESENTATION OF SECURITIES OF OTHER ENTITIES</w:t>
      </w:r>
    </w:p>
    <w:p>
      <w:pPr>
        <w:spacing w:after="0" w:line="83" w:lineRule="exact"/>
        <w:rPr>
          <w:sz w:val="20"/>
          <w:szCs w:val="20"/>
          <w:color w:val="auto"/>
        </w:rPr>
      </w:pPr>
    </w:p>
    <w:p>
      <w:pPr>
        <w:ind w:left="360" w:right="419" w:firstLine="331"/>
        <w:spacing w:after="0" w:line="294" w:lineRule="auto"/>
        <w:rPr>
          <w:sz w:val="20"/>
          <w:szCs w:val="20"/>
          <w:color w:val="auto"/>
        </w:rPr>
      </w:pPr>
      <w:r>
        <w:rPr>
          <w:rFonts w:ascii="Arial" w:cs="Arial" w:eastAsia="Arial" w:hAnsi="Arial"/>
          <w:sz w:val="12"/>
          <w:szCs w:val="12"/>
          <w:color w:val="auto"/>
        </w:rPr>
        <w:t>The chair of the Board, the chief executive officer, any vice president, the treasurer, the secretary or assistant secretary of this Corporation, or any other person authorized by the Board or the chief executive officer or a vice president, is authorized to vote, represent, and exercise on behalf of this Corporation all rights incident to any and all shares or other securities of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5.7 AUTHORITY AND DUTIES OF OFFICERS</w:t>
      </w:r>
    </w:p>
    <w:p>
      <w:pPr>
        <w:spacing w:after="0" w:line="83" w:lineRule="exact"/>
        <w:rPr>
          <w:sz w:val="20"/>
          <w:szCs w:val="20"/>
          <w:color w:val="auto"/>
        </w:rPr>
      </w:pPr>
    </w:p>
    <w:p>
      <w:pPr>
        <w:ind w:left="360" w:right="699" w:firstLine="331"/>
        <w:spacing w:after="0" w:line="250" w:lineRule="auto"/>
        <w:rPr>
          <w:sz w:val="20"/>
          <w:szCs w:val="20"/>
          <w:color w:val="auto"/>
        </w:rPr>
      </w:pPr>
      <w:r>
        <w:rPr>
          <w:rFonts w:ascii="Arial" w:cs="Arial" w:eastAsia="Arial" w:hAnsi="Arial"/>
          <w:sz w:val="14"/>
          <w:szCs w:val="14"/>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VI—STOCK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6.1 SHARES OF STOCK</w:t>
      </w:r>
    </w:p>
    <w:p>
      <w:pPr>
        <w:spacing w:after="0" w:line="83" w:lineRule="exact"/>
        <w:rPr>
          <w:sz w:val="20"/>
          <w:szCs w:val="20"/>
          <w:color w:val="auto"/>
        </w:rPr>
      </w:pPr>
    </w:p>
    <w:p>
      <w:pPr>
        <w:ind w:left="360" w:right="539" w:firstLine="331"/>
        <w:spacing w:after="0" w:line="312" w:lineRule="auto"/>
        <w:rPr>
          <w:sz w:val="20"/>
          <w:szCs w:val="20"/>
          <w:color w:val="auto"/>
        </w:rPr>
      </w:pPr>
      <w:r>
        <w:rPr>
          <w:rFonts w:ascii="Arial" w:cs="Arial" w:eastAsia="Arial" w:hAnsi="Arial"/>
          <w:sz w:val="12"/>
          <w:szCs w:val="12"/>
          <w:color w:val="auto"/>
        </w:rPr>
        <w:t>Except as otherwise provided in a resolution approved by the Board of Directors, all shares of capital stock of the Corporation shall be uncertificated shares.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6.2 DIVIDENDS</w:t>
      </w:r>
    </w:p>
    <w:p>
      <w:pPr>
        <w:spacing w:after="0" w:line="83" w:lineRule="exact"/>
        <w:rPr>
          <w:sz w:val="20"/>
          <w:szCs w:val="20"/>
          <w:color w:val="auto"/>
        </w:rPr>
      </w:pPr>
    </w:p>
    <w:p>
      <w:pPr>
        <w:ind w:left="360" w:right="639" w:firstLine="331"/>
        <w:spacing w:after="0" w:line="247" w:lineRule="auto"/>
        <w:rPr>
          <w:sz w:val="20"/>
          <w:szCs w:val="20"/>
          <w:color w:val="auto"/>
        </w:rPr>
      </w:pPr>
      <w:r>
        <w:rPr>
          <w:rFonts w:ascii="Arial" w:cs="Arial" w:eastAsia="Arial" w:hAnsi="Arial"/>
          <w:sz w:val="14"/>
          <w:szCs w:val="14"/>
          <w:color w:val="auto"/>
        </w:rPr>
        <w:t>The Board,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 The Board may set apart out of any of the funds of the Corporation available for dividends a reserve or reserves for any proper purpose and may abolish any such reserve.</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6.3 STOCK TRANSFER AGREEMENTS</w:t>
      </w:r>
    </w:p>
    <w:p>
      <w:pPr>
        <w:spacing w:after="0" w:line="83" w:lineRule="exact"/>
        <w:rPr>
          <w:sz w:val="20"/>
          <w:szCs w:val="20"/>
          <w:color w:val="auto"/>
        </w:rPr>
      </w:pPr>
    </w:p>
    <w:p>
      <w:pPr>
        <w:ind w:left="360" w:right="399" w:firstLine="331"/>
        <w:spacing w:after="0" w:line="250" w:lineRule="auto"/>
        <w:rPr>
          <w:sz w:val="20"/>
          <w:szCs w:val="20"/>
          <w:color w:val="auto"/>
        </w:rPr>
      </w:pPr>
      <w:r>
        <w:rPr>
          <w:rFonts w:ascii="Arial" w:cs="Arial" w:eastAsia="Arial" w:hAnsi="Arial"/>
          <w:sz w:val="14"/>
          <w:szCs w:val="14"/>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6.4 REGISTERED STOCKHOLDERS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Corporation:</w:t>
      </w:r>
    </w:p>
    <w:p>
      <w:pPr>
        <w:spacing w:after="0" w:line="83" w:lineRule="exact"/>
        <w:rPr>
          <w:sz w:val="20"/>
          <w:szCs w:val="20"/>
          <w:color w:val="auto"/>
        </w:rPr>
      </w:pPr>
    </w:p>
    <w:p>
      <w:pPr>
        <w:ind w:left="360" w:right="699" w:firstLine="334"/>
        <w:spacing w:after="0" w:line="342" w:lineRule="auto"/>
        <w:tabs>
          <w:tab w:leader="none" w:pos="875" w:val="left"/>
        </w:tabs>
        <w:numPr>
          <w:ilvl w:val="0"/>
          <w:numId w:val="51"/>
        </w:numPr>
        <w:rPr>
          <w:rFonts w:ascii="Arial" w:cs="Arial" w:eastAsia="Arial" w:hAnsi="Arial"/>
          <w:sz w:val="12"/>
          <w:szCs w:val="12"/>
          <w:color w:val="auto"/>
        </w:rPr>
      </w:pPr>
      <w:r>
        <w:rPr>
          <w:rFonts w:ascii="Arial" w:cs="Arial" w:eastAsia="Arial" w:hAnsi="Arial"/>
          <w:sz w:val="12"/>
          <w:szCs w:val="12"/>
          <w:color w:val="auto"/>
        </w:rPr>
        <w:t>shall be entitled to recognize the exclusive right of a person registered on its books as the owner of shares to receive dividends, to receive notifications and otherwise exercise rights and powers of an owner of such shares and to vote as such owner; and</w:t>
      </w:r>
    </w:p>
    <w:p>
      <w:pPr>
        <w:spacing w:after="0" w:line="12" w:lineRule="exact"/>
        <w:rPr>
          <w:rFonts w:ascii="Arial" w:cs="Arial" w:eastAsia="Arial" w:hAnsi="Arial"/>
          <w:sz w:val="12"/>
          <w:szCs w:val="12"/>
          <w:color w:val="auto"/>
        </w:rPr>
      </w:pPr>
    </w:p>
    <w:p>
      <w:pPr>
        <w:ind w:left="360" w:right="459" w:firstLine="334"/>
        <w:spacing w:after="0" w:line="259" w:lineRule="auto"/>
        <w:tabs>
          <w:tab w:leader="none" w:pos="883" w:val="left"/>
        </w:tabs>
        <w:numPr>
          <w:ilvl w:val="0"/>
          <w:numId w:val="51"/>
        </w:numPr>
        <w:rPr>
          <w:rFonts w:ascii="Arial" w:cs="Arial" w:eastAsia="Arial" w:hAnsi="Arial"/>
          <w:sz w:val="14"/>
          <w:szCs w:val="14"/>
          <w:color w:val="auto"/>
        </w:rPr>
      </w:pPr>
      <w:r>
        <w:rPr>
          <w:rFonts w:ascii="Arial" w:cs="Arial" w:eastAsia="Arial" w:hAnsi="Arial"/>
          <w:sz w:val="14"/>
          <w:szCs w:val="14"/>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00"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ARTICLE VII—MANNER OF GIVING NOTICE AND WAIVER</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7.1 NOTICE OF STOCKHOLDERS’ MEETINGS</w:t>
      </w:r>
    </w:p>
    <w:p>
      <w:pPr>
        <w:spacing w:after="0" w:line="83" w:lineRule="exact"/>
        <w:rPr>
          <w:sz w:val="20"/>
          <w:szCs w:val="20"/>
          <w:color w:val="auto"/>
        </w:rPr>
      </w:pPr>
    </w:p>
    <w:p>
      <w:pPr>
        <w:ind w:left="360" w:right="419" w:firstLine="331"/>
        <w:spacing w:after="0" w:line="250" w:lineRule="auto"/>
        <w:rPr>
          <w:sz w:val="20"/>
          <w:szCs w:val="20"/>
          <w:color w:val="auto"/>
        </w:rPr>
      </w:pPr>
      <w:r>
        <w:rPr>
          <w:rFonts w:ascii="Arial" w:cs="Arial" w:eastAsia="Arial" w:hAnsi="Arial"/>
          <w:sz w:val="14"/>
          <w:szCs w:val="14"/>
          <w:color w:val="auto"/>
        </w:rPr>
        <w:t xml:space="preserve">Notice of any meeting of stockholders shall be given in the manner set forth in the DGCL. An affidavit of the secretary or an assistant secretary of the Corporation or of the transfer agent or other agent of the Corporation that the notice has been given shall, in the absence of fraud, be </w:t>
      </w:r>
      <w:r>
        <w:rPr>
          <w:rFonts w:ascii="Arial" w:cs="Arial" w:eastAsia="Arial" w:hAnsi="Arial"/>
          <w:sz w:val="14"/>
          <w:szCs w:val="14"/>
          <w:i w:val="1"/>
          <w:iCs w:val="1"/>
          <w:color w:val="auto"/>
        </w:rPr>
        <w:t>prima facie</w:t>
      </w:r>
      <w:r>
        <w:rPr>
          <w:rFonts w:ascii="Arial" w:cs="Arial" w:eastAsia="Arial" w:hAnsi="Arial"/>
          <w:sz w:val="14"/>
          <w:szCs w:val="14"/>
          <w:color w:val="auto"/>
        </w:rPr>
        <w:t xml:space="preserve"> evidence of the facts stated therein.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40" w:right="1440" w:bottom="1440" w:gutter="0" w:footer="0" w:header="0"/>
        </w:sectPr>
      </w:pPr>
    </w:p>
    <w:bookmarkStart w:id="50" w:name="page51"/>
    <w:bookmarkEnd w:id="50"/>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7.2 NOTICE TO STOCKHOLDERS SHARING AN ADDRESS</w:t>
      </w:r>
    </w:p>
    <w:p>
      <w:pPr>
        <w:spacing w:after="0" w:line="83" w:lineRule="exact"/>
        <w:rPr>
          <w:sz w:val="20"/>
          <w:szCs w:val="20"/>
          <w:color w:val="auto"/>
        </w:rPr>
      </w:pPr>
    </w:p>
    <w:p>
      <w:pPr>
        <w:ind w:left="360" w:right="399" w:firstLine="331"/>
        <w:spacing w:after="0" w:line="294" w:lineRule="auto"/>
        <w:rPr>
          <w:sz w:val="20"/>
          <w:szCs w:val="20"/>
          <w:color w:val="auto"/>
        </w:rPr>
      </w:pPr>
      <w:r>
        <w:rPr>
          <w:rFonts w:ascii="Arial" w:cs="Arial" w:eastAsia="Arial" w:hAnsi="Arial"/>
          <w:sz w:val="12"/>
          <w:szCs w:val="12"/>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7.3 NOTICE TO PERSON WITH WHOM COMMUNICATION IS UNLAWFUL</w:t>
      </w:r>
    </w:p>
    <w:p>
      <w:pPr>
        <w:spacing w:after="0" w:line="83" w:lineRule="exact"/>
        <w:rPr>
          <w:sz w:val="20"/>
          <w:szCs w:val="20"/>
          <w:color w:val="auto"/>
        </w:rPr>
      </w:pPr>
    </w:p>
    <w:p>
      <w:pPr>
        <w:ind w:left="360" w:right="479" w:firstLine="331"/>
        <w:spacing w:after="0" w:line="294" w:lineRule="auto"/>
        <w:rPr>
          <w:sz w:val="20"/>
          <w:szCs w:val="20"/>
          <w:color w:val="auto"/>
        </w:rPr>
      </w:pPr>
      <w:r>
        <w:rPr>
          <w:rFonts w:ascii="Arial" w:cs="Arial" w:eastAsia="Arial" w:hAnsi="Arial"/>
          <w:sz w:val="12"/>
          <w:szCs w:val="12"/>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41" w:lineRule="exact"/>
        <w:rPr>
          <w:sz w:val="20"/>
          <w:szCs w:val="20"/>
          <w:color w:val="auto"/>
        </w:rPr>
      </w:pPr>
    </w:p>
    <w:p>
      <w:pPr>
        <w:ind w:left="700"/>
        <w:spacing w:after="0"/>
        <w:rPr>
          <w:sz w:val="20"/>
          <w:szCs w:val="20"/>
          <w:color w:val="auto"/>
        </w:rPr>
      </w:pPr>
      <w:r>
        <w:rPr>
          <w:rFonts w:ascii="Arial" w:cs="Arial" w:eastAsia="Arial" w:hAnsi="Arial"/>
          <w:sz w:val="14"/>
          <w:szCs w:val="14"/>
          <w:color w:val="auto"/>
        </w:rPr>
        <w:t>7.4 WAIVER OF NOTICE</w:t>
      </w:r>
    </w:p>
    <w:p>
      <w:pPr>
        <w:spacing w:after="0" w:line="83" w:lineRule="exact"/>
        <w:rPr>
          <w:sz w:val="20"/>
          <w:szCs w:val="20"/>
          <w:color w:val="auto"/>
        </w:rPr>
      </w:pPr>
    </w:p>
    <w:p>
      <w:pPr>
        <w:ind w:left="360" w:right="459" w:firstLine="331"/>
        <w:spacing w:after="0" w:line="292" w:lineRule="auto"/>
        <w:rPr>
          <w:sz w:val="20"/>
          <w:szCs w:val="20"/>
          <w:color w:val="auto"/>
        </w:rPr>
      </w:pPr>
      <w:r>
        <w:rPr>
          <w:rFonts w:ascii="Arial" w:cs="Arial" w:eastAsia="Arial" w:hAnsi="Arial"/>
          <w:sz w:val="12"/>
          <w:szCs w:val="12"/>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if (and to the extent only)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VIII—INDEMNIFICATION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8.1 INDEMNIFICATION OF DIRECTORS AND OFFICERS IN THIRD PARTY PROCEEDINGS</w:t>
      </w:r>
    </w:p>
    <w:p>
      <w:pPr>
        <w:spacing w:after="0" w:line="83" w:lineRule="exact"/>
        <w:rPr>
          <w:sz w:val="20"/>
          <w:szCs w:val="20"/>
          <w:color w:val="auto"/>
        </w:rPr>
      </w:pPr>
    </w:p>
    <w:p>
      <w:pPr>
        <w:ind w:left="360" w:right="399" w:firstLine="331"/>
        <w:spacing w:after="0" w:line="288" w:lineRule="auto"/>
        <w:rPr>
          <w:sz w:val="20"/>
          <w:szCs w:val="20"/>
          <w:color w:val="auto"/>
        </w:rPr>
      </w:pPr>
      <w:r>
        <w:rPr>
          <w:rFonts w:ascii="Arial" w:cs="Arial" w:eastAsia="Arial" w:hAnsi="Arial"/>
          <w:sz w:val="12"/>
          <w:szCs w:val="12"/>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2"/>
          <w:szCs w:val="12"/>
          <w:b w:val="1"/>
          <w:bCs w:val="1"/>
          <w:color w:val="auto"/>
        </w:rPr>
        <w:t>Proceeding</w:t>
      </w:r>
      <w:r>
        <w:rPr>
          <w:rFonts w:ascii="Arial" w:cs="Arial" w:eastAsia="Arial" w:hAnsi="Arial"/>
          <w:sz w:val="12"/>
          <w:szCs w:val="12"/>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0" w:right="1440" w:bottom="1440" w:gutter="0" w:footer="0" w:header="0"/>
        </w:sectPr>
      </w:pPr>
    </w:p>
    <w:bookmarkStart w:id="51" w:name="page52"/>
    <w:bookmarkEnd w:id="51"/>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8.2 INDEMNIFICATION OF DIRECTORS AND OFFICERS IN ACTIONS BY OR IN THE RIGHT OF THE CORPORATION</w:t>
      </w:r>
    </w:p>
    <w:p>
      <w:pPr>
        <w:spacing w:after="0" w:line="83" w:lineRule="exact"/>
        <w:rPr>
          <w:sz w:val="20"/>
          <w:szCs w:val="20"/>
          <w:color w:val="auto"/>
        </w:rPr>
      </w:pPr>
    </w:p>
    <w:p>
      <w:pPr>
        <w:ind w:left="360" w:right="379" w:firstLine="331"/>
        <w:spacing w:after="0" w:line="289" w:lineRule="auto"/>
        <w:rPr>
          <w:sz w:val="20"/>
          <w:szCs w:val="20"/>
          <w:color w:val="auto"/>
        </w:rPr>
      </w:pPr>
      <w:r>
        <w:rPr>
          <w:rFonts w:ascii="Arial" w:cs="Arial" w:eastAsia="Arial" w:hAnsi="Arial"/>
          <w:sz w:val="12"/>
          <w:szCs w:val="12"/>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8.3 SUCCESSFUL DEFENSE</w:t>
      </w:r>
    </w:p>
    <w:p>
      <w:pPr>
        <w:spacing w:after="0" w:line="83" w:lineRule="exact"/>
        <w:rPr>
          <w:sz w:val="20"/>
          <w:szCs w:val="20"/>
          <w:color w:val="auto"/>
        </w:rPr>
      </w:pPr>
    </w:p>
    <w:p>
      <w:pPr>
        <w:ind w:left="360" w:right="379" w:firstLine="331"/>
        <w:spacing w:after="0" w:line="244" w:lineRule="auto"/>
        <w:rPr>
          <w:sz w:val="20"/>
          <w:szCs w:val="20"/>
          <w:color w:val="auto"/>
        </w:rPr>
      </w:pPr>
      <w:r>
        <w:rPr>
          <w:rFonts w:ascii="Arial" w:cs="Arial" w:eastAsia="Arial" w:hAnsi="Arial"/>
          <w:sz w:val="14"/>
          <w:szCs w:val="14"/>
          <w:color w:val="auto"/>
        </w:rPr>
        <w:t>To the extent that a present or former director or officer (for purposes of this Section 8.3 only, as such term is defined in Section 145(c)(1) of the DGCL)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officer of the Corporation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8.4 INDEMNIFICATION OF OTHERS</w:t>
      </w:r>
    </w:p>
    <w:p>
      <w:pPr>
        <w:spacing w:after="0" w:line="83" w:lineRule="exact"/>
        <w:rPr>
          <w:sz w:val="20"/>
          <w:szCs w:val="20"/>
          <w:color w:val="auto"/>
        </w:rPr>
      </w:pPr>
    </w:p>
    <w:p>
      <w:pPr>
        <w:ind w:left="360" w:right="439" w:firstLine="331"/>
        <w:spacing w:after="0" w:line="312" w:lineRule="auto"/>
        <w:rPr>
          <w:sz w:val="20"/>
          <w:szCs w:val="20"/>
          <w:color w:val="auto"/>
        </w:rPr>
      </w:pPr>
      <w:r>
        <w:rPr>
          <w:rFonts w:ascii="Arial" w:cs="Arial" w:eastAsia="Arial" w:hAnsi="Arial"/>
          <w:sz w:val="12"/>
          <w:szCs w:val="12"/>
          <w:color w:val="auto"/>
        </w:rPr>
        <w:t>Subject to the other provisions of this Article VIII, the Corporation shall have power to indemnify its employees and agents, or any other persons, to the extent not prohibited by the DGCL or other applicable law. The Board shall have the power to delegate to any person or persons identified in subsections (1) through (4) of Section 145(d) of the DGCL the determination of whether employees or agents shall be indemnified.</w:t>
      </w:r>
    </w:p>
    <w:p>
      <w:pPr>
        <w:spacing w:after="0" w:line="3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8.5 ADVANCE PAYMENT OF EXPENSES</w:t>
      </w:r>
    </w:p>
    <w:p>
      <w:pPr>
        <w:spacing w:after="0" w:line="83" w:lineRule="exact"/>
        <w:rPr>
          <w:sz w:val="20"/>
          <w:szCs w:val="20"/>
          <w:color w:val="auto"/>
        </w:rPr>
      </w:pPr>
    </w:p>
    <w:p>
      <w:pPr>
        <w:ind w:left="360" w:right="459" w:firstLine="331"/>
        <w:spacing w:after="0" w:line="289" w:lineRule="auto"/>
        <w:rPr>
          <w:sz w:val="20"/>
          <w:szCs w:val="20"/>
          <w:color w:val="auto"/>
        </w:rPr>
      </w:pPr>
      <w:r>
        <w:rPr>
          <w:rFonts w:ascii="Arial" w:cs="Arial" w:eastAsia="Arial" w:hAnsi="Arial"/>
          <w:sz w:val="12"/>
          <w:szCs w:val="12"/>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current or former employees and agents of the Corporation or by persons currently or formerly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Corporation.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240" w:right="1440" w:bottom="1440" w:gutter="0" w:footer="0" w:header="0"/>
        </w:sectPr>
      </w:pPr>
    </w:p>
    <w:bookmarkStart w:id="52" w:name="page53"/>
    <w:bookmarkEnd w:id="52"/>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8.6 LIMITATION ON INDEMNIFICATION</w:t>
      </w:r>
    </w:p>
    <w:p>
      <w:pPr>
        <w:spacing w:after="0" w:line="83" w:lineRule="exact"/>
        <w:rPr>
          <w:sz w:val="20"/>
          <w:szCs w:val="20"/>
          <w:color w:val="auto"/>
        </w:rPr>
      </w:pPr>
    </w:p>
    <w:p>
      <w:pPr>
        <w:ind w:left="360" w:right="499" w:firstLine="331"/>
        <w:spacing w:after="0" w:line="259" w:lineRule="auto"/>
        <w:rPr>
          <w:sz w:val="20"/>
          <w:szCs w:val="20"/>
          <w:color w:val="auto"/>
        </w:rPr>
      </w:pPr>
      <w:r>
        <w:rPr>
          <w:rFonts w:ascii="Arial" w:cs="Arial" w:eastAsia="Arial" w:hAnsi="Arial"/>
          <w:sz w:val="14"/>
          <w:szCs w:val="14"/>
          <w:color w:val="auto"/>
        </w:rPr>
        <w:t>Subject to the requirements in Section 8.3 and the DGCL, the Corporation shall not be obligated to indemnify any person pursuant to this Article VIII in connection with any Proceeding (or any part of any Proceeding):</w:t>
      </w:r>
    </w:p>
    <w:p>
      <w:pPr>
        <w:spacing w:after="0" w:line="58" w:lineRule="exact"/>
        <w:rPr>
          <w:sz w:val="20"/>
          <w:szCs w:val="20"/>
          <w:color w:val="auto"/>
        </w:rPr>
      </w:pPr>
    </w:p>
    <w:p>
      <w:pPr>
        <w:ind w:left="360" w:right="399" w:firstLine="749"/>
        <w:spacing w:after="0" w:line="259" w:lineRule="auto"/>
        <w:tabs>
          <w:tab w:leader="none" w:pos="1289"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which payment has actually been made to or on behalf of such person under any statute, insurance policy, indemnity provision, vote or otherwise, except with respect to any excess beyond the amount paid;</w:t>
      </w:r>
    </w:p>
    <w:p>
      <w:pPr>
        <w:spacing w:after="0" w:line="58" w:lineRule="exact"/>
        <w:rPr>
          <w:rFonts w:ascii="Arial" w:cs="Arial" w:eastAsia="Arial" w:hAnsi="Arial"/>
          <w:sz w:val="14"/>
          <w:szCs w:val="14"/>
          <w:color w:val="auto"/>
        </w:rPr>
      </w:pPr>
    </w:p>
    <w:p>
      <w:pPr>
        <w:ind w:left="360" w:right="479" w:firstLine="749"/>
        <w:spacing w:after="0" w:line="342" w:lineRule="auto"/>
        <w:tabs>
          <w:tab w:leader="none" w:pos="1297" w:val="left"/>
        </w:tabs>
        <w:numPr>
          <w:ilvl w:val="0"/>
          <w:numId w:val="52"/>
        </w:numPr>
        <w:rPr>
          <w:rFonts w:ascii="Arial" w:cs="Arial" w:eastAsia="Arial" w:hAnsi="Arial"/>
          <w:sz w:val="12"/>
          <w:szCs w:val="12"/>
          <w:color w:val="auto"/>
        </w:rPr>
      </w:pPr>
      <w:r>
        <w:rPr>
          <w:rFonts w:ascii="Arial" w:cs="Arial" w:eastAsia="Arial" w:hAnsi="Arial"/>
          <w:sz w:val="12"/>
          <w:szCs w:val="12"/>
          <w:color w:val="auto"/>
        </w:rPr>
        <w:t>for an accounting or disgorgement of profits pursuant to Section 16(b) of the 1934 Act, or any successor thereto, or similar provisions of federal, state or local statutory law or common law, if such person is held liable therefor (including pursuant to any settlement arrangements);</w:t>
      </w:r>
    </w:p>
    <w:p>
      <w:pPr>
        <w:spacing w:after="0" w:line="12" w:lineRule="exact"/>
        <w:rPr>
          <w:rFonts w:ascii="Arial" w:cs="Arial" w:eastAsia="Arial" w:hAnsi="Arial"/>
          <w:sz w:val="12"/>
          <w:szCs w:val="12"/>
          <w:color w:val="auto"/>
        </w:rPr>
      </w:pPr>
    </w:p>
    <w:p>
      <w:pPr>
        <w:ind w:left="360" w:right="459" w:firstLine="749"/>
        <w:spacing w:after="0" w:line="297" w:lineRule="auto"/>
        <w:tabs>
          <w:tab w:leader="none" w:pos="1289" w:val="left"/>
        </w:tabs>
        <w:numPr>
          <w:ilvl w:val="0"/>
          <w:numId w:val="52"/>
        </w:numPr>
        <w:rPr>
          <w:rFonts w:ascii="Arial" w:cs="Arial" w:eastAsia="Arial" w:hAnsi="Arial"/>
          <w:sz w:val="12"/>
          <w:szCs w:val="12"/>
          <w:color w:val="auto"/>
        </w:rPr>
      </w:pPr>
      <w:r>
        <w:rPr>
          <w:rFonts w:ascii="Arial" w:cs="Arial" w:eastAsia="Arial" w:hAnsi="Arial"/>
          <w:sz w:val="12"/>
          <w:szCs w:val="12"/>
          <w:color w:val="auto"/>
        </w:rPr>
        <w:t>for any reimbursement of the Corporation by such person of any bonus or other incentive-based or equity-based compensation or of any profits realized by such person from the sale of securities of the Corporation, as required in each case under the 1934 Act, or any successor thereto (including any such reimbursements that arise from an accounting restatement of the Corporation pursuant to Section 304 of the Sarbanes-Oxley Act of 2002 (the “</w:t>
      </w:r>
      <w:r>
        <w:rPr>
          <w:rFonts w:ascii="Arial" w:cs="Arial" w:eastAsia="Arial" w:hAnsi="Arial"/>
          <w:sz w:val="12"/>
          <w:szCs w:val="12"/>
          <w:b w:val="1"/>
          <w:bCs w:val="1"/>
          <w:color w:val="auto"/>
        </w:rPr>
        <w:t>Sarbanes-Oxley Act</w:t>
      </w:r>
      <w:r>
        <w:rPr>
          <w:rFonts w:ascii="Arial" w:cs="Arial" w:eastAsia="Arial" w:hAnsi="Arial"/>
          <w:sz w:val="12"/>
          <w:szCs w:val="12"/>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39" w:lineRule="exact"/>
        <w:rPr>
          <w:rFonts w:ascii="Arial" w:cs="Arial" w:eastAsia="Arial" w:hAnsi="Arial"/>
          <w:sz w:val="12"/>
          <w:szCs w:val="12"/>
          <w:color w:val="auto"/>
        </w:rPr>
      </w:pPr>
    </w:p>
    <w:p>
      <w:pPr>
        <w:ind w:left="360" w:right="479" w:firstLine="749"/>
        <w:spacing w:after="0" w:line="302" w:lineRule="auto"/>
        <w:tabs>
          <w:tab w:leader="none" w:pos="1297"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initiated by such person, including any Proceeding (or any part of any Proceeding) initiated by such person against the Corporation or its directors, officers, employees, agents or other indemnitees, unless (a) the Board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36" w:lineRule="exact"/>
        <w:rPr>
          <w:rFonts w:ascii="Arial" w:cs="Arial" w:eastAsia="Arial" w:hAnsi="Arial"/>
          <w:sz w:val="12"/>
          <w:szCs w:val="12"/>
          <w:color w:val="auto"/>
        </w:rPr>
      </w:pPr>
    </w:p>
    <w:p>
      <w:pPr>
        <w:ind w:left="1300" w:hanging="191"/>
        <w:spacing w:after="0"/>
        <w:tabs>
          <w:tab w:leader="none" w:pos="13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prohibited by applicable law.</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8.7 DETERMINATION; CLAIM</w:t>
      </w:r>
    </w:p>
    <w:p>
      <w:pPr>
        <w:spacing w:after="0" w:line="83" w:lineRule="exact"/>
        <w:rPr>
          <w:sz w:val="20"/>
          <w:szCs w:val="20"/>
          <w:color w:val="auto"/>
        </w:rPr>
      </w:pPr>
    </w:p>
    <w:p>
      <w:pPr>
        <w:ind w:left="360" w:right="379" w:firstLine="331"/>
        <w:spacing w:after="0" w:line="244" w:lineRule="auto"/>
        <w:rPr>
          <w:sz w:val="20"/>
          <w:szCs w:val="20"/>
          <w:color w:val="auto"/>
        </w:rPr>
      </w:pPr>
      <w:r>
        <w:rPr>
          <w:rFonts w:ascii="Arial" w:cs="Arial" w:eastAsia="Arial" w:hAnsi="Arial"/>
          <w:sz w:val="14"/>
          <w:szCs w:val="14"/>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8.8 NON-EXCLUSIVITY OF RIGHTS</w:t>
      </w:r>
    </w:p>
    <w:p>
      <w:pPr>
        <w:spacing w:after="0" w:line="83" w:lineRule="exact"/>
        <w:rPr>
          <w:sz w:val="20"/>
          <w:szCs w:val="20"/>
          <w:color w:val="auto"/>
        </w:rPr>
      </w:pPr>
    </w:p>
    <w:p>
      <w:pPr>
        <w:ind w:left="360" w:right="539" w:firstLine="331"/>
        <w:spacing w:after="0" w:line="245" w:lineRule="auto"/>
        <w:rPr>
          <w:sz w:val="20"/>
          <w:szCs w:val="20"/>
          <w:color w:val="auto"/>
        </w:rPr>
      </w:pPr>
      <w:r>
        <w:rPr>
          <w:rFonts w:ascii="Arial" w:cs="Arial" w:eastAsia="Arial" w:hAnsi="Arial"/>
          <w:sz w:val="14"/>
          <w:szCs w:val="14"/>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6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8.9 INSURANCE</w:t>
      </w:r>
    </w:p>
    <w:p>
      <w:pPr>
        <w:spacing w:after="0" w:line="83" w:lineRule="exact"/>
        <w:rPr>
          <w:sz w:val="20"/>
          <w:szCs w:val="20"/>
          <w:color w:val="auto"/>
        </w:rPr>
      </w:pPr>
    </w:p>
    <w:p>
      <w:pPr>
        <w:ind w:left="360" w:right="679" w:firstLine="331"/>
        <w:spacing w:after="0" w:line="250" w:lineRule="auto"/>
        <w:rPr>
          <w:sz w:val="20"/>
          <w:szCs w:val="20"/>
          <w:color w:val="auto"/>
        </w:rPr>
      </w:pPr>
      <w:r>
        <w:rPr>
          <w:rFonts w:ascii="Arial" w:cs="Arial" w:eastAsia="Arial" w:hAnsi="Arial"/>
          <w:sz w:val="14"/>
          <w:szCs w:val="14"/>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240" w:right="1440" w:bottom="1440" w:gutter="0" w:footer="0" w:header="0"/>
        </w:sectPr>
      </w:pPr>
    </w:p>
    <w:bookmarkStart w:id="53" w:name="page54"/>
    <w:bookmarkEnd w:id="53"/>
    <w:p>
      <w:pPr>
        <w:ind w:left="360" w:right="459"/>
        <w:spacing w:after="0" w:line="34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8.10 SURVIVAL</w:t>
      </w:r>
    </w:p>
    <w:p>
      <w:pPr>
        <w:spacing w:after="0" w:line="83" w:lineRule="exact"/>
        <w:rPr>
          <w:sz w:val="20"/>
          <w:szCs w:val="20"/>
          <w:color w:val="auto"/>
        </w:rPr>
      </w:pPr>
    </w:p>
    <w:p>
      <w:pPr>
        <w:ind w:left="360" w:right="639" w:firstLine="331"/>
        <w:spacing w:after="0" w:line="342" w:lineRule="auto"/>
        <w:rPr>
          <w:sz w:val="20"/>
          <w:szCs w:val="20"/>
          <w:color w:val="auto"/>
        </w:rPr>
      </w:pPr>
      <w:r>
        <w:rPr>
          <w:rFonts w:ascii="Arial" w:cs="Arial" w:eastAsia="Arial" w:hAnsi="Arial"/>
          <w:sz w:val="12"/>
          <w:szCs w:val="12"/>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8.11 EFFECT OF REPEAL OR MODIFICATION</w:t>
      </w:r>
    </w:p>
    <w:p>
      <w:pPr>
        <w:spacing w:after="0" w:line="83" w:lineRule="exact"/>
        <w:rPr>
          <w:sz w:val="20"/>
          <w:szCs w:val="20"/>
          <w:color w:val="auto"/>
        </w:rPr>
      </w:pPr>
    </w:p>
    <w:p>
      <w:pPr>
        <w:ind w:left="360" w:right="439" w:firstLine="331"/>
        <w:spacing w:after="0" w:line="246" w:lineRule="auto"/>
        <w:rPr>
          <w:sz w:val="20"/>
          <w:szCs w:val="20"/>
          <w:color w:val="auto"/>
        </w:rPr>
      </w:pPr>
      <w:r>
        <w:rPr>
          <w:rFonts w:ascii="Arial" w:cs="Arial" w:eastAsia="Arial" w:hAnsi="Arial"/>
          <w:sz w:val="14"/>
          <w:szCs w:val="14"/>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8.12 CERTAIN DEFINITIONS</w:t>
      </w:r>
    </w:p>
    <w:p>
      <w:pPr>
        <w:spacing w:after="0" w:line="81" w:lineRule="exact"/>
        <w:rPr>
          <w:sz w:val="20"/>
          <w:szCs w:val="20"/>
          <w:color w:val="auto"/>
        </w:rPr>
      </w:pPr>
    </w:p>
    <w:p>
      <w:pPr>
        <w:ind w:left="360" w:right="379" w:firstLine="331"/>
        <w:spacing w:after="0" w:line="288" w:lineRule="auto"/>
        <w:rPr>
          <w:sz w:val="20"/>
          <w:szCs w:val="20"/>
          <w:color w:val="auto"/>
        </w:rPr>
      </w:pPr>
      <w:r>
        <w:rPr>
          <w:rFonts w:ascii="Arial" w:cs="Arial" w:eastAsia="Arial" w:hAnsi="Arial"/>
          <w:sz w:val="12"/>
          <w:szCs w:val="12"/>
          <w:color w:val="auto"/>
        </w:rPr>
        <w:t>For purposes of this Article VIII, references to the “</w:t>
      </w:r>
      <w:r>
        <w:rPr>
          <w:rFonts w:ascii="Arial" w:cs="Arial" w:eastAsia="Arial" w:hAnsi="Arial"/>
          <w:sz w:val="12"/>
          <w:szCs w:val="12"/>
          <w:b w:val="1"/>
          <w:bCs w:val="1"/>
          <w:color w:val="auto"/>
        </w:rPr>
        <w:t>Corporation</w:t>
      </w:r>
      <w:r>
        <w:rPr>
          <w:rFonts w:ascii="Arial" w:cs="Arial" w:eastAsia="Arial" w:hAnsi="Arial"/>
          <w:sz w:val="12"/>
          <w:szCs w:val="12"/>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2"/>
          <w:szCs w:val="12"/>
          <w:b w:val="1"/>
          <w:bCs w:val="1"/>
          <w:color w:val="auto"/>
        </w:rPr>
        <w:t>other enterprises</w:t>
      </w:r>
      <w:r>
        <w:rPr>
          <w:rFonts w:ascii="Arial" w:cs="Arial" w:eastAsia="Arial" w:hAnsi="Arial"/>
          <w:sz w:val="12"/>
          <w:szCs w:val="12"/>
          <w:color w:val="auto"/>
        </w:rPr>
        <w:t>” shall include employee benefit plans; references to “</w:t>
      </w:r>
      <w:r>
        <w:rPr>
          <w:rFonts w:ascii="Arial" w:cs="Arial" w:eastAsia="Arial" w:hAnsi="Arial"/>
          <w:sz w:val="12"/>
          <w:szCs w:val="12"/>
          <w:b w:val="1"/>
          <w:bCs w:val="1"/>
          <w:color w:val="auto"/>
        </w:rPr>
        <w:t>fines</w:t>
      </w:r>
      <w:r>
        <w:rPr>
          <w:rFonts w:ascii="Arial" w:cs="Arial" w:eastAsia="Arial" w:hAnsi="Arial"/>
          <w:sz w:val="12"/>
          <w:szCs w:val="12"/>
          <w:color w:val="auto"/>
        </w:rPr>
        <w:t>” shall include any excise taxes assessed on a person with respect to an employee benefit plan; and references to “</w:t>
      </w:r>
      <w:r>
        <w:rPr>
          <w:rFonts w:ascii="Arial" w:cs="Arial" w:eastAsia="Arial" w:hAnsi="Arial"/>
          <w:sz w:val="12"/>
          <w:szCs w:val="12"/>
          <w:b w:val="1"/>
          <w:bCs w:val="1"/>
          <w:color w:val="auto"/>
        </w:rPr>
        <w:t>serving at the request of the Corporation</w:t>
      </w:r>
      <w:r>
        <w:rPr>
          <w:rFonts w:ascii="Arial" w:cs="Arial" w:eastAsia="Arial" w:hAnsi="Arial"/>
          <w:sz w:val="12"/>
          <w:szCs w:val="12"/>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2"/>
          <w:szCs w:val="12"/>
          <w:b w:val="1"/>
          <w:bCs w:val="1"/>
          <w:color w:val="auto"/>
        </w:rPr>
        <w:t>not opposed</w:t>
      </w:r>
      <w:r>
        <w:rPr>
          <w:rFonts w:ascii="Arial" w:cs="Arial" w:eastAsia="Arial" w:hAnsi="Arial"/>
          <w:sz w:val="12"/>
          <w:szCs w:val="12"/>
          <w:color w:val="auto"/>
        </w:rPr>
        <w:t xml:space="preserve"> </w:t>
      </w:r>
      <w:r>
        <w:rPr>
          <w:rFonts w:ascii="Arial" w:cs="Arial" w:eastAsia="Arial" w:hAnsi="Arial"/>
          <w:sz w:val="12"/>
          <w:szCs w:val="12"/>
          <w:b w:val="1"/>
          <w:bCs w:val="1"/>
          <w:color w:val="auto"/>
        </w:rPr>
        <w:t>to the best interests of the Corporation</w:t>
      </w:r>
      <w:r>
        <w:rPr>
          <w:rFonts w:ascii="Arial" w:cs="Arial" w:eastAsia="Arial" w:hAnsi="Arial"/>
          <w:sz w:val="12"/>
          <w:szCs w:val="12"/>
          <w:color w:val="auto"/>
        </w:rPr>
        <w:t>” as referred to in this Article VIII.</w:t>
      </w:r>
    </w:p>
    <w:p>
      <w:pPr>
        <w:spacing w:after="0" w:line="286"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ARTICLE IX—GENERAL MATTERS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9.1 EXECUTION OF CORPORATE CONTRACTS AND INSTRUMENTS</w:t>
      </w:r>
    </w:p>
    <w:p>
      <w:pPr>
        <w:spacing w:after="0" w:line="83" w:lineRule="exact"/>
        <w:rPr>
          <w:sz w:val="20"/>
          <w:szCs w:val="20"/>
          <w:color w:val="auto"/>
        </w:rPr>
      </w:pPr>
    </w:p>
    <w:p>
      <w:pPr>
        <w:ind w:left="360" w:right="419" w:firstLine="331"/>
        <w:spacing w:after="0" w:line="246" w:lineRule="auto"/>
        <w:rPr>
          <w:sz w:val="20"/>
          <w:szCs w:val="20"/>
          <w:color w:val="auto"/>
        </w:rPr>
      </w:pPr>
      <w:r>
        <w:rPr>
          <w:rFonts w:ascii="Arial" w:cs="Arial" w:eastAsia="Arial" w:hAnsi="Arial"/>
          <w:sz w:val="14"/>
          <w:szCs w:val="14"/>
          <w:color w:val="auto"/>
        </w:rPr>
        <w:t>Except as otherwise provided by law, the certificate of incorporation or these bylaws, the Board may authorize any officer or officers, or agent or agents, to enter into any contract or execute any document or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9.2 FISCAL YEAR</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fiscal year of the Corporation shall be fixed by resolution of the Board and may be changed by the Board.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240" w:right="1440" w:bottom="1440" w:gutter="0" w:footer="0" w:header="0"/>
        </w:sectPr>
      </w:pPr>
    </w:p>
    <w:bookmarkStart w:id="54" w:name="page55"/>
    <w:bookmarkEnd w:id="54"/>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9.3 SEAL</w:t>
      </w:r>
    </w:p>
    <w:p>
      <w:pPr>
        <w:spacing w:after="0" w:line="83" w:lineRule="exact"/>
        <w:rPr>
          <w:sz w:val="20"/>
          <w:szCs w:val="20"/>
          <w:color w:val="auto"/>
        </w:rPr>
      </w:pPr>
    </w:p>
    <w:p>
      <w:pPr>
        <w:ind w:left="360" w:right="839" w:firstLine="331"/>
        <w:spacing w:after="0" w:line="342" w:lineRule="auto"/>
        <w:rPr>
          <w:sz w:val="20"/>
          <w:szCs w:val="20"/>
          <w:color w:val="auto"/>
        </w:rPr>
      </w:pPr>
      <w:r>
        <w:rPr>
          <w:rFonts w:ascii="Arial" w:cs="Arial" w:eastAsia="Arial" w:hAnsi="Arial"/>
          <w:sz w:val="12"/>
          <w:szCs w:val="12"/>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9.4 CONSTRUCTION; DEFINITIONS</w:t>
      </w:r>
    </w:p>
    <w:p>
      <w:pPr>
        <w:spacing w:after="0" w:line="83" w:lineRule="exact"/>
        <w:rPr>
          <w:sz w:val="20"/>
          <w:szCs w:val="20"/>
          <w:color w:val="auto"/>
        </w:rPr>
      </w:pPr>
    </w:p>
    <w:p>
      <w:pPr>
        <w:jc w:val="both"/>
        <w:ind w:left="360" w:right="439" w:firstLine="331"/>
        <w:spacing w:after="0" w:line="302" w:lineRule="auto"/>
        <w:rPr>
          <w:sz w:val="20"/>
          <w:szCs w:val="20"/>
          <w:color w:val="auto"/>
        </w:rPr>
      </w:pPr>
      <w:r>
        <w:rPr>
          <w:rFonts w:ascii="Arial" w:cs="Arial" w:eastAsia="Arial" w:hAnsi="Arial"/>
          <w:sz w:val="12"/>
          <w:szCs w:val="12"/>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2"/>
          <w:szCs w:val="12"/>
          <w:b w:val="1"/>
          <w:bCs w:val="1"/>
          <w:color w:val="auto"/>
        </w:rPr>
        <w:t>person</w:t>
      </w:r>
      <w:r>
        <w:rPr>
          <w:rFonts w:ascii="Arial" w:cs="Arial" w:eastAsia="Arial" w:hAnsi="Arial"/>
          <w:sz w:val="12"/>
          <w:szCs w:val="12"/>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X—AMENDMENTS</w:t>
      </w:r>
    </w:p>
    <w:p>
      <w:pPr>
        <w:spacing w:after="0" w:line="166" w:lineRule="exact"/>
        <w:rPr>
          <w:sz w:val="20"/>
          <w:szCs w:val="20"/>
          <w:color w:val="auto"/>
        </w:rPr>
      </w:pPr>
    </w:p>
    <w:p>
      <w:pPr>
        <w:ind w:left="360" w:right="539" w:firstLine="331"/>
        <w:spacing w:after="0" w:line="302" w:lineRule="auto"/>
        <w:rPr>
          <w:sz w:val="20"/>
          <w:szCs w:val="20"/>
          <w:color w:val="auto"/>
        </w:rPr>
      </w:pPr>
      <w:r>
        <w:rPr>
          <w:rFonts w:ascii="Arial" w:cs="Arial" w:eastAsia="Arial" w:hAnsi="Arial"/>
          <w:sz w:val="12"/>
          <w:szCs w:val="12"/>
          <w:color w:val="auto"/>
        </w:rPr>
        <w:t xml:space="preserve">These bylaws may be adopted, amended or repealed by the stockholders entitled to vote;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from and after the Final Conversion Date, the affirmative vote of the holders of at least two-thirds of the total voting power of outstanding voting securities of the corporation, voting together as a single class, shall be required for the stockholders of the Corporation to alter, amend or repeal, or adopt any provision of these bylaws. The Board shall also have the power to adopt, amend or repeal these bylaws.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A bylaw amendment adopted by stockholders shall not be further amended or repealed by the Board.</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XI—EXCLUSIVE FORUM</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 the fullest extent permitted by applicable law:</w:t>
      </w:r>
    </w:p>
    <w:p>
      <w:pPr>
        <w:spacing w:after="0" w:line="83" w:lineRule="exact"/>
        <w:rPr>
          <w:sz w:val="20"/>
          <w:szCs w:val="20"/>
          <w:color w:val="auto"/>
        </w:rPr>
      </w:pPr>
    </w:p>
    <w:p>
      <w:pPr>
        <w:ind w:left="360" w:right="439" w:firstLine="334"/>
        <w:spacing w:after="0" w:line="287" w:lineRule="auto"/>
        <w:tabs>
          <w:tab w:leader="none" w:pos="875"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or otherwise wrongdoing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(iv) any action to interpret, apply, enforce or determine the validity of the Certificate of Incorporation or these bylaws (as either may be amended from time to time), or (v) any action asserting a claim governed by the internal affairs doctrine, except for, as to each of (i) through (v) above, any claim as to which such court determines that there is an indispensable party not subject to the jurisdiction of such court (and the indispensable party does not consent to the personal jurisdiction of such court within ten (10) days following such determination), which is vested in the exclusive jurisdiction of a court or forum other than such court, or for which such court does not have subject matter jurisdiction. Any person or entity purchasing or otherwise acquiring any interest in any security of the Corporation shall be deemed to have notice of and consented to the provisions of this Article XI, Part (a). For the avoidance of doubt, this Article XI, Part (a) shall not apply to any action brought to enforce a duty or liability created by the Securities Act of 1933, or any successor thereto (the “</w:t>
      </w:r>
      <w:r>
        <w:rPr>
          <w:rFonts w:ascii="Arial" w:cs="Arial" w:eastAsia="Arial" w:hAnsi="Arial"/>
          <w:sz w:val="12"/>
          <w:szCs w:val="12"/>
          <w:b w:val="1"/>
          <w:bCs w:val="1"/>
          <w:color w:val="auto"/>
        </w:rPr>
        <w:t>Securities Act</w:t>
      </w:r>
      <w:r>
        <w:rPr>
          <w:rFonts w:ascii="Arial" w:cs="Arial" w:eastAsia="Arial" w:hAnsi="Arial"/>
          <w:sz w:val="12"/>
          <w:szCs w:val="12"/>
          <w:color w:val="auto"/>
        </w:rPr>
        <w:t>”) or the 1934 Act.</w:t>
      </w:r>
    </w:p>
    <w:p>
      <w:pPr>
        <w:spacing w:after="0" w:line="46" w:lineRule="exact"/>
        <w:rPr>
          <w:rFonts w:ascii="Arial" w:cs="Arial" w:eastAsia="Arial" w:hAnsi="Arial"/>
          <w:sz w:val="12"/>
          <w:szCs w:val="12"/>
          <w:color w:val="auto"/>
        </w:rPr>
      </w:pPr>
    </w:p>
    <w:p>
      <w:pPr>
        <w:ind w:left="360" w:right="519" w:firstLine="334"/>
        <w:spacing w:after="0" w:line="342" w:lineRule="auto"/>
        <w:tabs>
          <w:tab w:leader="none" w:pos="883"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94" w:lineRule="exact"/>
        <w:rPr>
          <w:sz w:val="20"/>
          <w:szCs w:val="20"/>
          <w:color w:val="auto"/>
        </w:rPr>
      </w:pPr>
    </w:p>
    <w:p>
      <w:pPr>
        <w:ind w:left="360" w:right="519" w:firstLine="331"/>
        <w:spacing w:after="0" w:line="259" w:lineRule="auto"/>
        <w:rPr>
          <w:sz w:val="20"/>
          <w:szCs w:val="20"/>
          <w:color w:val="auto"/>
        </w:rPr>
      </w:pPr>
      <w:r>
        <w:rPr>
          <w:rFonts w:ascii="Arial" w:cs="Arial" w:eastAsia="Arial" w:hAnsi="Arial"/>
          <w:sz w:val="14"/>
          <w:szCs w:val="14"/>
          <w:color w:val="auto"/>
        </w:rPr>
        <w:t>Any person or entity purchasing or otherwise acquiring or holding any interest in any security of the Corporation shall be deemed to have notice of and consented to the provisions of this Article XI, Part (b).</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240"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3"/>
          <w:szCs w:val="13"/>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212965" cy="4820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5">
                      <a:extLst>
                        <a:ext uri="{28A0092B-C50C-407E-A947-70E740481C1C}"/>
                      </a:extLst>
                    </a:blip>
                    <a:srcRect/>
                    <a:stretch>
                      <a:fillRect/>
                    </a:stretch>
                  </pic:blipFill>
                  <pic:spPr bwMode="auto">
                    <a:xfrm>
                      <a:off x="0" y="0"/>
                      <a:ext cx="7212965" cy="482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40" w:type="dxa"/>
            <w:vAlign w:val="bottom"/>
            <w:gridSpan w:val="2"/>
          </w:tcPr>
          <w:p>
            <w:pPr>
              <w:spacing w:after="0"/>
              <w:rPr>
                <w:sz w:val="20"/>
                <w:szCs w:val="20"/>
                <w:color w:val="auto"/>
              </w:rPr>
            </w:pPr>
            <w:r>
              <w:rPr>
                <w:rFonts w:ascii="Arial" w:cs="Arial" w:eastAsia="Arial" w:hAnsi="Arial"/>
                <w:sz w:val="10"/>
                <w:szCs w:val="10"/>
                <w:color w:val="FFFFFF"/>
              </w:rPr>
              <w:t>SEE REVERSE FOR IMPORTANT NOTICE REGARDING OWNERSHIP AND TRANSFER RESTRICTIONS AND CERTAIN OTHER INFORMATION</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QuantumScape</w:t>
            </w:r>
          </w:p>
        </w:tc>
      </w:tr>
      <w:tr>
        <w:trPr>
          <w:trHeight w:val="30"/>
        </w:trPr>
        <w:tc>
          <w:tcPr>
            <w:tcW w:w="480" w:type="dxa"/>
            <w:vAlign w:val="bottom"/>
          </w:tcPr>
          <w:p>
            <w:pPr>
              <w:spacing w:after="0"/>
              <w:rPr>
                <w:sz w:val="2"/>
                <w:szCs w:val="2"/>
                <w:color w:val="auto"/>
              </w:rPr>
            </w:pPr>
          </w:p>
        </w:tc>
        <w:tc>
          <w:tcPr>
            <w:tcW w:w="10760" w:type="dxa"/>
            <w:vAlign w:val="bottom"/>
          </w:tcPr>
          <w:p>
            <w:pPr>
              <w:ind w:left="100"/>
              <w:spacing w:after="0" w:line="31" w:lineRule="exact"/>
              <w:rPr>
                <w:sz w:val="20"/>
                <w:szCs w:val="20"/>
                <w:color w:val="auto"/>
              </w:rPr>
            </w:pPr>
            <w:r>
              <w:rPr>
                <w:rFonts w:ascii="Arial" w:cs="Arial" w:eastAsia="Arial" w:hAnsi="Arial"/>
                <w:sz w:val="3"/>
                <w:szCs w:val="3"/>
                <w:color w:val="FFFFFF"/>
              </w:rPr>
              <w:t>TED UNDER THE LAWS OF THE STATE OF DELAWARE</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INCORPORALASSCOMMON STOCK</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CUSIP 74767V 10 9</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SEE REVERSE FOR CERTAIN DEFINITIONS</w:t>
            </w:r>
          </w:p>
        </w:tc>
      </w:tr>
      <w:tr>
        <w:trPr>
          <w:trHeight w:val="30"/>
        </w:trPr>
        <w:tc>
          <w:tcPr>
            <w:tcW w:w="11240" w:type="dxa"/>
            <w:vAlign w:val="bottom"/>
            <w:gridSpan w:val="2"/>
          </w:tcPr>
          <w:p>
            <w:pPr>
              <w:ind w:left="260"/>
              <w:spacing w:after="0" w:line="31" w:lineRule="exact"/>
              <w:rPr>
                <w:sz w:val="20"/>
                <w:szCs w:val="20"/>
                <w:color w:val="auto"/>
              </w:rPr>
            </w:pPr>
            <w:r>
              <w:rPr>
                <w:rFonts w:ascii="Arial" w:cs="Arial" w:eastAsia="Arial" w:hAnsi="Arial"/>
                <w:sz w:val="3"/>
                <w:szCs w:val="3"/>
                <w:color w:val="FFFFFF"/>
              </w:rPr>
              <w:t>CERTIFIES THAT</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THISTHE OWNER OF</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FULLY PAID AND NON-ASSESSABLE SHARES OF THE CLASS A COMMON STOCK, $0.0001 PAR VALUE, OF</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QuantumScape Corporation</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transferable on the books of the Company in Person or by duly authorized attorney, upon surrender of this Certificate properly endorsed. This Certificate and the shares represented hereby, are issued and shall be held subject to all of the provisions of the Certificate of</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Incorporation, as amended, and the Bylaws, as amended, of the Company (copies of which are on file with the Company and with the Transfer Agent), to all of which each holder, by acceptance hereof, assents. This Certificate is not valid unless countersigned and registered by</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the  ransfer Agent and Registrar.</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WITNESS the facsimile seal of the Company and the facsimile signatures of its duly authorized officers.</w:t>
            </w:r>
          </w:p>
        </w:tc>
      </w:tr>
      <w:tr>
        <w:trPr>
          <w:trHeight w:val="30"/>
        </w:trPr>
        <w:tc>
          <w:tcPr>
            <w:tcW w:w="480" w:type="dxa"/>
            <w:vAlign w:val="bottom"/>
          </w:tcPr>
          <w:p>
            <w:pPr>
              <w:spacing w:after="0" w:line="31" w:lineRule="exact"/>
              <w:rPr>
                <w:sz w:val="20"/>
                <w:szCs w:val="20"/>
                <w:color w:val="auto"/>
              </w:rPr>
            </w:pPr>
            <w:r>
              <w:rPr>
                <w:rFonts w:ascii="Arial" w:cs="Arial" w:eastAsia="Arial" w:hAnsi="Arial"/>
                <w:sz w:val="3"/>
                <w:szCs w:val="3"/>
                <w:color w:val="FFFFFF"/>
              </w:rPr>
              <w:t>0000001</w:t>
            </w:r>
          </w:p>
        </w:tc>
        <w:tc>
          <w:tcPr>
            <w:tcW w:w="10760" w:type="dxa"/>
            <w:vAlign w:val="bottom"/>
          </w:tcPr>
          <w:p>
            <w:pPr>
              <w:spacing w:after="0"/>
              <w:rPr>
                <w:sz w:val="2"/>
                <w:szCs w:val="2"/>
                <w:color w:val="auto"/>
              </w:rPr>
            </w:pPr>
          </w:p>
        </w:tc>
      </w:tr>
      <w:tr>
        <w:trPr>
          <w:trHeight w:val="30"/>
        </w:trPr>
        <w:tc>
          <w:tcPr>
            <w:tcW w:w="480" w:type="dxa"/>
            <w:vAlign w:val="bottom"/>
          </w:tcPr>
          <w:p>
            <w:pPr>
              <w:spacing w:after="0" w:line="31" w:lineRule="exact"/>
              <w:rPr>
                <w:sz w:val="20"/>
                <w:szCs w:val="20"/>
                <w:color w:val="auto"/>
              </w:rPr>
            </w:pPr>
            <w:r>
              <w:rPr>
                <w:rFonts w:ascii="Arial" w:cs="Arial" w:eastAsia="Arial" w:hAnsi="Arial"/>
                <w:sz w:val="3"/>
                <w:szCs w:val="3"/>
                <w:color w:val="FFFFFF"/>
              </w:rPr>
              <w:t>Secretary</w:t>
            </w:r>
          </w:p>
        </w:tc>
        <w:tc>
          <w:tcPr>
            <w:tcW w:w="10760" w:type="dxa"/>
            <w:vAlign w:val="bottom"/>
          </w:tcPr>
          <w:p>
            <w:pPr>
              <w:spacing w:after="0"/>
              <w:rPr>
                <w:sz w:val="2"/>
                <w:szCs w:val="2"/>
                <w:color w:val="auto"/>
              </w:rPr>
            </w:pPr>
          </w:p>
        </w:tc>
      </w:tr>
      <w:tr>
        <w:trPr>
          <w:trHeight w:val="30"/>
        </w:trPr>
        <w:tc>
          <w:tcPr>
            <w:tcW w:w="11240" w:type="dxa"/>
            <w:vAlign w:val="bottom"/>
            <w:gridSpan w:val="2"/>
          </w:tcPr>
          <w:p>
            <w:pPr>
              <w:ind w:left="60"/>
              <w:spacing w:after="0" w:line="31" w:lineRule="exact"/>
              <w:rPr>
                <w:sz w:val="20"/>
                <w:szCs w:val="20"/>
                <w:color w:val="auto"/>
              </w:rPr>
            </w:pPr>
            <w:r>
              <w:rPr>
                <w:rFonts w:ascii="Arial" w:cs="Arial" w:eastAsia="Arial" w:hAnsi="Arial"/>
                <w:sz w:val="3"/>
                <w:szCs w:val="3"/>
                <w:color w:val="FFFFFF"/>
              </w:rPr>
              <w:t>hief Executive Officer</w:t>
            </w:r>
          </w:p>
        </w:tc>
      </w:tr>
      <w:tr>
        <w:trPr>
          <w:trHeight w:val="30"/>
        </w:trPr>
        <w:tc>
          <w:tcPr>
            <w:tcW w:w="11240" w:type="dxa"/>
            <w:vAlign w:val="bottom"/>
            <w:gridSpan w:val="2"/>
          </w:tcPr>
          <w:p>
            <w:pPr>
              <w:ind w:left="140"/>
              <w:spacing w:after="0" w:line="31" w:lineRule="exact"/>
              <w:rPr>
                <w:sz w:val="20"/>
                <w:szCs w:val="20"/>
                <w:color w:val="auto"/>
              </w:rPr>
            </w:pPr>
            <w:r>
              <w:rPr>
                <w:rFonts w:ascii="Arial" w:cs="Arial" w:eastAsia="Arial" w:hAnsi="Arial"/>
                <w:sz w:val="3"/>
                <w:szCs w:val="3"/>
                <w:color w:val="FFFFFF"/>
              </w:rPr>
              <w:t>UNTERSIGNED AND REGISTERED:</w:t>
            </w:r>
          </w:p>
        </w:tc>
      </w:tr>
      <w:tr>
        <w:trPr>
          <w:trHeight w:val="15"/>
        </w:trPr>
        <w:tc>
          <w:tcPr>
            <w:tcW w:w="11240" w:type="dxa"/>
            <w:vAlign w:val="bottom"/>
            <w:gridSpan w:val="2"/>
          </w:tcPr>
          <w:p>
            <w:pPr>
              <w:spacing w:after="0"/>
              <w:rPr>
                <w:sz w:val="20"/>
                <w:szCs w:val="20"/>
                <w:color w:val="auto"/>
              </w:rPr>
            </w:pPr>
            <w:r>
              <w:rPr>
                <w:rFonts w:ascii="Arial" w:cs="Arial" w:eastAsia="Arial" w:hAnsi="Arial"/>
                <w:sz w:val="1"/>
                <w:szCs w:val="1"/>
                <w:color w:val="FFFFFF"/>
              </w:rPr>
              <w:t>CONTINENT(NewYork,.Y.)</w:t>
            </w:r>
          </w:p>
        </w:tc>
      </w:tr>
      <w:tr>
        <w:trPr>
          <w:trHeight w:val="76"/>
        </w:trPr>
        <w:tc>
          <w:tcPr>
            <w:tcW w:w="480" w:type="dxa"/>
            <w:vAlign w:val="bottom"/>
          </w:tcPr>
          <w:p>
            <w:pPr>
              <w:spacing w:after="0" w:line="76" w:lineRule="exact"/>
              <w:rPr>
                <w:sz w:val="20"/>
                <w:szCs w:val="20"/>
                <w:color w:val="auto"/>
              </w:rPr>
            </w:pPr>
            <w:r>
              <w:rPr>
                <w:rFonts w:ascii="Arial" w:cs="Arial" w:eastAsia="Arial" w:hAnsi="Arial"/>
                <w:sz w:val="8"/>
                <w:szCs w:val="8"/>
                <w:color w:val="FFFFFF"/>
              </w:rPr>
              <w:t>BY</w:t>
            </w:r>
          </w:p>
        </w:tc>
        <w:tc>
          <w:tcPr>
            <w:tcW w:w="10760" w:type="dxa"/>
            <w:vAlign w:val="bottom"/>
          </w:tcPr>
          <w:p>
            <w:pPr>
              <w:ind w:left="100"/>
              <w:spacing w:after="0" w:line="76" w:lineRule="exact"/>
              <w:rPr>
                <w:sz w:val="20"/>
                <w:szCs w:val="20"/>
                <w:color w:val="auto"/>
              </w:rPr>
            </w:pPr>
            <w:r>
              <w:rPr>
                <w:rFonts w:ascii="Arial" w:cs="Arial" w:eastAsia="Arial" w:hAnsi="Arial"/>
                <w:sz w:val="8"/>
                <w:szCs w:val="8"/>
                <w:color w:val="FFFFFF"/>
              </w:rPr>
              <w:t>AL STOCK TRANSFER &amp; TRUST COMPANY</w:t>
            </w:r>
          </w:p>
        </w:tc>
      </w:tr>
      <w:tr>
        <w:trPr>
          <w:trHeight w:val="30"/>
        </w:trPr>
        <w:tc>
          <w:tcPr>
            <w:tcW w:w="11240" w:type="dxa"/>
            <w:vAlign w:val="bottom"/>
            <w:gridSpan w:val="2"/>
          </w:tcPr>
          <w:p>
            <w:pPr>
              <w:spacing w:after="0" w:line="31" w:lineRule="exact"/>
              <w:rPr>
                <w:sz w:val="20"/>
                <w:szCs w:val="20"/>
                <w:color w:val="auto"/>
              </w:rPr>
            </w:pPr>
            <w:r>
              <w:rPr>
                <w:rFonts w:ascii="Arial" w:cs="Arial" w:eastAsia="Arial" w:hAnsi="Arial"/>
                <w:sz w:val="3"/>
                <w:szCs w:val="3"/>
                <w:color w:val="FFFFFF"/>
              </w:rPr>
              <w:t>TRANSFER AGENT AND REGISTRAR</w:t>
            </w:r>
          </w:p>
        </w:tc>
      </w:tr>
      <w:tr>
        <w:trPr>
          <w:trHeight w:val="128"/>
        </w:trPr>
        <w:tc>
          <w:tcPr>
            <w:tcW w:w="11240" w:type="dxa"/>
            <w:vAlign w:val="bottom"/>
            <w:gridSpan w:val="2"/>
          </w:tcPr>
          <w:p>
            <w:pPr>
              <w:spacing w:after="0"/>
              <w:rPr>
                <w:sz w:val="20"/>
                <w:szCs w:val="20"/>
                <w:color w:val="auto"/>
              </w:rPr>
            </w:pPr>
            <w:r>
              <w:rPr>
                <w:rFonts w:ascii="Arial" w:cs="Arial" w:eastAsia="Arial" w:hAnsi="Arial"/>
                <w:sz w:val="10"/>
                <w:szCs w:val="10"/>
                <w:color w:val="FFFFFF"/>
              </w:rPr>
              <w:t>AUTHORIZED SIGNATURE</w:t>
            </w:r>
          </w:p>
        </w:tc>
      </w:tr>
    </w:tbl>
    <w:p>
      <w:pPr>
        <w:sectPr>
          <w:pgSz w:w="11900" w:h="16838" w:orient="portrait"/>
          <w:cols w:equalWidth="0" w:num="1">
            <w:col w:w="11280"/>
          </w:cols>
          <w:pgMar w:left="300" w:top="130" w:right="3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4588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6">
                      <a:extLst>
                        <a:ext uri="{28A0092B-C50C-407E-A947-70E740481C1C}"/>
                      </a:extLst>
                    </a:blip>
                    <a:srcRect/>
                    <a:stretch>
                      <a:fillRect/>
                    </a:stretch>
                  </pic:blipFill>
                  <pic:spPr bwMode="auto">
                    <a:xfrm>
                      <a:off x="0" y="0"/>
                      <a:ext cx="7179310" cy="458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FFFFFF"/>
          <w:vertAlign w:val="superscript"/>
        </w:rPr>
        <w:t>TEN</w:t>
      </w:r>
      <w:r>
        <w:rPr>
          <w:rFonts w:ascii="Arial" w:cs="Arial" w:eastAsia="Arial" w:hAnsi="Arial"/>
          <w:sz w:val="10"/>
          <w:szCs w:val="10"/>
          <w:color w:val="FFFFFF"/>
        </w:rPr>
        <w:t>hefollowingCOM— abbreviations,astenantsincommonwhenused in the inscription on the face of this certificate, shall be construed as though they were written out in full according to applicable laws or regulations:</w:t>
      </w:r>
    </w:p>
    <w:p>
      <w:pPr>
        <w:ind w:left="220"/>
        <w:spacing w:after="0" w:line="181" w:lineRule="auto"/>
        <w:rPr>
          <w:sz w:val="20"/>
          <w:szCs w:val="20"/>
          <w:color w:val="auto"/>
        </w:rPr>
      </w:pPr>
      <w:r>
        <w:rPr>
          <w:rFonts w:ascii="Arial" w:cs="Arial" w:eastAsia="Arial" w:hAnsi="Arial"/>
          <w:sz w:val="7"/>
          <w:szCs w:val="7"/>
          <w:color w:val="FFFFFF"/>
        </w:rPr>
        <w:t>ENT — as tenants by the entireties</w:t>
      </w:r>
    </w:p>
    <w:p>
      <w:pPr>
        <w:spacing w:after="0" w:line="182" w:lineRule="auto"/>
        <w:rPr>
          <w:sz w:val="20"/>
          <w:szCs w:val="20"/>
          <w:color w:val="auto"/>
        </w:rPr>
      </w:pPr>
      <w:r>
        <w:rPr>
          <w:rFonts w:ascii="Arial" w:cs="Arial" w:eastAsia="Arial" w:hAnsi="Arial"/>
          <w:sz w:val="7"/>
          <w:szCs w:val="7"/>
          <w:color w:val="FFFFFF"/>
        </w:rPr>
        <w:t>TTEEJTTEN——trusteeasjointundertenantsAgreementwithrightdatedofsurvivorship and not as tenants in common</w:t>
      </w:r>
    </w:p>
    <w:p>
      <w:pPr>
        <w:spacing w:after="0" w:line="212" w:lineRule="auto"/>
        <w:rPr>
          <w:sz w:val="20"/>
          <w:szCs w:val="20"/>
          <w:color w:val="auto"/>
        </w:rPr>
      </w:pPr>
      <w:r>
        <w:rPr>
          <w:rFonts w:ascii="Arial" w:cs="Arial" w:eastAsia="Arial" w:hAnsi="Arial"/>
          <w:sz w:val="3"/>
          <w:szCs w:val="3"/>
          <w:color w:val="FFFFFF"/>
        </w:rPr>
        <w:t>(Cust)UNIF GIFT(Minor)MIN ACT— Custodian</w:t>
      </w:r>
    </w:p>
    <w:p>
      <w:pPr>
        <w:spacing w:after="0" w:line="211" w:lineRule="auto"/>
        <w:rPr>
          <w:sz w:val="20"/>
          <w:szCs w:val="20"/>
          <w:color w:val="auto"/>
        </w:rPr>
      </w:pPr>
      <w:r>
        <w:rPr>
          <w:rFonts w:ascii="Arial" w:cs="Arial" w:eastAsia="Arial" w:hAnsi="Arial"/>
          <w:sz w:val="3"/>
          <w:szCs w:val="3"/>
          <w:color w:val="FFFFFF"/>
        </w:rPr>
        <w:t>under Uniform Gifts to Minors</w:t>
      </w:r>
    </w:p>
    <w:p>
      <w:pPr>
        <w:spacing w:after="0" w:line="181" w:lineRule="auto"/>
        <w:rPr>
          <w:sz w:val="20"/>
          <w:szCs w:val="20"/>
          <w:color w:val="auto"/>
        </w:rPr>
      </w:pPr>
      <w:r>
        <w:rPr>
          <w:rFonts w:ascii="Arial" w:cs="Arial" w:eastAsia="Arial" w:hAnsi="Arial"/>
          <w:sz w:val="6"/>
          <w:szCs w:val="6"/>
          <w:color w:val="FFFFFF"/>
        </w:rPr>
        <w:t>Additional</w:t>
      </w:r>
      <w:r>
        <w:rPr>
          <w:rFonts w:ascii="Arial" w:cs="Arial" w:eastAsia="Arial" w:hAnsi="Arial"/>
          <w:sz w:val="7"/>
          <w:szCs w:val="7"/>
          <w:color w:val="FFFFFF"/>
          <w:vertAlign w:val="superscript"/>
        </w:rPr>
        <w:t>ct(State)</w:t>
      </w:r>
    </w:p>
    <w:p>
      <w:pPr>
        <w:spacing w:after="0" w:line="214" w:lineRule="auto"/>
        <w:rPr>
          <w:sz w:val="20"/>
          <w:szCs w:val="20"/>
          <w:color w:val="auto"/>
        </w:rPr>
      </w:pPr>
      <w:r>
        <w:rPr>
          <w:rFonts w:ascii="Arial" w:cs="Arial" w:eastAsia="Arial" w:hAnsi="Arial"/>
          <w:sz w:val="3"/>
          <w:szCs w:val="3"/>
          <w:color w:val="FFFFFF"/>
        </w:rPr>
        <w:t>For value received,abbreviationsherebymaysell,alsoassignbeusedand transferthough notuntoin the above list.</w:t>
      </w:r>
    </w:p>
    <w:p>
      <w:pPr>
        <w:spacing w:after="0" w:line="181" w:lineRule="auto"/>
        <w:rPr>
          <w:sz w:val="20"/>
          <w:szCs w:val="20"/>
          <w:color w:val="auto"/>
        </w:rPr>
      </w:pPr>
      <w:r>
        <w:rPr>
          <w:rFonts w:ascii="Arial" w:cs="Arial" w:eastAsia="Arial" w:hAnsi="Arial"/>
          <w:sz w:val="7"/>
          <w:szCs w:val="7"/>
          <w:color w:val="FFFFFF"/>
          <w:vertAlign w:val="superscript"/>
        </w:rPr>
        <w:t>PLEASE</w:t>
      </w:r>
      <w:r>
        <w:rPr>
          <w:rFonts w:ascii="Arial" w:cs="Arial" w:eastAsia="Arial" w:hAnsi="Arial"/>
          <w:sz w:val="6"/>
          <w:szCs w:val="6"/>
          <w:color w:val="FFFFFF"/>
        </w:rPr>
        <w:t xml:space="preserve"> INSERT SOCIAL SECURITY OR OTHER IDENTIFYING NUMBER OF ASSIGNEE</w:t>
      </w:r>
    </w:p>
    <w:p>
      <w:pPr>
        <w:spacing w:after="0" w:line="213" w:lineRule="auto"/>
        <w:rPr>
          <w:sz w:val="20"/>
          <w:szCs w:val="20"/>
          <w:color w:val="auto"/>
        </w:rPr>
      </w:pPr>
      <w:r>
        <w:rPr>
          <w:rFonts w:ascii="Arial" w:cs="Arial" w:eastAsia="Arial" w:hAnsi="Arial"/>
          <w:sz w:val="3"/>
          <w:szCs w:val="3"/>
          <w:color w:val="FFFFFF"/>
        </w:rPr>
        <w:t>Shares of PRINTthecommonORTYPEWRITEstockrepresentedNAMEby thisANDcertificateADDRESSandINCLUDINGdoherebyirrevocablyPOSTALconstitutesZIPCODEandOFappointASSIGNEE.</w:t>
      </w:r>
    </w:p>
    <w:p>
      <w:pPr>
        <w:spacing w:after="0" w:line="211" w:lineRule="auto"/>
        <w:rPr>
          <w:sz w:val="20"/>
          <w:szCs w:val="20"/>
          <w:color w:val="auto"/>
        </w:rPr>
      </w:pPr>
      <w:r>
        <w:rPr>
          <w:rFonts w:ascii="Arial" w:cs="Arial" w:eastAsia="Arial" w:hAnsi="Arial"/>
          <w:sz w:val="3"/>
          <w:szCs w:val="3"/>
          <w:color w:val="FFFFFF"/>
        </w:rPr>
        <w:t>Attorney, to transfer the said stock on the books of the within-named Corporation with full power of substitution in the premises.</w:t>
      </w:r>
    </w:p>
    <w:p>
      <w:pPr>
        <w:spacing w:after="0" w:line="212" w:lineRule="auto"/>
        <w:rPr>
          <w:sz w:val="20"/>
          <w:szCs w:val="20"/>
          <w:color w:val="auto"/>
        </w:rPr>
      </w:pPr>
      <w:r>
        <w:rPr>
          <w:rFonts w:ascii="Arial" w:cs="Arial" w:eastAsia="Arial" w:hAnsi="Arial"/>
          <w:sz w:val="3"/>
          <w:szCs w:val="3"/>
          <w:color w:val="FFFFFF"/>
        </w:rPr>
        <w:t>DATED</w:t>
      </w:r>
    </w:p>
    <w:p>
      <w:pPr>
        <w:spacing w:after="0" w:line="212" w:lineRule="auto"/>
        <w:rPr>
          <w:sz w:val="20"/>
          <w:szCs w:val="20"/>
          <w:color w:val="auto"/>
        </w:rPr>
      </w:pPr>
      <w:r>
        <w:rPr>
          <w:rFonts w:ascii="Arial" w:cs="Arial" w:eastAsia="Arial" w:hAnsi="Arial"/>
          <w:sz w:val="3"/>
          <w:szCs w:val="3"/>
          <w:color w:val="FFFFFF"/>
        </w:rPr>
        <w:t>SIGNATURE GUARANTEED:</w:t>
      </w:r>
    </w:p>
    <w:p>
      <w:pPr>
        <w:spacing w:after="0" w:line="181" w:lineRule="auto"/>
        <w:rPr>
          <w:sz w:val="20"/>
          <w:szCs w:val="20"/>
          <w:color w:val="auto"/>
        </w:rPr>
      </w:pPr>
      <w:r>
        <w:rPr>
          <w:rFonts w:ascii="Arial" w:cs="Arial" w:eastAsia="Arial" w:hAnsi="Arial"/>
          <w:sz w:val="6"/>
          <w:szCs w:val="6"/>
          <w:color w:val="FFFFFF"/>
        </w:rPr>
        <w:t xml:space="preserve">THE SIGNATURE(S) SHOULD BE GUARANTEED BY AN </w:t>
      </w:r>
      <w:r>
        <w:rPr>
          <w:rFonts w:ascii="Arial" w:cs="Arial" w:eastAsia="Arial" w:hAnsi="Arial"/>
          <w:sz w:val="7"/>
          <w:szCs w:val="7"/>
          <w:color w:val="FFFFFF"/>
          <w:vertAlign w:val="subscript"/>
        </w:rPr>
        <w:t>ELIGIBLE</w:t>
      </w:r>
      <w:r>
        <w:rPr>
          <w:rFonts w:ascii="Arial" w:cs="Arial" w:eastAsia="Arial" w:hAnsi="Arial"/>
          <w:sz w:val="6"/>
          <w:szCs w:val="6"/>
          <w:color w:val="FFFFFF"/>
        </w:rPr>
        <w:t xml:space="preserve"> GUARANTOR INSTITUTION, (BANKS, STOCKBROKERS, SAVINGS AND LOAN ASSOCIATIONS AND CREDIT UNIONS WITH MEMBERSHIP IN AN APPROVED SIGNATURE GUARANTEE MEDALLION PROGRAM), PURSUANT TO S. .C. RULE 17Ad-15.</w:t>
      </w:r>
    </w:p>
    <w:p>
      <w:pPr>
        <w:spacing w:after="0"/>
        <w:rPr>
          <w:sz w:val="20"/>
          <w:szCs w:val="20"/>
          <w:color w:val="auto"/>
        </w:rPr>
      </w:pPr>
      <w:r>
        <w:rPr>
          <w:rFonts w:ascii="Arial" w:cs="Arial" w:eastAsia="Arial" w:hAnsi="Arial"/>
          <w:sz w:val="10"/>
          <w:szCs w:val="10"/>
          <w:color w:val="FFFFFF"/>
        </w:rPr>
        <w:t>NOTICE: The signature to this assignment must correspond with the name as written upon the face of the certificate in every particular without alteration or enlargement or any change whatsoever.</w:t>
      </w:r>
    </w:p>
    <w:p>
      <w:pPr>
        <w:sectPr>
          <w:pgSz w:w="11900" w:h="16838" w:orient="portrait"/>
          <w:cols w:equalWidth="0" w:num="1">
            <w:col w:w="10900"/>
          </w:cols>
          <w:pgMar w:left="300" w:top="1440" w:right="699" w:bottom="1440" w:gutter="0" w:footer="0" w:header="0"/>
        </w:sectPr>
      </w:pPr>
    </w:p>
    <w:bookmarkStart w:id="57" w:name="page58"/>
    <w:bookmarkEnd w:id="57"/>
    <w:p>
      <w:pPr>
        <w:jc w:val="right"/>
        <w:ind w:right="379"/>
        <w:spacing w:after="0"/>
        <w:rPr>
          <w:sz w:val="20"/>
          <w:szCs w:val="20"/>
          <w:color w:val="auto"/>
        </w:rPr>
      </w:pPr>
      <w:r>
        <w:rPr>
          <w:rFonts w:ascii="Arial" w:cs="Arial" w:eastAsia="Arial" w:hAnsi="Arial"/>
          <w:sz w:val="14"/>
          <w:szCs w:val="14"/>
          <w:b w:val="1"/>
          <w:bCs w:val="1"/>
          <w:color w:val="auto"/>
        </w:rPr>
        <w:t>EXHIBIT 10.3</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LOCK-UP AGREEMENT</w:t>
      </w:r>
    </w:p>
    <w:p>
      <w:pPr>
        <w:spacing w:after="0" w:line="166" w:lineRule="exact"/>
        <w:rPr>
          <w:sz w:val="20"/>
          <w:szCs w:val="20"/>
          <w:color w:val="auto"/>
        </w:rPr>
      </w:pPr>
    </w:p>
    <w:p>
      <w:pPr>
        <w:jc w:val="right"/>
        <w:ind w:right="379"/>
        <w:spacing w:after="0"/>
        <w:rPr>
          <w:sz w:val="20"/>
          <w:szCs w:val="20"/>
          <w:color w:val="auto"/>
        </w:rPr>
      </w:pPr>
      <w:r>
        <w:rPr>
          <w:rFonts w:ascii="Arial" w:cs="Arial" w:eastAsia="Arial" w:hAnsi="Arial"/>
          <w:sz w:val="14"/>
          <w:szCs w:val="14"/>
          <w:color w:val="auto"/>
        </w:rPr>
        <w:t>___, 2020</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Kensington Capital Acquisition Corp.</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1400 Old Country Road, Suite 301</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Westbury, NY 11590</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Attention: Justin Mirro</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Ladies and Gentlemen:</w:t>
      </w:r>
    </w:p>
    <w:p>
      <w:pPr>
        <w:spacing w:after="0" w:line="164" w:lineRule="exact"/>
        <w:rPr>
          <w:sz w:val="20"/>
          <w:szCs w:val="20"/>
          <w:color w:val="auto"/>
        </w:rPr>
      </w:pPr>
    </w:p>
    <w:p>
      <w:pPr>
        <w:ind w:left="360" w:right="419"/>
        <w:spacing w:after="0" w:line="294" w:lineRule="auto"/>
        <w:rPr>
          <w:sz w:val="20"/>
          <w:szCs w:val="20"/>
          <w:color w:val="auto"/>
        </w:rPr>
      </w:pPr>
      <w:r>
        <w:rPr>
          <w:rFonts w:ascii="Arial" w:cs="Arial" w:eastAsia="Arial" w:hAnsi="Arial"/>
          <w:sz w:val="12"/>
          <w:szCs w:val="12"/>
          <w:color w:val="auto"/>
        </w:rPr>
        <w:t>The undersigned signatory of this lock-up agreement (this “</w:t>
      </w:r>
      <w:r>
        <w:rPr>
          <w:rFonts w:ascii="Arial" w:cs="Arial" w:eastAsia="Arial" w:hAnsi="Arial"/>
          <w:sz w:val="12"/>
          <w:szCs w:val="12"/>
          <w:b w:val="1"/>
          <w:bCs w:val="1"/>
          <w:i w:val="1"/>
          <w:iCs w:val="1"/>
          <w:color w:val="auto"/>
        </w:rPr>
        <w:t>Letter Agreement</w:t>
      </w:r>
      <w:r>
        <w:rPr>
          <w:rFonts w:ascii="Arial" w:cs="Arial" w:eastAsia="Arial" w:hAnsi="Arial"/>
          <w:sz w:val="12"/>
          <w:szCs w:val="12"/>
          <w:color w:val="auto"/>
        </w:rPr>
        <w:t>”) understands that Kensington Capital Acquisition Corp., a Delaware corporation (“</w:t>
      </w:r>
      <w:r>
        <w:rPr>
          <w:rFonts w:ascii="Arial" w:cs="Arial" w:eastAsia="Arial" w:hAnsi="Arial"/>
          <w:sz w:val="12"/>
          <w:szCs w:val="12"/>
          <w:b w:val="1"/>
          <w:bCs w:val="1"/>
          <w:i w:val="1"/>
          <w:iCs w:val="1"/>
          <w:color w:val="auto"/>
        </w:rPr>
        <w:t>KCAC</w:t>
      </w:r>
      <w:r>
        <w:rPr>
          <w:rFonts w:ascii="Arial" w:cs="Arial" w:eastAsia="Arial" w:hAnsi="Arial"/>
          <w:sz w:val="12"/>
          <w:szCs w:val="12"/>
          <w:color w:val="auto"/>
        </w:rPr>
        <w:t>”), has entered into the Business Combination Agreement (as the same may be amended from time to time, the “</w:t>
      </w:r>
      <w:r>
        <w:rPr>
          <w:rFonts w:ascii="Arial" w:cs="Arial" w:eastAsia="Arial" w:hAnsi="Arial"/>
          <w:sz w:val="12"/>
          <w:szCs w:val="12"/>
          <w:b w:val="1"/>
          <w:bCs w:val="1"/>
          <w:i w:val="1"/>
          <w:iCs w:val="1"/>
          <w:color w:val="auto"/>
        </w:rPr>
        <w:t>BCA</w:t>
      </w:r>
      <w:r>
        <w:rPr>
          <w:rFonts w:ascii="Arial" w:cs="Arial" w:eastAsia="Arial" w:hAnsi="Arial"/>
          <w:sz w:val="12"/>
          <w:szCs w:val="12"/>
          <w:color w:val="auto"/>
        </w:rPr>
        <w:t>”), dated as of September 2, 2020, with Kensington Merger Sub Corporation, a Delaware corporation and a wholly-owned subsidiary of KCAC (“</w:t>
      </w:r>
      <w:r>
        <w:rPr>
          <w:rFonts w:ascii="Arial" w:cs="Arial" w:eastAsia="Arial" w:hAnsi="Arial"/>
          <w:sz w:val="12"/>
          <w:szCs w:val="12"/>
          <w:b w:val="1"/>
          <w:bCs w:val="1"/>
          <w:i w:val="1"/>
          <w:iCs w:val="1"/>
          <w:color w:val="auto"/>
        </w:rPr>
        <w:t>Merger Sub</w:t>
      </w:r>
      <w:r>
        <w:rPr>
          <w:rFonts w:ascii="Arial" w:cs="Arial" w:eastAsia="Arial" w:hAnsi="Arial"/>
          <w:sz w:val="12"/>
          <w:szCs w:val="12"/>
          <w:color w:val="auto"/>
        </w:rPr>
        <w:t>”), and QuantumScape Corporation, a Delaware corporation (the “</w:t>
      </w:r>
      <w:r>
        <w:rPr>
          <w:rFonts w:ascii="Arial" w:cs="Arial" w:eastAsia="Arial" w:hAnsi="Arial"/>
          <w:sz w:val="12"/>
          <w:szCs w:val="12"/>
          <w:b w:val="1"/>
          <w:bCs w:val="1"/>
          <w:i w:val="1"/>
          <w:iCs w:val="1"/>
          <w:color w:val="auto"/>
        </w:rPr>
        <w:t>Company</w:t>
      </w:r>
      <w:r>
        <w:rPr>
          <w:rFonts w:ascii="Arial" w:cs="Arial" w:eastAsia="Arial" w:hAnsi="Arial"/>
          <w:sz w:val="12"/>
          <w:szCs w:val="12"/>
          <w:color w:val="auto"/>
        </w:rPr>
        <w:t>”), pursuant to which, among other things, Merger Sub will merge with and into the Company, with the Company continuing as the surviving entity (the “</w:t>
      </w:r>
      <w:r>
        <w:rPr>
          <w:rFonts w:ascii="Arial" w:cs="Arial" w:eastAsia="Arial" w:hAnsi="Arial"/>
          <w:sz w:val="12"/>
          <w:szCs w:val="12"/>
          <w:b w:val="1"/>
          <w:bCs w:val="1"/>
          <w:i w:val="1"/>
          <w:iCs w:val="1"/>
          <w:color w:val="auto"/>
        </w:rPr>
        <w:t>Merger</w:t>
      </w:r>
      <w:r>
        <w:rPr>
          <w:rFonts w:ascii="Arial" w:cs="Arial" w:eastAsia="Arial" w:hAnsi="Arial"/>
          <w:sz w:val="12"/>
          <w:szCs w:val="12"/>
          <w:color w:val="auto"/>
        </w:rPr>
        <w:t>”) and as a wholly-owned subsidiary of KCAC, upon the terms and subject to the conditions set forth in the BCA and in accordance with applicable law (the “</w:t>
      </w:r>
      <w:r>
        <w:rPr>
          <w:rFonts w:ascii="Arial" w:cs="Arial" w:eastAsia="Arial" w:hAnsi="Arial"/>
          <w:sz w:val="12"/>
          <w:szCs w:val="12"/>
          <w:b w:val="1"/>
          <w:bCs w:val="1"/>
          <w:i w:val="1"/>
          <w:iCs w:val="1"/>
          <w:color w:val="auto"/>
        </w:rPr>
        <w:t>Effective Time</w:t>
      </w:r>
      <w:r>
        <w:rPr>
          <w:rFonts w:ascii="Arial" w:cs="Arial" w:eastAsia="Arial" w:hAnsi="Arial"/>
          <w:sz w:val="12"/>
          <w:szCs w:val="12"/>
          <w:color w:val="auto"/>
        </w:rPr>
        <w:t>”).</w:t>
      </w:r>
    </w:p>
    <w:p>
      <w:pPr>
        <w:spacing w:after="0" w:line="122" w:lineRule="exact"/>
        <w:rPr>
          <w:sz w:val="20"/>
          <w:szCs w:val="20"/>
          <w:color w:val="auto"/>
        </w:rPr>
      </w:pPr>
    </w:p>
    <w:p>
      <w:pPr>
        <w:ind w:left="360" w:right="399"/>
        <w:spacing w:after="0" w:line="342" w:lineRule="auto"/>
        <w:rPr>
          <w:sz w:val="20"/>
          <w:szCs w:val="20"/>
          <w:color w:val="auto"/>
        </w:rPr>
      </w:pPr>
      <w:r>
        <w:rPr>
          <w:rFonts w:ascii="Arial" w:cs="Arial" w:eastAsia="Arial" w:hAnsi="Arial"/>
          <w:sz w:val="12"/>
          <w:szCs w:val="12"/>
          <w:color w:val="auto"/>
        </w:rPr>
        <w:t>As a material inducement to the parties to consummate the Merger and the other transactions contemplated by the BCA, and for other good and valuable consideration, the receipt and sufficiency of which is hereby acknowledged, the undersigned agrees that as follows:</w:t>
      </w:r>
    </w:p>
    <w:p>
      <w:pPr>
        <w:spacing w:after="0" w:line="206" w:lineRule="exact"/>
        <w:rPr>
          <w:sz w:val="20"/>
          <w:szCs w:val="20"/>
          <w:color w:val="auto"/>
        </w:rPr>
      </w:pPr>
    </w:p>
    <w:p>
      <w:pPr>
        <w:ind w:left="680" w:hanging="317"/>
        <w:spacing w:after="0"/>
        <w:tabs>
          <w:tab w:leader="none" w:pos="680"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Definitions</w:t>
      </w:r>
    </w:p>
    <w:p>
      <w:pPr>
        <w:spacing w:after="0" w:line="92" w:lineRule="exact"/>
        <w:rPr>
          <w:rFonts w:ascii="Arial" w:cs="Arial" w:eastAsia="Arial" w:hAnsi="Arial"/>
          <w:sz w:val="14"/>
          <w:szCs w:val="14"/>
          <w:color w:val="auto"/>
        </w:rPr>
      </w:pPr>
    </w:p>
    <w:p>
      <w:pPr>
        <w:ind w:left="1100" w:right="579" w:hanging="412"/>
        <w:spacing w:after="0" w:line="302" w:lineRule="auto"/>
        <w:tabs>
          <w:tab w:leader="none" w:pos="11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Change in Control</w:t>
      </w:r>
      <w:r>
        <w:rPr>
          <w:rFonts w:ascii="Arial" w:cs="Arial" w:eastAsia="Arial" w:hAnsi="Arial"/>
          <w:sz w:val="12"/>
          <w:szCs w:val="12"/>
          <w:color w:val="auto"/>
        </w:rPr>
        <w:t>” means the transfer (whether by tender offer, merger, stock purchase, consolidation or other similar transaction), in one transaction or a series of related transactions, to a person or group of affiliated persons of KCAC’s voting securities if, after such transfer, such person or group of affiliated persons would hold more than 50% of outstanding voting securities of KCAC (or surviving entity) or would otherwise have the power to control the board of directors of KCAC or to direct the operations of KCAC.</w:t>
      </w:r>
    </w:p>
    <w:p>
      <w:pPr>
        <w:spacing w:after="0" w:line="46" w:lineRule="exact"/>
        <w:rPr>
          <w:rFonts w:ascii="Arial" w:cs="Arial" w:eastAsia="Arial" w:hAnsi="Arial"/>
          <w:sz w:val="12"/>
          <w:szCs w:val="12"/>
          <w:color w:val="auto"/>
        </w:rPr>
      </w:pPr>
    </w:p>
    <w:p>
      <w:pPr>
        <w:ind w:left="1100" w:right="799" w:hanging="412"/>
        <w:spacing w:after="0" w:line="259" w:lineRule="auto"/>
        <w:tabs>
          <w:tab w:leader="none" w:pos="1100" w:val="left"/>
        </w:tabs>
        <w:numPr>
          <w:ilvl w:val="1"/>
          <w:numId w:val="5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KCAC Common Stock</w:t>
      </w:r>
      <w:r>
        <w:rPr>
          <w:rFonts w:ascii="Arial" w:cs="Arial" w:eastAsia="Arial" w:hAnsi="Arial"/>
          <w:sz w:val="14"/>
          <w:szCs w:val="14"/>
          <w:color w:val="auto"/>
        </w:rPr>
        <w:t>” shall mean any shares of Class A common stock or Class B common stock of KCAC as in effect upon the consummation of the Merger.</w:t>
      </w:r>
    </w:p>
    <w:p>
      <w:pPr>
        <w:spacing w:after="0" w:line="68" w:lineRule="exact"/>
        <w:rPr>
          <w:rFonts w:ascii="Arial" w:cs="Arial" w:eastAsia="Arial" w:hAnsi="Arial"/>
          <w:sz w:val="14"/>
          <w:szCs w:val="14"/>
          <w:color w:val="auto"/>
        </w:rPr>
      </w:pPr>
    </w:p>
    <w:p>
      <w:pPr>
        <w:ind w:left="1100" w:right="479" w:hanging="412"/>
        <w:spacing w:after="0" w:line="294" w:lineRule="auto"/>
        <w:tabs>
          <w:tab w:leader="none" w:pos="1100" w:val="left"/>
        </w:tabs>
        <w:numPr>
          <w:ilvl w:val="1"/>
          <w:numId w:val="5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Lock-up Period</w:t>
      </w:r>
      <w:r>
        <w:rPr>
          <w:rFonts w:ascii="Arial" w:cs="Arial" w:eastAsia="Arial" w:hAnsi="Arial"/>
          <w:sz w:val="12"/>
          <w:szCs w:val="12"/>
          <w:color w:val="auto"/>
        </w:rPr>
        <w:t>” shall mean the period commencing upon the Effective Time and ending on the earliest of (i) the date that is 180 days from the Effective Time, (ii) the last consecutive trading day where the sale price of the KCAC Common Stock equals or exceeds $12.00 per share (as adjusted for stock splits, stock dividends, reorganizations, recapitalizations and the like) for any 20 trading days within any 30-trading day period commencing at least 150 days after the Effective Time, or (iii) such date on which KCAC completes a liquidation, merger, stock exchange or other similar transaction that results in all of KCAC’s stockholders having the right to exchange their shares of KCAC Common Stock for cash, securities or other property.</w:t>
      </w:r>
    </w:p>
    <w:p>
      <w:pPr>
        <w:sectPr>
          <w:pgSz w:w="11900" w:h="16838" w:orient="portrait"/>
          <w:cols w:equalWidth="0" w:num="1">
            <w:col w:w="9019"/>
          </w:cols>
          <w:pgMar w:left="1440" w:top="127" w:right="1440" w:bottom="1440" w:gutter="0" w:footer="0" w:header="0"/>
        </w:sectPr>
      </w:pPr>
    </w:p>
    <w:bookmarkStart w:id="58" w:name="page59"/>
    <w:bookmarkEnd w:id="58"/>
    <w:p>
      <w:pPr>
        <w:ind w:left="1100" w:right="379" w:hanging="412"/>
        <w:spacing w:after="0" w:line="291" w:lineRule="auto"/>
        <w:tabs>
          <w:tab w:leader="none" w:pos="1100" w:val="left"/>
        </w:tabs>
        <w:numPr>
          <w:ilvl w:val="1"/>
          <w:numId w:val="55"/>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shall mean the shares of (1) KCAC Common Stock owned of record or beneficially by the undersigned as of the Effective Time, including KCAC Common Stock issued to the undersigned pursuant to the BCA, plus (2) KCAC Common Stock which may be issued upon exercise of a stock option or warrant or upon settlement of any restricted stock units or other convertible or exercisable security owned of record or beneficially by the undersigned as of the Effective Time, plus (3) KCAC Common Stock granted or issued by KCAC to the undersigned following the Effective Time, plus (4) KCAC Common Stock which may be issued upon exercise of a stock option or warrant or upon settlement of any restricted stock units or other convertible or exercisable security granted or issued by KCAC to the undersigned following the Effective Time. For the avoidance of doubt, “</w:t>
      </w:r>
      <w:r>
        <w:rPr>
          <w:rFonts w:ascii="Arial" w:cs="Arial" w:eastAsia="Arial" w:hAnsi="Arial"/>
          <w:sz w:val="12"/>
          <w:szCs w:val="12"/>
          <w:b w:val="1"/>
          <w:bCs w:val="1"/>
          <w:i w:val="1"/>
          <w:iCs w:val="1"/>
          <w:color w:val="auto"/>
        </w:rPr>
        <w:t>Shares</w:t>
      </w:r>
      <w:r>
        <w:rPr>
          <w:rFonts w:ascii="Arial" w:cs="Arial" w:eastAsia="Arial" w:hAnsi="Arial"/>
          <w:sz w:val="12"/>
          <w:szCs w:val="12"/>
          <w:color w:val="auto"/>
        </w:rPr>
        <w:t>” shall not include KCAC Common Stock acquired on the open market or under the KCAC Employee Stock Purchase Plan following the Effective Time.</w:t>
      </w:r>
    </w:p>
    <w:p>
      <w:pPr>
        <w:spacing w:after="0" w:line="51" w:lineRule="exact"/>
        <w:rPr>
          <w:rFonts w:ascii="Arial" w:cs="Arial" w:eastAsia="Arial" w:hAnsi="Arial"/>
          <w:sz w:val="12"/>
          <w:szCs w:val="12"/>
          <w:color w:val="auto"/>
        </w:rPr>
      </w:pPr>
    </w:p>
    <w:p>
      <w:pPr>
        <w:ind w:left="1100" w:right="379" w:hanging="412"/>
        <w:spacing w:after="0" w:line="292" w:lineRule="auto"/>
        <w:tabs>
          <w:tab w:leader="none" w:pos="1100" w:val="left"/>
        </w:tabs>
        <w:numPr>
          <w:ilvl w:val="1"/>
          <w:numId w:val="5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Transfer</w:t>
      </w:r>
      <w:r>
        <w:rPr>
          <w:rFonts w:ascii="Arial" w:cs="Arial" w:eastAsia="Arial" w:hAnsi="Arial"/>
          <w:sz w:val="12"/>
          <w:szCs w:val="12"/>
          <w:color w:val="auto"/>
        </w:rPr>
        <w:t>” shall mean the (a) sale, transfer, hypothecation, pledge, grant of any option to purchase or other disposition of, offer to sell, contract or agreement to sell, transfer, hypothecate, pledge, grant of any option to purchase or otherwise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of the Shares, (b) entry into any swap or other arrangement that transfers to another, in whole or in part, any of the economic consequences of ownership of any of the Shares, whether any such transaction is to be settled by delivery of such securities, in cash or otherwise, or (c) public announcement of any intention to effect any transaction specified in clause (a) or (b).</w:t>
      </w:r>
    </w:p>
    <w:p>
      <w:pPr>
        <w:spacing w:after="0" w:line="52" w:lineRule="exact"/>
        <w:rPr>
          <w:rFonts w:ascii="Arial" w:cs="Arial" w:eastAsia="Arial" w:hAnsi="Arial"/>
          <w:sz w:val="12"/>
          <w:szCs w:val="12"/>
          <w:color w:val="auto"/>
        </w:rPr>
      </w:pPr>
    </w:p>
    <w:p>
      <w:pPr>
        <w:ind w:left="680" w:right="619" w:hanging="317"/>
        <w:spacing w:after="0" w:line="259" w:lineRule="auto"/>
        <w:tabs>
          <w:tab w:leader="none" w:pos="680"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Lock-up Restrictions</w:t>
      </w:r>
      <w:r>
        <w:rPr>
          <w:rFonts w:ascii="Arial" w:cs="Arial" w:eastAsia="Arial" w:hAnsi="Arial"/>
          <w:sz w:val="14"/>
          <w:szCs w:val="14"/>
          <w:color w:val="auto"/>
        </w:rPr>
        <w:t>. Subject to the exceptions set forth in this Letter Agreement, without the unanimous approval of the board of directors of KCAC (the “</w:t>
      </w:r>
      <w:r>
        <w:rPr>
          <w:rFonts w:ascii="Arial" w:cs="Arial" w:eastAsia="Arial" w:hAnsi="Arial"/>
          <w:sz w:val="14"/>
          <w:szCs w:val="14"/>
          <w:b w:val="1"/>
          <w:bCs w:val="1"/>
          <w:i w:val="1"/>
          <w:iCs w:val="1"/>
          <w:color w:val="auto"/>
        </w:rPr>
        <w:t>Board</w:t>
      </w:r>
      <w:r>
        <w:rPr>
          <w:rFonts w:ascii="Arial" w:cs="Arial" w:eastAsia="Arial" w:hAnsi="Arial"/>
          <w:sz w:val="14"/>
          <w:szCs w:val="14"/>
          <w:color w:val="auto"/>
        </w:rPr>
        <w:t>”), the undersigned will not Transfer any of the Shares during the Lock-up Period.</w:t>
      </w:r>
    </w:p>
    <w:p>
      <w:pPr>
        <w:spacing w:after="0" w:line="68" w:lineRule="exact"/>
        <w:rPr>
          <w:rFonts w:ascii="Arial" w:cs="Arial" w:eastAsia="Arial" w:hAnsi="Arial"/>
          <w:sz w:val="14"/>
          <w:szCs w:val="14"/>
          <w:color w:val="auto"/>
        </w:rPr>
      </w:pPr>
    </w:p>
    <w:p>
      <w:pPr>
        <w:ind w:left="680" w:hanging="317"/>
        <w:spacing w:after="0"/>
        <w:tabs>
          <w:tab w:leader="none" w:pos="680"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Exceptions</w:t>
      </w:r>
      <w:r>
        <w:rPr>
          <w:rFonts w:ascii="Arial" w:cs="Arial" w:eastAsia="Arial" w:hAnsi="Arial"/>
          <w:sz w:val="14"/>
          <w:szCs w:val="14"/>
          <w:color w:val="auto"/>
        </w:rPr>
        <w:t>. The provisions of Section 2 shall not apply to:</w:t>
      </w:r>
    </w:p>
    <w:p>
      <w:pPr>
        <w:spacing w:after="0" w:line="92" w:lineRule="exact"/>
        <w:rPr>
          <w:rFonts w:ascii="Arial" w:cs="Arial" w:eastAsia="Arial" w:hAnsi="Arial"/>
          <w:sz w:val="14"/>
          <w:szCs w:val="14"/>
          <w:color w:val="auto"/>
        </w:rPr>
      </w:pPr>
    </w:p>
    <w:p>
      <w:pPr>
        <w:ind w:left="1420" w:right="539" w:hanging="316"/>
        <w:spacing w:after="0" w:line="259" w:lineRule="auto"/>
        <w:tabs>
          <w:tab w:leader="none" w:pos="1420" w:val="left"/>
        </w:tabs>
        <w:numPr>
          <w:ilvl w:val="2"/>
          <w:numId w:val="56"/>
        </w:numPr>
        <w:rPr>
          <w:rFonts w:ascii="Arial" w:cs="Arial" w:eastAsia="Arial" w:hAnsi="Arial"/>
          <w:sz w:val="14"/>
          <w:szCs w:val="14"/>
          <w:color w:val="auto"/>
        </w:rPr>
      </w:pPr>
      <w:r>
        <w:rPr>
          <w:rFonts w:ascii="Arial" w:cs="Arial" w:eastAsia="Arial" w:hAnsi="Arial"/>
          <w:sz w:val="14"/>
          <w:szCs w:val="14"/>
          <w:color w:val="auto"/>
        </w:rPr>
        <w:t>transactions relating to shares of KCAC Common Stock acquired in open market transactions or from KCAC pursuant to KCAC’s Employee Stock Purchase Plan;</w:t>
      </w:r>
    </w:p>
    <w:p>
      <w:pPr>
        <w:spacing w:after="0" w:line="68" w:lineRule="exact"/>
        <w:rPr>
          <w:rFonts w:ascii="Arial" w:cs="Arial" w:eastAsia="Arial" w:hAnsi="Arial"/>
          <w:sz w:val="14"/>
          <w:szCs w:val="14"/>
          <w:color w:val="auto"/>
        </w:rPr>
      </w:pPr>
    </w:p>
    <w:p>
      <w:pPr>
        <w:ind w:left="1420" w:right="559" w:hanging="316"/>
        <w:spacing w:after="0" w:line="259" w:lineRule="auto"/>
        <w:tabs>
          <w:tab w:leader="none" w:pos="1420" w:val="left"/>
        </w:tabs>
        <w:numPr>
          <w:ilvl w:val="2"/>
          <w:numId w:val="56"/>
        </w:numPr>
        <w:rPr>
          <w:rFonts w:ascii="Arial" w:cs="Arial" w:eastAsia="Arial" w:hAnsi="Arial"/>
          <w:sz w:val="14"/>
          <w:szCs w:val="14"/>
          <w:color w:val="auto"/>
        </w:rPr>
      </w:pPr>
      <w:r>
        <w:rPr>
          <w:rFonts w:ascii="Arial" w:cs="Arial" w:eastAsia="Arial" w:hAnsi="Arial"/>
          <w:sz w:val="14"/>
          <w:szCs w:val="14"/>
          <w:color w:val="auto"/>
        </w:rPr>
        <w:t>Transfers of shares of KCAC Common Stock or any security convertible into or exercisable or exchangeable for KCAC Common Stock as a bona fide gift;</w:t>
      </w:r>
    </w:p>
    <w:p>
      <w:pPr>
        <w:spacing w:after="0" w:line="68" w:lineRule="exact"/>
        <w:rPr>
          <w:rFonts w:ascii="Arial" w:cs="Arial" w:eastAsia="Arial" w:hAnsi="Arial"/>
          <w:sz w:val="14"/>
          <w:szCs w:val="14"/>
          <w:color w:val="auto"/>
        </w:rPr>
      </w:pPr>
    </w:p>
    <w:p>
      <w:pPr>
        <w:ind w:left="1420" w:right="399" w:hanging="316"/>
        <w:spacing w:after="0" w:line="312" w:lineRule="auto"/>
        <w:tabs>
          <w:tab w:leader="none" w:pos="1420" w:val="left"/>
        </w:tabs>
        <w:numPr>
          <w:ilvl w:val="2"/>
          <w:numId w:val="56"/>
        </w:numPr>
        <w:rPr>
          <w:rFonts w:ascii="Arial" w:cs="Arial" w:eastAsia="Arial" w:hAnsi="Arial"/>
          <w:sz w:val="12"/>
          <w:szCs w:val="12"/>
          <w:color w:val="auto"/>
        </w:rPr>
      </w:pPr>
      <w:r>
        <w:rPr>
          <w:rFonts w:ascii="Arial" w:cs="Arial" w:eastAsia="Arial" w:hAnsi="Arial"/>
          <w:sz w:val="12"/>
          <w:szCs w:val="12"/>
          <w:color w:val="auto"/>
        </w:rPr>
        <w:t>Transfers of shares of KCAC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spacing w:after="0" w:line="40" w:lineRule="exact"/>
        <w:rPr>
          <w:rFonts w:ascii="Arial" w:cs="Arial" w:eastAsia="Arial" w:hAnsi="Arial"/>
          <w:sz w:val="12"/>
          <w:szCs w:val="12"/>
          <w:color w:val="auto"/>
        </w:rPr>
      </w:pPr>
    </w:p>
    <w:p>
      <w:pPr>
        <w:ind w:left="1420" w:hanging="316"/>
        <w:spacing w:after="0"/>
        <w:tabs>
          <w:tab w:leader="none" w:pos="1420" w:val="left"/>
        </w:tabs>
        <w:numPr>
          <w:ilvl w:val="2"/>
          <w:numId w:val="56"/>
        </w:numPr>
        <w:rPr>
          <w:rFonts w:ascii="Arial" w:cs="Arial" w:eastAsia="Arial" w:hAnsi="Arial"/>
          <w:sz w:val="14"/>
          <w:szCs w:val="14"/>
          <w:color w:val="auto"/>
        </w:rPr>
      </w:pPr>
      <w:r>
        <w:rPr>
          <w:rFonts w:ascii="Arial" w:cs="Arial" w:eastAsia="Arial" w:hAnsi="Arial"/>
          <w:sz w:val="14"/>
          <w:szCs w:val="14"/>
          <w:color w:val="auto"/>
        </w:rPr>
        <w:t>Transfers by will or intestate succession upon the death of the undersigned;</w:t>
      </w:r>
    </w:p>
    <w:p>
      <w:pPr>
        <w:spacing w:after="0" w:line="92" w:lineRule="exact"/>
        <w:rPr>
          <w:rFonts w:ascii="Arial" w:cs="Arial" w:eastAsia="Arial" w:hAnsi="Arial"/>
          <w:sz w:val="14"/>
          <w:szCs w:val="14"/>
          <w:color w:val="auto"/>
        </w:rPr>
      </w:pPr>
    </w:p>
    <w:p>
      <w:pPr>
        <w:ind w:left="1420" w:hanging="316"/>
        <w:spacing w:after="0"/>
        <w:tabs>
          <w:tab w:leader="none" w:pos="1420" w:val="left"/>
        </w:tabs>
        <w:numPr>
          <w:ilvl w:val="2"/>
          <w:numId w:val="56"/>
        </w:numPr>
        <w:rPr>
          <w:rFonts w:ascii="Arial" w:cs="Arial" w:eastAsia="Arial" w:hAnsi="Arial"/>
          <w:sz w:val="12"/>
          <w:szCs w:val="12"/>
          <w:color w:val="auto"/>
        </w:rPr>
      </w:pPr>
      <w:r>
        <w:rPr>
          <w:rFonts w:ascii="Arial" w:cs="Arial" w:eastAsia="Arial" w:hAnsi="Arial"/>
          <w:sz w:val="12"/>
          <w:szCs w:val="12"/>
          <w:color w:val="auto"/>
        </w:rPr>
        <w:t>the Transfer of shares of KCAC Common Stock pursuant to a qualified domestic order or in connection with a divorce settlement;</w:t>
      </w:r>
    </w:p>
    <w:p>
      <w:pPr>
        <w:spacing w:after="0" w:line="115" w:lineRule="exact"/>
        <w:rPr>
          <w:rFonts w:ascii="Arial" w:cs="Arial" w:eastAsia="Arial" w:hAnsi="Arial"/>
          <w:sz w:val="12"/>
          <w:szCs w:val="12"/>
          <w:color w:val="auto"/>
        </w:rPr>
      </w:pPr>
    </w:p>
    <w:p>
      <w:pPr>
        <w:ind w:left="1420" w:right="379" w:hanging="316"/>
        <w:spacing w:after="0" w:line="302" w:lineRule="auto"/>
        <w:tabs>
          <w:tab w:leader="none" w:pos="1420" w:val="left"/>
        </w:tabs>
        <w:numPr>
          <w:ilvl w:val="2"/>
          <w:numId w:val="56"/>
        </w:numPr>
        <w:rPr>
          <w:rFonts w:ascii="Arial" w:cs="Arial" w:eastAsia="Arial" w:hAnsi="Arial"/>
          <w:sz w:val="12"/>
          <w:szCs w:val="12"/>
          <w:color w:val="auto"/>
        </w:rPr>
      </w:pPr>
      <w:r>
        <w:rPr>
          <w:rFonts w:ascii="Arial" w:cs="Arial" w:eastAsia="Arial" w:hAnsi="Arial"/>
          <w:sz w:val="12"/>
          <w:szCs w:val="12"/>
          <w:color w:val="auto"/>
        </w:rPr>
        <w:t>if the undersigned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undersigned, (ii) distributions of shares of KCAC Common Stock to partners, limited liability company members or stockholders of the undersigned;</w:t>
      </w:r>
    </w:p>
    <w:p>
      <w:pPr>
        <w:spacing w:after="0" w:line="46" w:lineRule="exact"/>
        <w:rPr>
          <w:rFonts w:ascii="Arial" w:cs="Arial" w:eastAsia="Arial" w:hAnsi="Arial"/>
          <w:sz w:val="12"/>
          <w:szCs w:val="12"/>
          <w:color w:val="auto"/>
        </w:rPr>
      </w:pPr>
    </w:p>
    <w:p>
      <w:pPr>
        <w:ind w:left="1420" w:hanging="316"/>
        <w:spacing w:after="0"/>
        <w:tabs>
          <w:tab w:leader="none" w:pos="1420" w:val="left"/>
        </w:tabs>
        <w:numPr>
          <w:ilvl w:val="2"/>
          <w:numId w:val="56"/>
        </w:numPr>
        <w:rPr>
          <w:rFonts w:ascii="Arial" w:cs="Arial" w:eastAsia="Arial" w:hAnsi="Arial"/>
          <w:sz w:val="14"/>
          <w:szCs w:val="14"/>
          <w:color w:val="auto"/>
        </w:rPr>
      </w:pPr>
      <w:r>
        <w:rPr>
          <w:rFonts w:ascii="Arial" w:cs="Arial" w:eastAsia="Arial" w:hAnsi="Arial"/>
          <w:sz w:val="14"/>
          <w:szCs w:val="14"/>
          <w:color w:val="auto"/>
        </w:rPr>
        <w:t>Transfers to KCAC’s officers, directors or their affiliates;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0" w:right="1440" w:bottom="1440" w:gutter="0" w:footer="0" w:header="0"/>
        </w:sectPr>
      </w:pPr>
    </w:p>
    <w:bookmarkStart w:id="59" w:name="page60"/>
    <w:bookmarkEnd w:id="59"/>
    <w:p>
      <w:pPr>
        <w:ind w:left="1420" w:right="479" w:hanging="316"/>
        <w:spacing w:after="0" w:line="250" w:lineRule="auto"/>
        <w:tabs>
          <w:tab w:leader="none" w:pos="1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pledges of shares of KCAC Common Stock as security or collateral in connection with any borrowing or the incurrence of any indebtedness by the undersigned;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borrowing or incurrence of indebtedness is secured by a portfolio of assets or equity interests issued by multiple issuers;</w:t>
      </w:r>
    </w:p>
    <w:p>
      <w:pPr>
        <w:spacing w:after="0" w:line="75" w:lineRule="exact"/>
        <w:rPr>
          <w:rFonts w:ascii="Arial" w:cs="Arial" w:eastAsia="Arial" w:hAnsi="Arial"/>
          <w:sz w:val="14"/>
          <w:szCs w:val="14"/>
          <w:color w:val="auto"/>
        </w:rPr>
      </w:pPr>
    </w:p>
    <w:p>
      <w:pPr>
        <w:ind w:left="1420" w:right="539" w:hanging="316"/>
        <w:spacing w:after="0" w:line="302" w:lineRule="auto"/>
        <w:tabs>
          <w:tab w:leader="none" w:pos="1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 xml:space="preserve">Transfers pursuant to a bona fide third-party tender offer, merger, stock sale, recapitalization, consolidation or other transaction involving a Change in Control of KCAC that occurs after the Effective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that such tender offer, merger, recapitalization, consolidation or other such transaction is not completed, the KCAC Common Stock subject to this Letter Agreement shall remain subject to this Letter Agreement;</w:t>
      </w:r>
    </w:p>
    <w:p>
      <w:pPr>
        <w:spacing w:after="0" w:line="46" w:lineRule="exact"/>
        <w:rPr>
          <w:rFonts w:ascii="Arial" w:cs="Arial" w:eastAsia="Arial" w:hAnsi="Arial"/>
          <w:sz w:val="12"/>
          <w:szCs w:val="12"/>
          <w:color w:val="auto"/>
        </w:rPr>
      </w:pPr>
    </w:p>
    <w:p>
      <w:pPr>
        <w:ind w:left="1420" w:right="419" w:hanging="316"/>
        <w:spacing w:after="0" w:line="250" w:lineRule="auto"/>
        <w:tabs>
          <w:tab w:leader="none" w:pos="14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the establishment of a trading plan pursuant to Rule 10b5-1 promulgated under the Exchange 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such plan does not provide for the transfer of KCAC Common Stock or any securities convertible into or exercisable or exchangeable for KCAC Common Stock during the Lock-Up Period;</w:t>
      </w:r>
    </w:p>
    <w:p>
      <w:pPr>
        <w:spacing w:after="0" w:line="75" w:lineRule="exact"/>
        <w:rPr>
          <w:rFonts w:ascii="Arial" w:cs="Arial" w:eastAsia="Arial" w:hAnsi="Arial"/>
          <w:sz w:val="14"/>
          <w:szCs w:val="14"/>
          <w:color w:val="auto"/>
        </w:rPr>
      </w:pPr>
    </w:p>
    <w:p>
      <w:pPr>
        <w:ind w:left="1420" w:right="619" w:hanging="316"/>
        <w:spacing w:after="0" w:line="342" w:lineRule="auto"/>
        <w:tabs>
          <w:tab w:leader="none" w:pos="1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Transfers to satisfy tax withholding obligations in connection with the exercise of options to purchase shares of KCAC Common Stock or the vesting of stock-based awards (provided such newly acquired shares are substituted for such Shares); and</w:t>
      </w:r>
    </w:p>
    <w:p>
      <w:pPr>
        <w:spacing w:after="0" w:line="22" w:lineRule="exact"/>
        <w:rPr>
          <w:rFonts w:ascii="Arial" w:cs="Arial" w:eastAsia="Arial" w:hAnsi="Arial"/>
          <w:sz w:val="12"/>
          <w:szCs w:val="12"/>
          <w:color w:val="auto"/>
        </w:rPr>
      </w:pPr>
    </w:p>
    <w:p>
      <w:pPr>
        <w:ind w:left="1420" w:right="459" w:hanging="316"/>
        <w:spacing w:after="0" w:line="342" w:lineRule="auto"/>
        <w:tabs>
          <w:tab w:leader="none" w:pos="14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Transfers in payment on a “net exercise” or “cashless” basis of the exercise or purchase price with respect to the exercise of options to purchase shares of KCAC Common Stock (provided such newly acquired shares are substituted for such Shares);</w:t>
      </w:r>
    </w:p>
    <w:p>
      <w:pPr>
        <w:spacing w:after="0" w:line="94" w:lineRule="exact"/>
        <w:rPr>
          <w:sz w:val="20"/>
          <w:szCs w:val="20"/>
          <w:color w:val="auto"/>
        </w:rPr>
      </w:pPr>
    </w:p>
    <w:p>
      <w:pPr>
        <w:ind w:left="360" w:right="719"/>
        <w:spacing w:after="0" w:line="342" w:lineRule="auto"/>
        <w:rPr>
          <w:sz w:val="20"/>
          <w:szCs w:val="20"/>
          <w:color w:val="auto"/>
        </w:rPr>
      </w:pP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in the case of any Transfer pursuant to </w:t>
      </w:r>
      <w:r>
        <w:rPr>
          <w:rFonts w:ascii="Arial" w:cs="Arial" w:eastAsia="Arial" w:hAnsi="Arial"/>
          <w:sz w:val="12"/>
          <w:szCs w:val="12"/>
          <w:u w:val="single" w:color="auto"/>
          <w:color w:val="auto"/>
        </w:rPr>
        <w:t>Sections 3(b)</w:t>
      </w:r>
      <w:r>
        <w:rPr>
          <w:rFonts w:ascii="Arial" w:cs="Arial" w:eastAsia="Arial" w:hAnsi="Arial"/>
          <w:sz w:val="12"/>
          <w:szCs w:val="12"/>
          <w:color w:val="auto"/>
        </w:rPr>
        <w:t xml:space="preserve"> through </w:t>
      </w:r>
      <w:r>
        <w:rPr>
          <w:rFonts w:ascii="Arial" w:cs="Arial" w:eastAsia="Arial" w:hAnsi="Arial"/>
          <w:sz w:val="12"/>
          <w:szCs w:val="12"/>
          <w:u w:val="single" w:color="auto"/>
          <w:color w:val="auto"/>
        </w:rPr>
        <w:t>3(g)</w:t>
      </w:r>
      <w:r>
        <w:rPr>
          <w:rFonts w:ascii="Arial" w:cs="Arial" w:eastAsia="Arial" w:hAnsi="Arial"/>
          <w:sz w:val="12"/>
          <w:szCs w:val="12"/>
          <w:color w:val="auto"/>
        </w:rPr>
        <w:t>, each donee, distributee or other transferee shall agree in writing, in form and substance reasonably satisfactory to KCAC, to be bound by the provisions of this Letter Agreement.</w:t>
      </w:r>
    </w:p>
    <w:p>
      <w:pPr>
        <w:spacing w:after="0" w:line="23" w:lineRule="exact"/>
        <w:rPr>
          <w:sz w:val="20"/>
          <w:szCs w:val="20"/>
          <w:color w:val="auto"/>
        </w:rPr>
      </w:pPr>
    </w:p>
    <w:p>
      <w:pPr>
        <w:ind w:left="680" w:hanging="317"/>
        <w:spacing w:after="0"/>
        <w:tabs>
          <w:tab w:leader="none" w:pos="680"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w:t>
      </w:r>
    </w:p>
    <w:p>
      <w:pPr>
        <w:spacing w:after="0" w:line="92" w:lineRule="exact"/>
        <w:rPr>
          <w:rFonts w:ascii="Arial" w:cs="Arial" w:eastAsia="Arial" w:hAnsi="Arial"/>
          <w:sz w:val="14"/>
          <w:szCs w:val="14"/>
          <w:color w:val="auto"/>
        </w:rPr>
      </w:pPr>
    </w:p>
    <w:p>
      <w:pPr>
        <w:ind w:left="1100" w:right="419" w:hanging="412"/>
        <w:spacing w:after="0" w:line="259" w:lineRule="auto"/>
        <w:tabs>
          <w:tab w:leader="none" w:pos="11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The undersigned hereby represents and warrants that the undersigned has full right and power, without violating any agreement to which it is bound, to enter into this Letter Agreement.</w:t>
      </w:r>
    </w:p>
    <w:p>
      <w:pPr>
        <w:spacing w:after="0" w:line="68" w:lineRule="exact"/>
        <w:rPr>
          <w:rFonts w:ascii="Arial" w:cs="Arial" w:eastAsia="Arial" w:hAnsi="Arial"/>
          <w:sz w:val="14"/>
          <w:szCs w:val="14"/>
          <w:color w:val="auto"/>
        </w:rPr>
      </w:pPr>
    </w:p>
    <w:p>
      <w:pPr>
        <w:ind w:left="1100" w:right="439" w:hanging="412"/>
        <w:spacing w:after="0" w:line="245" w:lineRule="auto"/>
        <w:tabs>
          <w:tab w:leader="none" w:pos="11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 Notwithstanding the foregoing, the Board may waive the restrictions contained in this Letter Agreement in its sole discretion.</w:t>
      </w:r>
    </w:p>
    <w:p>
      <w:pPr>
        <w:spacing w:after="0" w:line="79" w:lineRule="exact"/>
        <w:rPr>
          <w:rFonts w:ascii="Arial" w:cs="Arial" w:eastAsia="Arial" w:hAnsi="Arial"/>
          <w:sz w:val="14"/>
          <w:szCs w:val="14"/>
          <w:color w:val="auto"/>
        </w:rPr>
      </w:pPr>
    </w:p>
    <w:p>
      <w:pPr>
        <w:ind w:left="1100" w:right="399" w:hanging="412"/>
        <w:spacing w:after="0" w:line="247" w:lineRule="auto"/>
        <w:tabs>
          <w:tab w:leader="none" w:pos="1100" w:val="left"/>
        </w:tabs>
        <w:numPr>
          <w:ilvl w:val="1"/>
          <w:numId w:val="58"/>
        </w:numPr>
        <w:rPr>
          <w:rFonts w:ascii="Arial" w:cs="Arial" w:eastAsia="Arial" w:hAnsi="Arial"/>
          <w:sz w:val="14"/>
          <w:szCs w:val="14"/>
          <w:color w:val="auto"/>
        </w:rPr>
      </w:pPr>
      <w:r>
        <w:rPr>
          <w:rFonts w:ascii="Arial" w:cs="Arial" w:eastAsia="Arial" w:hAnsi="Arial"/>
          <w:sz w:val="14"/>
          <w:szCs w:val="14"/>
          <w:color w:val="auto"/>
        </w:rPr>
        <w:t>This Letter Agreement shall be binding on the undersigned and its successors, heirs and assigns and permitted transferees. Nothing in this Letter Agreement shall be construed to confer upon, or give to, any person or corporation other than the parties hereto any right, remedy or claim under or by reason of this Letter Agreement. All agreements contained in this Letter Agreement shall be for the sole benefit of the parties hereto and their successors and assigns.</w:t>
      </w:r>
    </w:p>
    <w:p>
      <w:pPr>
        <w:spacing w:after="0" w:line="78" w:lineRule="exact"/>
        <w:rPr>
          <w:rFonts w:ascii="Arial" w:cs="Arial" w:eastAsia="Arial" w:hAnsi="Arial"/>
          <w:sz w:val="14"/>
          <w:szCs w:val="14"/>
          <w:color w:val="auto"/>
        </w:rPr>
      </w:pPr>
    </w:p>
    <w:p>
      <w:pPr>
        <w:ind w:left="1100" w:right="399" w:hanging="412"/>
        <w:spacing w:after="0" w:line="302" w:lineRule="auto"/>
        <w:tabs>
          <w:tab w:leader="none" w:pos="1100" w:val="left"/>
        </w:tabs>
        <w:numPr>
          <w:ilvl w:val="1"/>
          <w:numId w:val="58"/>
        </w:numPr>
        <w:rPr>
          <w:rFonts w:ascii="Arial" w:cs="Arial" w:eastAsia="Arial" w:hAnsi="Arial"/>
          <w:sz w:val="12"/>
          <w:szCs w:val="12"/>
          <w:color w:val="auto"/>
        </w:rPr>
      </w:pPr>
      <w:r>
        <w:rPr>
          <w:rFonts w:ascii="Arial" w:cs="Arial" w:eastAsia="Arial" w:hAnsi="Arial"/>
          <w:sz w:val="12"/>
          <w:szCs w:val="12"/>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60" w:name="page61"/>
    <w:bookmarkEnd w:id="60"/>
    <w:p>
      <w:pPr>
        <w:ind w:left="1100" w:right="399" w:hanging="412"/>
        <w:spacing w:after="0" w:line="245" w:lineRule="auto"/>
        <w:tabs>
          <w:tab w:leader="none" w:pos="1100" w:val="left"/>
        </w:tabs>
        <w:numPr>
          <w:ilvl w:val="0"/>
          <w:numId w:val="5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This Letter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Santa Clara County, California, and irrevocably submit to such jurisdiction and venue, which jurisdiction and venue shall be exclusive and (ii) waive any objection to such exclusive jurisdiction and venue or that such courts represent an inconvenient forum.</w:t>
      </w:r>
    </w:p>
    <w:p>
      <w:pPr>
        <w:spacing w:after="0" w:line="79" w:lineRule="exact"/>
        <w:rPr>
          <w:rFonts w:ascii="Arial" w:cs="Arial" w:eastAsia="Arial" w:hAnsi="Arial"/>
          <w:sz w:val="14"/>
          <w:szCs w:val="14"/>
          <w:color w:val="auto"/>
        </w:rPr>
      </w:pPr>
    </w:p>
    <w:p>
      <w:pPr>
        <w:ind w:left="1100" w:right="579" w:hanging="412"/>
        <w:spacing w:after="0" w:line="250" w:lineRule="auto"/>
        <w:tabs>
          <w:tab w:leader="none" w:pos="11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75" w:lineRule="exact"/>
        <w:rPr>
          <w:rFonts w:ascii="Arial" w:cs="Arial" w:eastAsia="Arial" w:hAnsi="Arial"/>
          <w:sz w:val="14"/>
          <w:szCs w:val="14"/>
          <w:color w:val="auto"/>
        </w:rPr>
      </w:pPr>
    </w:p>
    <w:p>
      <w:pPr>
        <w:ind w:left="1100" w:right="819" w:hanging="412"/>
        <w:spacing w:after="0" w:line="259" w:lineRule="auto"/>
        <w:tabs>
          <w:tab w:leader="none" w:pos="11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addition, this Letter Agreement shall automatically terminate and be of no further force and effect on the date, if any, the BCA is terminated for any reason prior to the closing of the Merger.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61" w:name="page62"/>
    <w:bookmarkEnd w:id="61"/>
    <w:p>
      <w:pPr>
        <w:ind w:left="5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Sincerely,</w:t>
      </w:r>
    </w:p>
    <w:p>
      <w:pPr>
        <w:spacing w:after="0" w:line="12"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STOCKHOLDER</w:t>
      </w:r>
    </w:p>
    <w:p>
      <w:pPr>
        <w:spacing w:after="0" w:line="187"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7620</wp:posOffset>
            </wp:positionV>
            <wp:extent cx="192722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1">
                      <a:extLst>
                        <a:ext uri="{28A0092B-C50C-407E-A947-70E740481C1C}"/>
                      </a:extLst>
                    </a:blip>
                    <a:srcRect/>
                    <a:stretch>
                      <a:fillRect/>
                    </a:stretch>
                  </pic:blipFill>
                  <pic:spPr bwMode="auto">
                    <a:xfrm>
                      <a:off x="0" y="0"/>
                      <a:ext cx="1927225" cy="6350"/>
                    </a:xfrm>
                    <a:prstGeom prst="rect">
                      <a:avLst/>
                    </a:prstGeom>
                    <a:noFill/>
                  </pic:spPr>
                </pic:pic>
              </a:graphicData>
            </a:graphic>
          </wp:anchor>
        </w:drawing>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Title: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to Lock-Up Agreement</w:t>
      </w:r>
      <w:r>
        <w:rPr>
          <w:rFonts w:ascii="Arial" w:cs="Arial" w:eastAsia="Arial" w:hAnsi="Arial"/>
          <w:sz w:val="12"/>
          <w:szCs w:val="12"/>
          <w:color w:val="auto"/>
        </w:rPr>
        <w:t>]</w:t>
      </w:r>
    </w:p>
    <w:p>
      <w:pPr>
        <w:sectPr>
          <w:pgSz w:w="11900" w:h="16838" w:orient="portrait"/>
          <w:cols w:equalWidth="0" w:num="1">
            <w:col w:w="9019"/>
          </w:cols>
          <w:pgMar w:left="1440" w:top="240" w:right="1440" w:bottom="1440" w:gutter="0" w:footer="0" w:header="0"/>
        </w:sectPr>
      </w:pPr>
    </w:p>
    <w:bookmarkStart w:id="62" w:name="page63"/>
    <w:bookmarkEnd w:id="62"/>
    <w:p>
      <w:pPr>
        <w:ind w:left="3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Acknowledged and Agreed:</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KENSINGTON CAPITAL ACQUISITION CORP.</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7620</wp:posOffset>
            </wp:positionV>
            <wp:extent cx="192722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3">
                      <a:extLst>
                        <a:ext uri="{28A0092B-C50C-407E-A947-70E740481C1C}"/>
                      </a:extLst>
                    </a:blip>
                    <a:srcRect/>
                    <a:stretch>
                      <a:fillRect/>
                    </a:stretch>
                  </pic:blipFill>
                  <pic:spPr bwMode="auto">
                    <a:xfrm>
                      <a:off x="0" y="0"/>
                      <a:ext cx="1927225" cy="6350"/>
                    </a:xfrm>
                    <a:prstGeom prst="rect">
                      <a:avLst/>
                    </a:prstGeom>
                    <a:noFill/>
                  </pic:spPr>
                </pic:pic>
              </a:graphicData>
            </a:graphic>
          </wp:anchor>
        </w:drawing>
      </w:r>
    </w:p>
    <w:p>
      <w:pPr>
        <w:spacing w:after="0" w:line="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Name:</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Title:</w:t>
      </w:r>
    </w:p>
    <w:p>
      <w:pPr>
        <w:sectPr>
          <w:pgSz w:w="11900" w:h="16838" w:orient="portrait"/>
          <w:cols w:equalWidth="0" w:num="1">
            <w:col w:w="9019"/>
          </w:cols>
          <w:pgMar w:left="1440" w:top="240" w:right="1440" w:bottom="1440" w:gutter="0" w:footer="0" w:header="0"/>
        </w:sectPr>
      </w:pPr>
    </w:p>
    <w:bookmarkStart w:id="63" w:name="page64"/>
    <w:bookmarkEnd w:id="63"/>
    <w:p>
      <w:pPr>
        <w:jc w:val="right"/>
        <w:ind w:right="379"/>
        <w:spacing w:after="0"/>
        <w:rPr>
          <w:sz w:val="20"/>
          <w:szCs w:val="20"/>
          <w:color w:val="auto"/>
        </w:rPr>
      </w:pPr>
      <w:r>
        <w:rPr>
          <w:rFonts w:ascii="Arial" w:cs="Arial" w:eastAsia="Arial" w:hAnsi="Arial"/>
          <w:sz w:val="14"/>
          <w:szCs w:val="14"/>
          <w:b w:val="1"/>
          <w:bCs w:val="1"/>
          <w:color w:val="auto"/>
        </w:rPr>
        <w:t>EXHIBIT 10.7</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INDEMNIFICATION AGREEMENT</w:t>
      </w:r>
    </w:p>
    <w:p>
      <w:pPr>
        <w:spacing w:after="0" w:line="166" w:lineRule="exact"/>
        <w:rPr>
          <w:sz w:val="20"/>
          <w:szCs w:val="20"/>
          <w:color w:val="auto"/>
        </w:rPr>
      </w:pPr>
    </w:p>
    <w:p>
      <w:pPr>
        <w:ind w:left="360" w:right="919" w:firstLine="331"/>
        <w:spacing w:after="0" w:line="259" w:lineRule="auto"/>
        <w:rPr>
          <w:sz w:val="20"/>
          <w:szCs w:val="20"/>
          <w:color w:val="auto"/>
        </w:rPr>
      </w:pPr>
      <w:r>
        <w:rPr>
          <w:rFonts w:ascii="Arial" w:cs="Arial" w:eastAsia="Arial" w:hAnsi="Arial"/>
          <w:sz w:val="14"/>
          <w:szCs w:val="14"/>
          <w:color w:val="auto"/>
        </w:rPr>
        <w:t>This Indemnification Agreement (this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is dated as of [</w:t>
      </w:r>
      <w:r>
        <w:rPr>
          <w:rFonts w:ascii="Arial" w:cs="Arial" w:eastAsia="Arial" w:hAnsi="Arial"/>
          <w:sz w:val="14"/>
          <w:szCs w:val="14"/>
          <w:i w:val="1"/>
          <w:iCs w:val="1"/>
          <w:color w:val="auto"/>
        </w:rPr>
        <w:t>insert date</w:t>
      </w:r>
      <w:r>
        <w:rPr>
          <w:rFonts w:ascii="Arial" w:cs="Arial" w:eastAsia="Arial" w:hAnsi="Arial"/>
          <w:sz w:val="14"/>
          <w:szCs w:val="14"/>
          <w:color w:val="auto"/>
        </w:rPr>
        <w:t>], and is between QuantumScape Corporation,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and [</w:t>
      </w:r>
      <w:r>
        <w:rPr>
          <w:rFonts w:ascii="Arial" w:cs="Arial" w:eastAsia="Arial" w:hAnsi="Arial"/>
          <w:sz w:val="14"/>
          <w:szCs w:val="14"/>
          <w:i w:val="1"/>
          <w:iCs w:val="1"/>
          <w:color w:val="auto"/>
        </w:rPr>
        <w:t>insert name of indemnitee</w:t>
      </w:r>
      <w:r>
        <w:rPr>
          <w:rFonts w:ascii="Arial" w:cs="Arial" w:eastAsia="Arial" w:hAnsi="Arial"/>
          <w:sz w:val="14"/>
          <w:szCs w:val="14"/>
          <w:color w:val="auto"/>
        </w:rPr>
        <w:t>] (“</w:t>
      </w:r>
      <w:r>
        <w:rPr>
          <w:rFonts w:ascii="Arial" w:cs="Arial" w:eastAsia="Arial" w:hAnsi="Arial"/>
          <w:sz w:val="14"/>
          <w:szCs w:val="14"/>
          <w:b w:val="1"/>
          <w:bCs w:val="1"/>
          <w:i w:val="1"/>
          <w:iCs w:val="1"/>
          <w:color w:val="auto"/>
        </w:rPr>
        <w:t>Indemnitee</w:t>
      </w:r>
      <w:r>
        <w:rPr>
          <w:rFonts w:ascii="Arial" w:cs="Arial" w:eastAsia="Arial" w:hAnsi="Arial"/>
          <w:sz w:val="14"/>
          <w:szCs w:val="14"/>
          <w:color w:val="auto"/>
        </w:rPr>
        <w:t>”).</w:t>
      </w:r>
    </w:p>
    <w:p>
      <w:pPr>
        <w:spacing w:after="0" w:line="300" w:lineRule="exact"/>
        <w:rPr>
          <w:sz w:val="20"/>
          <w:szCs w:val="20"/>
          <w:color w:val="auto"/>
        </w:rPr>
      </w:pPr>
    </w:p>
    <w:p>
      <w:pPr>
        <w:jc w:val="right"/>
        <w:ind w:right="4179"/>
        <w:spacing w:after="0"/>
        <w:rPr>
          <w:sz w:val="20"/>
          <w:szCs w:val="20"/>
          <w:color w:val="auto"/>
        </w:rPr>
      </w:pPr>
      <w:r>
        <w:rPr>
          <w:rFonts w:ascii="Arial" w:cs="Arial" w:eastAsia="Arial" w:hAnsi="Arial"/>
          <w:sz w:val="14"/>
          <w:szCs w:val="14"/>
          <w:b w:val="1"/>
          <w:bCs w:val="1"/>
          <w:color w:val="auto"/>
        </w:rPr>
        <w:t>RECITALS</w:t>
      </w:r>
    </w:p>
    <w:p>
      <w:pPr>
        <w:spacing w:after="0" w:line="85" w:lineRule="exact"/>
        <w:rPr>
          <w:sz w:val="20"/>
          <w:szCs w:val="20"/>
          <w:color w:val="auto"/>
        </w:rPr>
      </w:pPr>
    </w:p>
    <w:p>
      <w:pPr>
        <w:jc w:val="right"/>
        <w:ind w:right="4179"/>
        <w:spacing w:after="0"/>
        <w:rPr>
          <w:sz w:val="20"/>
          <w:szCs w:val="20"/>
          <w:color w:val="auto"/>
        </w:rPr>
      </w:pPr>
      <w:r>
        <w:rPr>
          <w:rFonts w:ascii="Arial" w:cs="Arial" w:eastAsia="Arial" w:hAnsi="Arial"/>
          <w:sz w:val="12"/>
          <w:szCs w:val="12"/>
          <w:color w:val="auto"/>
        </w:rPr>
        <w:t>A. Indemnitee’s service to the Company substantially benefits the Company.</w:t>
      </w:r>
    </w:p>
    <w:p>
      <w:pPr>
        <w:spacing w:after="0" w:line="106" w:lineRule="exact"/>
        <w:rPr>
          <w:sz w:val="20"/>
          <w:szCs w:val="20"/>
          <w:color w:val="auto"/>
        </w:rPr>
      </w:pPr>
    </w:p>
    <w:p>
      <w:pPr>
        <w:ind w:left="360" w:right="579" w:firstLine="331"/>
        <w:spacing w:after="0" w:line="342" w:lineRule="auto"/>
        <w:rPr>
          <w:sz w:val="20"/>
          <w:szCs w:val="20"/>
          <w:color w:val="auto"/>
        </w:rPr>
      </w:pPr>
      <w:r>
        <w:rPr>
          <w:rFonts w:ascii="Arial" w:cs="Arial" w:eastAsia="Arial" w:hAnsi="Arial"/>
          <w:sz w:val="12"/>
          <w:szCs w:val="12"/>
          <w:color w:val="auto"/>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3" w:lineRule="exact"/>
        <w:rPr>
          <w:sz w:val="20"/>
          <w:szCs w:val="20"/>
          <w:color w:val="auto"/>
        </w:rPr>
      </w:pPr>
    </w:p>
    <w:p>
      <w:pPr>
        <w:ind w:left="360" w:right="659" w:firstLine="331"/>
        <w:spacing w:after="0" w:line="342" w:lineRule="auto"/>
        <w:rPr>
          <w:sz w:val="20"/>
          <w:szCs w:val="20"/>
          <w:color w:val="auto"/>
        </w:rPr>
      </w:pPr>
      <w:r>
        <w:rPr>
          <w:rFonts w:ascii="Arial" w:cs="Arial" w:eastAsia="Arial" w:hAnsi="Arial"/>
          <w:sz w:val="12"/>
          <w:szCs w:val="12"/>
          <w:color w:val="auto"/>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3" w:lineRule="exact"/>
        <w:rPr>
          <w:sz w:val="20"/>
          <w:szCs w:val="20"/>
          <w:color w:val="auto"/>
        </w:rPr>
      </w:pPr>
    </w:p>
    <w:p>
      <w:pPr>
        <w:ind w:left="360" w:right="739" w:firstLine="331"/>
        <w:spacing w:after="0" w:line="342" w:lineRule="auto"/>
        <w:rPr>
          <w:sz w:val="20"/>
          <w:szCs w:val="20"/>
          <w:color w:val="auto"/>
        </w:rPr>
      </w:pPr>
      <w:r>
        <w:rPr>
          <w:rFonts w:ascii="Arial" w:cs="Arial" w:eastAsia="Arial" w:hAnsi="Arial"/>
          <w:sz w:val="12"/>
          <w:szCs w:val="12"/>
          <w:color w:val="auto"/>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3" w:lineRule="exact"/>
        <w:rPr>
          <w:sz w:val="20"/>
          <w:szCs w:val="20"/>
          <w:color w:val="auto"/>
        </w:rPr>
      </w:pPr>
    </w:p>
    <w:p>
      <w:pPr>
        <w:ind w:left="360" w:right="419" w:firstLine="331"/>
        <w:spacing w:after="0" w:line="250" w:lineRule="auto"/>
        <w:rPr>
          <w:sz w:val="20"/>
          <w:szCs w:val="20"/>
          <w:color w:val="auto"/>
        </w:rPr>
      </w:pPr>
      <w:r>
        <w:rPr>
          <w:rFonts w:ascii="Arial" w:cs="Arial" w:eastAsia="Arial" w:hAnsi="Arial"/>
          <w:sz w:val="14"/>
          <w:szCs w:val="14"/>
          <w:color w:val="auto"/>
        </w:rPr>
        <w:t>E. 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parties therefore agree as follows:</w:t>
      </w:r>
    </w:p>
    <w:p>
      <w:pPr>
        <w:spacing w:after="0" w:line="91" w:lineRule="exact"/>
        <w:rPr>
          <w:sz w:val="20"/>
          <w:szCs w:val="20"/>
          <w:color w:val="auto"/>
        </w:rPr>
      </w:pPr>
    </w:p>
    <w:p>
      <w:pPr>
        <w:ind w:left="1100" w:hanging="412"/>
        <w:spacing w:after="0"/>
        <w:tabs>
          <w:tab w:leader="none" w:pos="1100"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Definitions.</w:t>
      </w:r>
    </w:p>
    <w:p>
      <w:pPr>
        <w:spacing w:after="0" w:line="84" w:lineRule="exact"/>
        <w:rPr>
          <w:rFonts w:ascii="Arial" w:cs="Arial" w:eastAsia="Arial" w:hAnsi="Arial"/>
          <w:sz w:val="14"/>
          <w:szCs w:val="14"/>
          <w:color w:val="auto"/>
        </w:rPr>
      </w:pPr>
    </w:p>
    <w:p>
      <w:pPr>
        <w:ind w:left="1300" w:hanging="191"/>
        <w:spacing w:after="0"/>
        <w:tabs>
          <w:tab w:leader="none" w:pos="1300" w:val="left"/>
        </w:tabs>
        <w:numPr>
          <w:ilvl w:val="1"/>
          <w:numId w:val="6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i w:val="1"/>
          <w:iCs w:val="1"/>
          <w:color w:val="auto"/>
        </w:rPr>
        <w:t>Change in Control</w:t>
      </w:r>
      <w:r>
        <w:rPr>
          <w:rFonts w:ascii="Arial" w:cs="Arial" w:eastAsia="Arial" w:hAnsi="Arial"/>
          <w:sz w:val="12"/>
          <w:szCs w:val="12"/>
          <w:color w:val="auto"/>
        </w:rPr>
        <w:t>” shall be deemed to occur upon the earliest to occur after the date of this Agreement of any of the following</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events:</w:t>
      </w:r>
    </w:p>
    <w:p>
      <w:pPr>
        <w:spacing w:after="0" w:line="72" w:lineRule="exact"/>
        <w:rPr>
          <w:rFonts w:ascii="Arial" w:cs="Arial" w:eastAsia="Arial" w:hAnsi="Arial"/>
          <w:sz w:val="12"/>
          <w:szCs w:val="12"/>
          <w:color w:val="auto"/>
        </w:rPr>
      </w:pPr>
    </w:p>
    <w:p>
      <w:pPr>
        <w:ind w:left="360" w:right="419" w:firstLine="1080"/>
        <w:spacing w:after="0" w:line="250" w:lineRule="auto"/>
        <w:tabs>
          <w:tab w:leader="none" w:pos="1598" w:val="left"/>
        </w:tabs>
        <w:numPr>
          <w:ilvl w:val="2"/>
          <w:numId w:val="60"/>
        </w:numPr>
        <w:rPr>
          <w:rFonts w:ascii="Arial" w:cs="Arial" w:eastAsia="Arial" w:hAnsi="Arial"/>
          <w:sz w:val="14"/>
          <w:szCs w:val="14"/>
          <w:color w:val="auto"/>
        </w:rPr>
      </w:pPr>
      <w:r>
        <w:rPr>
          <w:rFonts w:ascii="Arial" w:cs="Arial" w:eastAsia="Arial" w:hAnsi="Arial"/>
          <w:sz w:val="14"/>
          <w:szCs w:val="14"/>
          <w:i w:val="1"/>
          <w:iCs w:val="1"/>
          <w:color w:val="auto"/>
        </w:rPr>
        <w:t xml:space="preserve">Acquisition of Stock by Third Party. </w:t>
      </w:r>
      <w:r>
        <w:rPr>
          <w:rFonts w:ascii="Arial" w:cs="Arial" w:eastAsia="Arial" w:hAnsi="Arial"/>
          <w:sz w:val="14"/>
          <w:szCs w:val="14"/>
          <w:color w:val="auto"/>
        </w:rPr>
        <w:t>Any Person (as defined below) becomes the Beneficial Owner (as defined below), directly or</w:t>
      </w:r>
      <w:r>
        <w:rPr>
          <w:rFonts w:ascii="Arial" w:cs="Arial" w:eastAsia="Arial" w:hAnsi="Arial"/>
          <w:sz w:val="14"/>
          <w:szCs w:val="14"/>
          <w:i w:val="1"/>
          <w:iCs w:val="1"/>
          <w:color w:val="auto"/>
        </w:rPr>
        <w:t xml:space="preserve"> </w:t>
      </w:r>
      <w:r>
        <w:rPr>
          <w:rFonts w:ascii="Arial" w:cs="Arial" w:eastAsia="Arial" w:hAnsi="Arial"/>
          <w:sz w:val="14"/>
          <w:szCs w:val="14"/>
          <w:color w:val="auto"/>
        </w:rPr>
        <w:t>indirectly, of securities of the Company representing fifteen percent (15%) or more of the combined voting power of the Company’s then outstanding securities;</w:t>
      </w:r>
    </w:p>
    <w:p>
      <w:pPr>
        <w:spacing w:after="0" w:line="65" w:lineRule="exact"/>
        <w:rPr>
          <w:rFonts w:ascii="Arial" w:cs="Arial" w:eastAsia="Arial" w:hAnsi="Arial"/>
          <w:sz w:val="14"/>
          <w:szCs w:val="14"/>
          <w:color w:val="auto"/>
        </w:rPr>
      </w:pPr>
    </w:p>
    <w:p>
      <w:pPr>
        <w:ind w:left="360" w:right="539" w:firstLine="1080"/>
        <w:spacing w:after="0" w:line="294" w:lineRule="auto"/>
        <w:tabs>
          <w:tab w:leader="none" w:pos="1636" w:val="left"/>
        </w:tabs>
        <w:numPr>
          <w:ilvl w:val="2"/>
          <w:numId w:val="60"/>
        </w:numPr>
        <w:rPr>
          <w:rFonts w:ascii="Arial" w:cs="Arial" w:eastAsia="Arial" w:hAnsi="Arial"/>
          <w:sz w:val="12"/>
          <w:szCs w:val="12"/>
          <w:color w:val="auto"/>
        </w:rPr>
      </w:pPr>
      <w:r>
        <w:rPr>
          <w:rFonts w:ascii="Arial" w:cs="Arial" w:eastAsia="Arial" w:hAnsi="Arial"/>
          <w:sz w:val="12"/>
          <w:szCs w:val="12"/>
          <w:i w:val="1"/>
          <w:iCs w:val="1"/>
          <w:color w:val="auto"/>
        </w:rPr>
        <w:t xml:space="preserve">Change in Board Composition. </w:t>
      </w:r>
      <w:r>
        <w:rPr>
          <w:rFonts w:ascii="Arial" w:cs="Arial" w:eastAsia="Arial" w:hAnsi="Arial"/>
          <w:sz w:val="12"/>
          <w:szCs w:val="12"/>
          <w:color w:val="auto"/>
        </w:rPr>
        <w:t>During any period of two consecutive years (not including any period prior to the execution of</w:t>
      </w:r>
      <w:r>
        <w:rPr>
          <w:rFonts w:ascii="Arial" w:cs="Arial" w:eastAsia="Arial" w:hAnsi="Arial"/>
          <w:sz w:val="12"/>
          <w:szCs w:val="12"/>
          <w:i w:val="1"/>
          <w:iCs w:val="1"/>
          <w:color w:val="auto"/>
        </w:rPr>
        <w:t xml:space="preserve"> </w:t>
      </w:r>
      <w:r>
        <w:rPr>
          <w:rFonts w:ascii="Arial" w:cs="Arial" w:eastAsia="Arial" w:hAnsi="Arial"/>
          <w:sz w:val="12"/>
          <w:szCs w:val="12"/>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ectPr>
          <w:pgSz w:w="11900" w:h="16838" w:orient="portrait"/>
          <w:cols w:equalWidth="0" w:num="1">
            <w:col w:w="9019"/>
          </w:cols>
          <w:pgMar w:left="1440" w:top="127" w:right="1440" w:bottom="1440" w:gutter="0" w:footer="0" w:header="0"/>
        </w:sectPr>
      </w:pPr>
    </w:p>
    <w:bookmarkStart w:id="64" w:name="page65"/>
    <w:bookmarkEnd w:id="64"/>
    <w:p>
      <w:pPr>
        <w:ind w:left="360" w:right="399" w:firstLine="1080"/>
        <w:spacing w:after="0" w:line="297" w:lineRule="auto"/>
        <w:tabs>
          <w:tab w:leader="none" w:pos="1673" w:val="left"/>
        </w:tabs>
        <w:numPr>
          <w:ilvl w:val="0"/>
          <w:numId w:val="61"/>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Corporate Transactions. </w:t>
      </w:r>
      <w:r>
        <w:rPr>
          <w:rFonts w:ascii="Arial" w:cs="Arial" w:eastAsia="Arial" w:hAnsi="Arial"/>
          <w:sz w:val="12"/>
          <w:szCs w:val="12"/>
          <w:color w:val="auto"/>
        </w:rPr>
        <w:t>The effective date of a merger or consolidation of the Company with any other entity, other than a</w:t>
      </w:r>
      <w:r>
        <w:rPr>
          <w:rFonts w:ascii="Arial" w:cs="Arial" w:eastAsia="Arial" w:hAnsi="Arial"/>
          <w:sz w:val="12"/>
          <w:szCs w:val="12"/>
          <w:i w:val="1"/>
          <w:iCs w:val="1"/>
          <w:color w:val="auto"/>
        </w:rPr>
        <w:t xml:space="preserve"> </w:t>
      </w:r>
      <w:r>
        <w:rPr>
          <w:rFonts w:ascii="Arial" w:cs="Arial" w:eastAsia="Arial" w:hAnsi="Arial"/>
          <w:sz w:val="12"/>
          <w:szCs w:val="12"/>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39" w:lineRule="exact"/>
        <w:rPr>
          <w:rFonts w:ascii="Arial" w:cs="Arial" w:eastAsia="Arial" w:hAnsi="Arial"/>
          <w:sz w:val="12"/>
          <w:szCs w:val="12"/>
          <w:color w:val="auto"/>
        </w:rPr>
      </w:pPr>
    </w:p>
    <w:p>
      <w:pPr>
        <w:ind w:left="360" w:right="559" w:firstLine="1080"/>
        <w:spacing w:after="0" w:line="259" w:lineRule="auto"/>
        <w:tabs>
          <w:tab w:leader="none" w:pos="1666"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Liquidation. </w:t>
      </w:r>
      <w:r>
        <w:rPr>
          <w:rFonts w:ascii="Arial" w:cs="Arial" w:eastAsia="Arial" w:hAnsi="Arial"/>
          <w:sz w:val="14"/>
          <w:szCs w:val="14"/>
          <w:color w:val="auto"/>
        </w:rPr>
        <w:t>The approval by the stockholders of the Company of a complete liquidation of the Company or an agreement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sale or disposition by the Company of all or substantially all of the Company’s assets; and</w:t>
      </w:r>
    </w:p>
    <w:p>
      <w:pPr>
        <w:spacing w:after="0" w:line="58" w:lineRule="exact"/>
        <w:rPr>
          <w:rFonts w:ascii="Arial" w:cs="Arial" w:eastAsia="Arial" w:hAnsi="Arial"/>
          <w:sz w:val="14"/>
          <w:szCs w:val="14"/>
          <w:color w:val="auto"/>
        </w:rPr>
      </w:pPr>
    </w:p>
    <w:p>
      <w:pPr>
        <w:ind w:left="360" w:right="679" w:firstLine="1080"/>
        <w:spacing w:after="0" w:line="250" w:lineRule="auto"/>
        <w:tabs>
          <w:tab w:leader="none" w:pos="1628" w:val="left"/>
        </w:tabs>
        <w:numPr>
          <w:ilvl w:val="0"/>
          <w:numId w:val="61"/>
        </w:numPr>
        <w:rPr>
          <w:rFonts w:ascii="Arial" w:cs="Arial" w:eastAsia="Arial" w:hAnsi="Arial"/>
          <w:sz w:val="14"/>
          <w:szCs w:val="14"/>
          <w:color w:val="auto"/>
        </w:rPr>
      </w:pPr>
      <w:r>
        <w:rPr>
          <w:rFonts w:ascii="Arial" w:cs="Arial" w:eastAsia="Arial" w:hAnsi="Arial"/>
          <w:sz w:val="14"/>
          <w:szCs w:val="14"/>
          <w:i w:val="1"/>
          <w:iCs w:val="1"/>
          <w:color w:val="auto"/>
        </w:rPr>
        <w:t xml:space="preserve">Other Events. </w:t>
      </w:r>
      <w:r>
        <w:rPr>
          <w:rFonts w:ascii="Arial" w:cs="Arial" w:eastAsia="Arial" w:hAnsi="Arial"/>
          <w:sz w:val="14"/>
          <w:szCs w:val="14"/>
          <w:color w:val="auto"/>
        </w:rPr>
        <w:t>Any other event of a nature that would be required to be reported in response to Item 6(e) of Schedule 14A of</w:t>
      </w:r>
      <w:r>
        <w:rPr>
          <w:rFonts w:ascii="Arial" w:cs="Arial" w:eastAsia="Arial" w:hAnsi="Arial"/>
          <w:sz w:val="14"/>
          <w:szCs w:val="14"/>
          <w:i w:val="1"/>
          <w:iCs w:val="1"/>
          <w:color w:val="auto"/>
        </w:rPr>
        <w:t xml:space="preserve"> </w:t>
      </w:r>
      <w:r>
        <w:rPr>
          <w:rFonts w:ascii="Arial" w:cs="Arial" w:eastAsia="Arial" w:hAnsi="Arial"/>
          <w:sz w:val="14"/>
          <w:szCs w:val="14"/>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For purposes of this Section 1(a), the following terms shall have the following meanings:</w:t>
      </w:r>
    </w:p>
    <w:p>
      <w:pPr>
        <w:spacing w:after="0" w:line="83" w:lineRule="exact"/>
        <w:rPr>
          <w:sz w:val="20"/>
          <w:szCs w:val="20"/>
          <w:color w:val="auto"/>
        </w:rPr>
      </w:pPr>
    </w:p>
    <w:p>
      <w:pPr>
        <w:jc w:val="both"/>
        <w:ind w:left="360" w:right="699" w:firstLine="1494"/>
        <w:spacing w:after="0" w:line="247" w:lineRule="auto"/>
        <w:tabs>
          <w:tab w:leader="none" w:pos="2042" w:val="left"/>
        </w:tabs>
        <w:numPr>
          <w:ilvl w:val="1"/>
          <w:numId w:val="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xml:space="preserve">” shall have the meaning as set forth in Sections 13(d) and 14(d) of the Securities Exchange Act of 1934, as amended;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w:t>
      </w:r>
      <w:r>
        <w:rPr>
          <w:rFonts w:ascii="Arial" w:cs="Arial" w:eastAsia="Arial" w:hAnsi="Arial"/>
          <w:sz w:val="14"/>
          <w:szCs w:val="14"/>
          <w:b w:val="1"/>
          <w:bCs w:val="1"/>
          <w:i w:val="1"/>
          <w:iCs w:val="1"/>
          <w:color w:val="auto"/>
        </w:rPr>
        <w:t>Person</w:t>
      </w:r>
      <w:r>
        <w:rPr>
          <w:rFonts w:ascii="Arial" w:cs="Arial" w:eastAsia="Arial" w:hAnsi="Arial"/>
          <w:sz w:val="14"/>
          <w:szCs w:val="14"/>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67" w:lineRule="exact"/>
        <w:rPr>
          <w:rFonts w:ascii="Arial" w:cs="Arial" w:eastAsia="Arial" w:hAnsi="Arial"/>
          <w:sz w:val="14"/>
          <w:szCs w:val="14"/>
          <w:color w:val="auto"/>
        </w:rPr>
      </w:pPr>
    </w:p>
    <w:p>
      <w:pPr>
        <w:ind w:left="360" w:right="399" w:firstLine="1494"/>
        <w:spacing w:after="0" w:line="247" w:lineRule="auto"/>
        <w:tabs>
          <w:tab w:leader="none" w:pos="2042" w:val="left"/>
        </w:tabs>
        <w:numPr>
          <w:ilvl w:val="1"/>
          <w:numId w:val="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Beneficial Owner</w:t>
      </w:r>
      <w:r>
        <w:rPr>
          <w:rFonts w:ascii="Arial" w:cs="Arial" w:eastAsia="Arial" w:hAnsi="Arial"/>
          <w:sz w:val="14"/>
          <w:szCs w:val="14"/>
          <w:color w:val="auto"/>
        </w:rPr>
        <w:t xml:space="preserve">” shall have the meaning given to such term in Rule 13d-3 under the Securities Exchange Act of 1934, as amended;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w:t>
      </w:r>
      <w:r>
        <w:rPr>
          <w:rFonts w:ascii="Arial" w:cs="Arial" w:eastAsia="Arial" w:hAnsi="Arial"/>
          <w:sz w:val="14"/>
          <w:szCs w:val="14"/>
          <w:b w:val="1"/>
          <w:bCs w:val="1"/>
          <w:i w:val="1"/>
          <w:iCs w:val="1"/>
          <w:color w:val="auto"/>
        </w:rPr>
        <w:t>Beneficial Owner</w:t>
      </w:r>
      <w:r>
        <w:rPr>
          <w:rFonts w:ascii="Arial" w:cs="Arial" w:eastAsia="Arial" w:hAnsi="Arial"/>
          <w:sz w:val="14"/>
          <w:szCs w:val="14"/>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67" w:lineRule="exact"/>
        <w:rPr>
          <w:rFonts w:ascii="Arial" w:cs="Arial" w:eastAsia="Arial" w:hAnsi="Arial"/>
          <w:sz w:val="14"/>
          <w:szCs w:val="14"/>
          <w:color w:val="auto"/>
        </w:rPr>
      </w:pPr>
    </w:p>
    <w:p>
      <w:pPr>
        <w:ind w:left="360" w:right="779" w:firstLine="749"/>
        <w:spacing w:after="0" w:line="259" w:lineRule="auto"/>
        <w:tabs>
          <w:tab w:leader="none" w:pos="1297" w:val="left"/>
        </w:tabs>
        <w:numPr>
          <w:ilvl w:val="0"/>
          <w:numId w:val="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Corporate Status</w:t>
      </w:r>
      <w:r>
        <w:rPr>
          <w:rFonts w:ascii="Arial" w:cs="Arial" w:eastAsia="Arial" w:hAnsi="Arial"/>
          <w:sz w:val="14"/>
          <w:szCs w:val="14"/>
          <w:color w:val="auto"/>
        </w:rPr>
        <w:t>” describes the status of a person who is or was a director, trustee, general partner, managing member, officer, employee, agent or fiduciary of the Company or any other Enterprise.</w:t>
      </w:r>
    </w:p>
    <w:p>
      <w:pPr>
        <w:spacing w:after="0" w:line="58" w:lineRule="exact"/>
        <w:rPr>
          <w:rFonts w:ascii="Arial" w:cs="Arial" w:eastAsia="Arial" w:hAnsi="Arial"/>
          <w:sz w:val="14"/>
          <w:szCs w:val="14"/>
          <w:color w:val="auto"/>
        </w:rPr>
      </w:pPr>
    </w:p>
    <w:p>
      <w:pPr>
        <w:ind w:left="1300" w:hanging="191"/>
        <w:spacing w:after="0"/>
        <w:tabs>
          <w:tab w:leader="none" w:pos="13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DGCL</w:t>
      </w:r>
      <w:r>
        <w:rPr>
          <w:rFonts w:ascii="Arial" w:cs="Arial" w:eastAsia="Arial" w:hAnsi="Arial"/>
          <w:sz w:val="14"/>
          <w:szCs w:val="14"/>
          <w:color w:val="auto"/>
        </w:rPr>
        <w:t>” means the General Corporation Law of the State of Delaware.</w:t>
      </w:r>
    </w:p>
    <w:p>
      <w:pPr>
        <w:spacing w:after="0" w:line="82" w:lineRule="exact"/>
        <w:rPr>
          <w:rFonts w:ascii="Arial" w:cs="Arial" w:eastAsia="Arial" w:hAnsi="Arial"/>
          <w:sz w:val="14"/>
          <w:szCs w:val="14"/>
          <w:color w:val="auto"/>
        </w:rPr>
      </w:pPr>
    </w:p>
    <w:p>
      <w:pPr>
        <w:ind w:left="360" w:right="799" w:firstLine="749"/>
        <w:spacing w:after="0" w:line="259" w:lineRule="auto"/>
        <w:tabs>
          <w:tab w:leader="none" w:pos="1297" w:val="left"/>
        </w:tabs>
        <w:numPr>
          <w:ilvl w:val="0"/>
          <w:numId w:val="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Disinterested Director</w:t>
      </w:r>
      <w:r>
        <w:rPr>
          <w:rFonts w:ascii="Arial" w:cs="Arial" w:eastAsia="Arial" w:hAnsi="Arial"/>
          <w:sz w:val="14"/>
          <w:szCs w:val="14"/>
          <w:color w:val="auto"/>
        </w:rPr>
        <w:t>” means a director of the Company who is not and was not a party to the Proceeding in respect of which indemnification is sought by Indemnitee.</w:t>
      </w:r>
    </w:p>
    <w:p>
      <w:pPr>
        <w:spacing w:after="0" w:line="58" w:lineRule="exact"/>
        <w:rPr>
          <w:rFonts w:ascii="Arial" w:cs="Arial" w:eastAsia="Arial" w:hAnsi="Arial"/>
          <w:sz w:val="14"/>
          <w:szCs w:val="14"/>
          <w:color w:val="auto"/>
        </w:rPr>
      </w:pPr>
    </w:p>
    <w:p>
      <w:pPr>
        <w:ind w:left="360" w:right="639" w:firstLine="749"/>
        <w:spacing w:after="0" w:line="250" w:lineRule="auto"/>
        <w:tabs>
          <w:tab w:leader="none" w:pos="1289" w:val="left"/>
        </w:tabs>
        <w:numPr>
          <w:ilvl w:val="0"/>
          <w:numId w:val="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Enterprise</w:t>
      </w:r>
      <w:r>
        <w:rPr>
          <w:rFonts w:ascii="Arial" w:cs="Arial" w:eastAsia="Arial" w:hAnsi="Arial"/>
          <w:sz w:val="14"/>
          <w:szCs w:val="14"/>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65" w:lineRule="exact"/>
        <w:rPr>
          <w:rFonts w:ascii="Arial" w:cs="Arial" w:eastAsia="Arial" w:hAnsi="Arial"/>
          <w:sz w:val="14"/>
          <w:szCs w:val="14"/>
          <w:color w:val="auto"/>
        </w:rPr>
      </w:pPr>
    </w:p>
    <w:p>
      <w:pPr>
        <w:ind w:left="360" w:right="399" w:firstLine="749"/>
        <w:spacing w:after="0" w:line="246" w:lineRule="auto"/>
        <w:tabs>
          <w:tab w:leader="none" w:pos="1274" w:val="left"/>
        </w:tabs>
        <w:numPr>
          <w:ilvl w:val="0"/>
          <w:numId w:val="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Expenses</w:t>
      </w:r>
      <w:r>
        <w:rPr>
          <w:rFonts w:ascii="Arial" w:cs="Arial" w:eastAsia="Arial" w:hAnsi="Arial"/>
          <w:sz w:val="14"/>
          <w:szCs w:val="14"/>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0" w:right="1440" w:bottom="1440" w:gutter="0" w:footer="0" w:header="0"/>
        </w:sectPr>
      </w:pPr>
    </w:p>
    <w:bookmarkStart w:id="65" w:name="page66"/>
    <w:bookmarkEnd w:id="65"/>
    <w:p>
      <w:pPr>
        <w:ind w:left="360" w:right="49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Proceeding, including without limitation the premium, security for, and other costs relating to any cost bond, supersedeas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36" w:lineRule="exact"/>
        <w:rPr>
          <w:sz w:val="20"/>
          <w:szCs w:val="20"/>
          <w:color w:val="auto"/>
        </w:rPr>
      </w:pPr>
    </w:p>
    <w:p>
      <w:pPr>
        <w:ind w:left="360" w:right="479" w:firstLine="749"/>
        <w:spacing w:after="0" w:line="294" w:lineRule="auto"/>
        <w:tabs>
          <w:tab w:leader="none" w:pos="1297" w:val="left"/>
        </w:tabs>
        <w:numPr>
          <w:ilvl w:val="1"/>
          <w:numId w:val="6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Independent Counsel</w:t>
      </w:r>
      <w:r>
        <w:rPr>
          <w:rFonts w:ascii="Arial" w:cs="Arial" w:eastAsia="Arial" w:hAnsi="Arial"/>
          <w:sz w:val="12"/>
          <w:szCs w:val="12"/>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2"/>
          <w:szCs w:val="12"/>
          <w:b w:val="1"/>
          <w:bCs w:val="1"/>
          <w:i w:val="1"/>
          <w:iCs w:val="1"/>
          <w:color w:val="auto"/>
        </w:rPr>
        <w:t>Independent Counsel</w:t>
      </w:r>
      <w:r>
        <w:rPr>
          <w:rFonts w:ascii="Arial" w:cs="Arial" w:eastAsia="Arial" w:hAnsi="Arial"/>
          <w:sz w:val="12"/>
          <w:szCs w:val="12"/>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41" w:lineRule="exact"/>
        <w:rPr>
          <w:rFonts w:ascii="Arial" w:cs="Arial" w:eastAsia="Arial" w:hAnsi="Arial"/>
          <w:sz w:val="12"/>
          <w:szCs w:val="12"/>
          <w:color w:val="auto"/>
        </w:rPr>
      </w:pPr>
    </w:p>
    <w:p>
      <w:pPr>
        <w:ind w:left="360" w:right="399" w:firstLine="749"/>
        <w:spacing w:after="0" w:line="291" w:lineRule="auto"/>
        <w:tabs>
          <w:tab w:leader="none" w:pos="1297" w:val="left"/>
        </w:tabs>
        <w:numPr>
          <w:ilvl w:val="1"/>
          <w:numId w:val="6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Proceeding</w:t>
      </w:r>
      <w:r>
        <w:rPr>
          <w:rFonts w:ascii="Arial" w:cs="Arial" w:eastAsia="Arial" w:hAnsi="Arial"/>
          <w:sz w:val="12"/>
          <w:szCs w:val="12"/>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41" w:lineRule="exact"/>
        <w:rPr>
          <w:rFonts w:ascii="Arial" w:cs="Arial" w:eastAsia="Arial" w:hAnsi="Arial"/>
          <w:sz w:val="12"/>
          <w:szCs w:val="12"/>
          <w:color w:val="auto"/>
        </w:rPr>
      </w:pPr>
    </w:p>
    <w:p>
      <w:pPr>
        <w:ind w:left="360" w:right="379" w:firstLine="749"/>
        <w:spacing w:after="0" w:line="294" w:lineRule="auto"/>
        <w:tabs>
          <w:tab w:leader="none" w:pos="1267" w:val="left"/>
        </w:tabs>
        <w:numPr>
          <w:ilvl w:val="1"/>
          <w:numId w:val="64"/>
        </w:numPr>
        <w:rPr>
          <w:rFonts w:ascii="Arial" w:cs="Arial" w:eastAsia="Arial" w:hAnsi="Arial"/>
          <w:sz w:val="12"/>
          <w:szCs w:val="12"/>
          <w:color w:val="auto"/>
        </w:rPr>
      </w:pPr>
      <w:r>
        <w:rPr>
          <w:rFonts w:ascii="Arial" w:cs="Arial" w:eastAsia="Arial" w:hAnsi="Arial"/>
          <w:sz w:val="12"/>
          <w:szCs w:val="12"/>
          <w:color w:val="auto"/>
        </w:rPr>
        <w:t>Reference to “</w:t>
      </w:r>
      <w:r>
        <w:rPr>
          <w:rFonts w:ascii="Arial" w:cs="Arial" w:eastAsia="Arial" w:hAnsi="Arial"/>
          <w:sz w:val="12"/>
          <w:szCs w:val="12"/>
          <w:b w:val="1"/>
          <w:bCs w:val="1"/>
          <w:i w:val="1"/>
          <w:iCs w:val="1"/>
          <w:color w:val="auto"/>
        </w:rPr>
        <w:t>other enterprises</w:t>
      </w:r>
      <w:r>
        <w:rPr>
          <w:rFonts w:ascii="Arial" w:cs="Arial" w:eastAsia="Arial" w:hAnsi="Arial"/>
          <w:sz w:val="12"/>
          <w:szCs w:val="12"/>
          <w:color w:val="auto"/>
        </w:rPr>
        <w:t>” shall include employee benefit plans; references to “</w:t>
      </w:r>
      <w:r>
        <w:rPr>
          <w:rFonts w:ascii="Arial" w:cs="Arial" w:eastAsia="Arial" w:hAnsi="Arial"/>
          <w:sz w:val="12"/>
          <w:szCs w:val="12"/>
          <w:b w:val="1"/>
          <w:bCs w:val="1"/>
          <w:i w:val="1"/>
          <w:iCs w:val="1"/>
          <w:color w:val="auto"/>
        </w:rPr>
        <w:t>fines</w:t>
      </w:r>
      <w:r>
        <w:rPr>
          <w:rFonts w:ascii="Arial" w:cs="Arial" w:eastAsia="Arial" w:hAnsi="Arial"/>
          <w:sz w:val="12"/>
          <w:szCs w:val="12"/>
          <w:color w:val="auto"/>
        </w:rPr>
        <w:t>” shall include any excise taxes assessed on a person with respect to any employee benefit plan; references to “</w:t>
      </w:r>
      <w:r>
        <w:rPr>
          <w:rFonts w:ascii="Arial" w:cs="Arial" w:eastAsia="Arial" w:hAnsi="Arial"/>
          <w:sz w:val="12"/>
          <w:szCs w:val="12"/>
          <w:b w:val="1"/>
          <w:bCs w:val="1"/>
          <w:i w:val="1"/>
          <w:iCs w:val="1"/>
          <w:color w:val="auto"/>
        </w:rPr>
        <w:t>serving at the request of the Company</w:t>
      </w:r>
      <w:r>
        <w:rPr>
          <w:rFonts w:ascii="Arial" w:cs="Arial" w:eastAsia="Arial" w:hAnsi="Arial"/>
          <w:sz w:val="12"/>
          <w:szCs w:val="12"/>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2"/>
          <w:szCs w:val="12"/>
          <w:b w:val="1"/>
          <w:bCs w:val="1"/>
          <w:i w:val="1"/>
          <w:iCs w:val="1"/>
          <w:color w:val="auto"/>
        </w:rPr>
        <w:t>not opposed to the best</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interests of the Company</w:t>
      </w:r>
      <w:r>
        <w:rPr>
          <w:rFonts w:ascii="Arial" w:cs="Arial" w:eastAsia="Arial" w:hAnsi="Arial"/>
          <w:sz w:val="12"/>
          <w:szCs w:val="12"/>
          <w:color w:val="auto"/>
        </w:rPr>
        <w:t>” as referred to in this Agreement.</w:t>
      </w:r>
    </w:p>
    <w:p>
      <w:pPr>
        <w:spacing w:after="0" w:line="39" w:lineRule="exact"/>
        <w:rPr>
          <w:rFonts w:ascii="Arial" w:cs="Arial" w:eastAsia="Arial" w:hAnsi="Arial"/>
          <w:sz w:val="12"/>
          <w:szCs w:val="12"/>
          <w:color w:val="auto"/>
        </w:rPr>
      </w:pPr>
    </w:p>
    <w:p>
      <w:pPr>
        <w:ind w:left="360" w:right="519" w:firstLine="334"/>
        <w:spacing w:after="0" w:line="293" w:lineRule="auto"/>
        <w:tabs>
          <w:tab w:leader="none" w:pos="826"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Indemnity in Third-Party Proceedings. </w:t>
      </w:r>
      <w:r>
        <w:rPr>
          <w:rFonts w:ascii="Arial" w:cs="Arial" w:eastAsia="Arial" w:hAnsi="Arial"/>
          <w:sz w:val="12"/>
          <w:szCs w:val="12"/>
          <w:color w:val="auto"/>
        </w:rPr>
        <w:t>The Company shall indemnify Indemnitee in accordance with the provisions of this Section 2 if</w:t>
      </w:r>
      <w:r>
        <w:rPr>
          <w:rFonts w:ascii="Arial" w:cs="Arial" w:eastAsia="Arial" w:hAnsi="Arial"/>
          <w:sz w:val="12"/>
          <w:szCs w:val="12"/>
          <w:b w:val="1"/>
          <w:bCs w:val="1"/>
          <w:color w:val="auto"/>
        </w:rPr>
        <w:t xml:space="preserve"> </w:t>
      </w:r>
      <w:r>
        <w:rPr>
          <w:rFonts w:ascii="Arial" w:cs="Arial" w:eastAsia="Arial" w:hAnsi="Arial"/>
          <w:sz w:val="12"/>
          <w:szCs w:val="12"/>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66" w:name="page67"/>
    <w:bookmarkEnd w:id="66"/>
    <w:p>
      <w:pPr>
        <w:ind w:left="360" w:right="379" w:firstLine="334"/>
        <w:spacing w:after="0" w:line="290" w:lineRule="auto"/>
        <w:tabs>
          <w:tab w:leader="none" w:pos="826" w:val="left"/>
        </w:tabs>
        <w:numPr>
          <w:ilvl w:val="0"/>
          <w:numId w:val="66"/>
        </w:numPr>
        <w:rPr>
          <w:rFonts w:ascii="Arial" w:cs="Arial" w:eastAsia="Arial" w:hAnsi="Arial"/>
          <w:sz w:val="12"/>
          <w:szCs w:val="12"/>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Indemnity in Proceedings by or in the Right of the Company. </w:t>
      </w:r>
      <w:r>
        <w:rPr>
          <w:rFonts w:ascii="Arial" w:cs="Arial" w:eastAsia="Arial" w:hAnsi="Arial"/>
          <w:sz w:val="12"/>
          <w:szCs w:val="12"/>
          <w:color w:val="auto"/>
        </w:rPr>
        <w:t>The Company shall indemnify Indemnitee in accordance with the provisions</w:t>
      </w:r>
      <w:r>
        <w:rPr>
          <w:rFonts w:ascii="Arial" w:cs="Arial" w:eastAsia="Arial" w:hAnsi="Arial"/>
          <w:sz w:val="12"/>
          <w:szCs w:val="12"/>
          <w:b w:val="1"/>
          <w:bCs w:val="1"/>
          <w:color w:val="auto"/>
        </w:rPr>
        <w:t xml:space="preserve"> </w:t>
      </w:r>
      <w:r>
        <w:rPr>
          <w:rFonts w:ascii="Arial" w:cs="Arial" w:eastAsia="Arial" w:hAnsi="Arial"/>
          <w:sz w:val="12"/>
          <w:szCs w:val="12"/>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204" w:lineRule="exact"/>
        <w:rPr>
          <w:rFonts w:ascii="Arial" w:cs="Arial" w:eastAsia="Arial" w:hAnsi="Arial"/>
          <w:sz w:val="12"/>
          <w:szCs w:val="12"/>
          <w:color w:val="auto"/>
        </w:rPr>
      </w:pPr>
    </w:p>
    <w:p>
      <w:pPr>
        <w:ind w:left="360" w:right="439" w:firstLine="334"/>
        <w:spacing w:after="0" w:line="247" w:lineRule="auto"/>
        <w:tabs>
          <w:tab w:leader="none" w:pos="826"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Indemnification for Expenses of a Party Who is Wholly or Partly Successful. </w:t>
      </w:r>
      <w:r>
        <w:rPr>
          <w:rFonts w:ascii="Arial" w:cs="Arial" w:eastAsia="Arial" w:hAnsi="Arial"/>
          <w:sz w:val="14"/>
          <w:szCs w:val="14"/>
          <w:color w:val="auto"/>
        </w:rPr>
        <w:t>To the extent that Indemnitee is a party to or a participant in</w:t>
      </w:r>
      <w:r>
        <w:rPr>
          <w:rFonts w:ascii="Arial" w:cs="Arial" w:eastAsia="Arial" w:hAnsi="Arial"/>
          <w:sz w:val="14"/>
          <w:szCs w:val="14"/>
          <w:b w:val="1"/>
          <w:bCs w:val="1"/>
          <w:color w:val="auto"/>
        </w:rPr>
        <w:t xml:space="preserve"> </w:t>
      </w:r>
      <w:r>
        <w:rPr>
          <w:rFonts w:ascii="Arial" w:cs="Arial" w:eastAsia="Arial" w:hAnsi="Arial"/>
          <w:sz w:val="14"/>
          <w:szCs w:val="14"/>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spacing w:after="0" w:line="64" w:lineRule="exact"/>
        <w:rPr>
          <w:rFonts w:ascii="Arial" w:cs="Arial" w:eastAsia="Arial" w:hAnsi="Arial"/>
          <w:sz w:val="14"/>
          <w:szCs w:val="14"/>
          <w:color w:val="auto"/>
        </w:rPr>
      </w:pPr>
    </w:p>
    <w:p>
      <w:pPr>
        <w:ind w:left="360" w:right="519" w:firstLine="334"/>
        <w:spacing w:after="0" w:line="252" w:lineRule="auto"/>
        <w:tabs>
          <w:tab w:leader="none" w:pos="826"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Indemnification for Expenses of a Witness. </w:t>
      </w:r>
      <w:r>
        <w:rPr>
          <w:rFonts w:ascii="Arial" w:cs="Arial" w:eastAsia="Arial" w:hAnsi="Arial"/>
          <w:sz w:val="14"/>
          <w:szCs w:val="14"/>
          <w:color w:val="auto"/>
        </w:rPr>
        <w:t>To the extent that Indemnitee is, by reason of his or her Corporate Status, a witness in any</w:t>
      </w:r>
      <w:r>
        <w:rPr>
          <w:rFonts w:ascii="Arial" w:cs="Arial" w:eastAsia="Arial" w:hAnsi="Arial"/>
          <w:sz w:val="14"/>
          <w:szCs w:val="14"/>
          <w:b w:val="1"/>
          <w:bCs w:val="1"/>
          <w:color w:val="auto"/>
        </w:rPr>
        <w:t xml:space="preserve"> </w:t>
      </w:r>
      <w:r>
        <w:rPr>
          <w:rFonts w:ascii="Arial" w:cs="Arial" w:eastAsia="Arial" w:hAnsi="Arial"/>
          <w:sz w:val="14"/>
          <w:szCs w:val="14"/>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61" w:lineRule="exact"/>
        <w:rPr>
          <w:rFonts w:ascii="Arial" w:cs="Arial" w:eastAsia="Arial" w:hAnsi="Arial"/>
          <w:sz w:val="14"/>
          <w:szCs w:val="14"/>
          <w:color w:val="auto"/>
        </w:rPr>
      </w:pPr>
    </w:p>
    <w:p>
      <w:pPr>
        <w:ind w:left="820" w:hanging="126"/>
        <w:spacing w:after="0"/>
        <w:tabs>
          <w:tab w:leader="none" w:pos="820"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Additional Indemnification.</w:t>
      </w:r>
    </w:p>
    <w:p>
      <w:pPr>
        <w:spacing w:after="0" w:line="84" w:lineRule="exact"/>
        <w:rPr>
          <w:rFonts w:ascii="Arial" w:cs="Arial" w:eastAsia="Arial" w:hAnsi="Arial"/>
          <w:sz w:val="14"/>
          <w:szCs w:val="14"/>
          <w:color w:val="auto"/>
        </w:rPr>
      </w:pPr>
    </w:p>
    <w:p>
      <w:pPr>
        <w:ind w:left="360" w:right="399" w:firstLine="749"/>
        <w:spacing w:after="0" w:line="302" w:lineRule="auto"/>
        <w:tabs>
          <w:tab w:leader="none" w:pos="1289" w:val="left"/>
        </w:tabs>
        <w:numPr>
          <w:ilvl w:val="1"/>
          <w:numId w:val="66"/>
        </w:numPr>
        <w:rPr>
          <w:rFonts w:ascii="Arial" w:cs="Arial" w:eastAsia="Arial" w:hAnsi="Arial"/>
          <w:sz w:val="12"/>
          <w:szCs w:val="12"/>
          <w:color w:val="auto"/>
        </w:rPr>
      </w:pPr>
      <w:r>
        <w:rPr>
          <w:rFonts w:ascii="Arial" w:cs="Arial" w:eastAsia="Arial" w:hAnsi="Arial"/>
          <w:sz w:val="12"/>
          <w:szCs w:val="12"/>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36" w:lineRule="exact"/>
        <w:rPr>
          <w:rFonts w:ascii="Arial" w:cs="Arial" w:eastAsia="Arial" w:hAnsi="Arial"/>
          <w:sz w:val="12"/>
          <w:szCs w:val="12"/>
          <w:color w:val="auto"/>
        </w:rPr>
      </w:pPr>
    </w:p>
    <w:p>
      <w:pPr>
        <w:ind w:left="1300" w:hanging="191"/>
        <w:spacing w:after="0"/>
        <w:tabs>
          <w:tab w:leader="none" w:pos="1300" w:val="left"/>
        </w:tabs>
        <w:numPr>
          <w:ilvl w:val="1"/>
          <w:numId w:val="66"/>
        </w:numPr>
        <w:rPr>
          <w:rFonts w:ascii="Arial" w:cs="Arial" w:eastAsia="Arial" w:hAnsi="Arial"/>
          <w:sz w:val="12"/>
          <w:szCs w:val="12"/>
          <w:color w:val="auto"/>
        </w:rPr>
      </w:pPr>
      <w:r>
        <w:rPr>
          <w:rFonts w:ascii="Arial" w:cs="Arial" w:eastAsia="Arial" w:hAnsi="Arial"/>
          <w:sz w:val="12"/>
          <w:szCs w:val="12"/>
          <w:color w:val="auto"/>
        </w:rPr>
        <w:t>For purposes of Section 6(a), the meaning of the phrase “</w:t>
      </w:r>
      <w:r>
        <w:rPr>
          <w:rFonts w:ascii="Arial" w:cs="Arial" w:eastAsia="Arial" w:hAnsi="Arial"/>
          <w:sz w:val="12"/>
          <w:szCs w:val="12"/>
          <w:b w:val="1"/>
          <w:bCs w:val="1"/>
          <w:i w:val="1"/>
          <w:iCs w:val="1"/>
          <w:color w:val="auto"/>
        </w:rPr>
        <w:t>to the fullest extent permitted by applicable law</w:t>
      </w:r>
      <w:r>
        <w:rPr>
          <w:rFonts w:ascii="Arial" w:cs="Arial" w:eastAsia="Arial" w:hAnsi="Arial"/>
          <w:sz w:val="12"/>
          <w:szCs w:val="12"/>
          <w:color w:val="auto"/>
        </w:rPr>
        <w:t>” shall include, but not be</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limited to:</w:t>
      </w:r>
    </w:p>
    <w:p>
      <w:pPr>
        <w:spacing w:after="0" w:line="72" w:lineRule="exact"/>
        <w:rPr>
          <w:rFonts w:ascii="Arial" w:cs="Arial" w:eastAsia="Arial" w:hAnsi="Arial"/>
          <w:sz w:val="12"/>
          <w:szCs w:val="12"/>
          <w:color w:val="auto"/>
        </w:rPr>
      </w:pPr>
    </w:p>
    <w:p>
      <w:pPr>
        <w:ind w:left="360" w:right="939" w:firstLine="1080"/>
        <w:spacing w:after="0" w:line="259" w:lineRule="auto"/>
        <w:tabs>
          <w:tab w:leader="none" w:pos="1598" w:val="left"/>
        </w:tabs>
        <w:numPr>
          <w:ilvl w:val="2"/>
          <w:numId w:val="66"/>
        </w:numPr>
        <w:rPr>
          <w:rFonts w:ascii="Arial" w:cs="Arial" w:eastAsia="Arial" w:hAnsi="Arial"/>
          <w:sz w:val="14"/>
          <w:szCs w:val="14"/>
          <w:color w:val="auto"/>
        </w:rPr>
      </w:pPr>
      <w:r>
        <w:rPr>
          <w:rFonts w:ascii="Arial" w:cs="Arial" w:eastAsia="Arial" w:hAnsi="Arial"/>
          <w:sz w:val="14"/>
          <w:szCs w:val="14"/>
          <w:color w:val="auto"/>
        </w:rPr>
        <w:t>the fullest extent permitted by the provision of the DGCL that authorizes or contemplates additional indemnification by agreement, or the corresponding provision of any amendment to or replacement of the DGCL; and</w:t>
      </w:r>
    </w:p>
    <w:p>
      <w:pPr>
        <w:spacing w:after="0" w:line="58" w:lineRule="exact"/>
        <w:rPr>
          <w:rFonts w:ascii="Arial" w:cs="Arial" w:eastAsia="Arial" w:hAnsi="Arial"/>
          <w:sz w:val="14"/>
          <w:szCs w:val="14"/>
          <w:color w:val="auto"/>
        </w:rPr>
      </w:pPr>
    </w:p>
    <w:p>
      <w:pPr>
        <w:ind w:left="360" w:right="699" w:firstLine="1080"/>
        <w:spacing w:after="0" w:line="259" w:lineRule="auto"/>
        <w:tabs>
          <w:tab w:leader="none" w:pos="1636" w:val="left"/>
        </w:tabs>
        <w:numPr>
          <w:ilvl w:val="2"/>
          <w:numId w:val="66"/>
        </w:numPr>
        <w:rPr>
          <w:rFonts w:ascii="Arial" w:cs="Arial" w:eastAsia="Arial" w:hAnsi="Arial"/>
          <w:sz w:val="14"/>
          <w:szCs w:val="14"/>
          <w:color w:val="auto"/>
        </w:rPr>
      </w:pPr>
      <w:r>
        <w:rPr>
          <w:rFonts w:ascii="Arial" w:cs="Arial" w:eastAsia="Arial" w:hAnsi="Arial"/>
          <w:sz w:val="14"/>
          <w:szCs w:val="14"/>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56" w:lineRule="exact"/>
        <w:rPr>
          <w:rFonts w:ascii="Arial" w:cs="Arial" w:eastAsia="Arial" w:hAnsi="Arial"/>
          <w:sz w:val="14"/>
          <w:szCs w:val="14"/>
          <w:color w:val="auto"/>
        </w:rPr>
      </w:pPr>
    </w:p>
    <w:p>
      <w:pPr>
        <w:ind w:left="360" w:right="939" w:firstLine="334"/>
        <w:spacing w:after="0" w:line="262" w:lineRule="auto"/>
        <w:tabs>
          <w:tab w:leader="none" w:pos="826" w:val="left"/>
        </w:tabs>
        <w:numPr>
          <w:ilvl w:val="0"/>
          <w:numId w:val="66"/>
        </w:numPr>
        <w:rPr>
          <w:rFonts w:ascii="Arial" w:cs="Arial" w:eastAsia="Arial" w:hAnsi="Arial"/>
          <w:sz w:val="14"/>
          <w:szCs w:val="14"/>
          <w:color w:val="auto"/>
        </w:rPr>
      </w:pPr>
      <w:r>
        <w:rPr>
          <w:rFonts w:ascii="Arial" w:cs="Arial" w:eastAsia="Arial" w:hAnsi="Arial"/>
          <w:sz w:val="14"/>
          <w:szCs w:val="14"/>
          <w:b w:val="1"/>
          <w:bCs w:val="1"/>
          <w:color w:val="auto"/>
        </w:rPr>
        <w:t xml:space="preserve">Exclusions. </w:t>
      </w:r>
      <w:r>
        <w:rPr>
          <w:rFonts w:ascii="Arial" w:cs="Arial" w:eastAsia="Arial" w:hAnsi="Arial"/>
          <w:sz w:val="14"/>
          <w:szCs w:val="14"/>
          <w:color w:val="auto"/>
        </w:rPr>
        <w:t>Notwithstanding any provision in this Agreement, the Company shall not be obligated under this Agreement to make any</w:t>
      </w:r>
      <w:r>
        <w:rPr>
          <w:rFonts w:ascii="Arial" w:cs="Arial" w:eastAsia="Arial" w:hAnsi="Arial"/>
          <w:sz w:val="14"/>
          <w:szCs w:val="14"/>
          <w:b w:val="1"/>
          <w:bCs w:val="1"/>
          <w:color w:val="auto"/>
        </w:rPr>
        <w:t xml:space="preserve"> </w:t>
      </w:r>
      <w:r>
        <w:rPr>
          <w:rFonts w:ascii="Arial" w:cs="Arial" w:eastAsia="Arial" w:hAnsi="Arial"/>
          <w:sz w:val="14"/>
          <w:szCs w:val="14"/>
          <w:color w:val="auto"/>
        </w:rPr>
        <w:t>indemnity in connection with any Proceeding (or any part of any Proceeding):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38" w:right="1440" w:bottom="1440" w:gutter="0" w:footer="0" w:header="0"/>
        </w:sectPr>
      </w:pPr>
    </w:p>
    <w:bookmarkStart w:id="67" w:name="page68"/>
    <w:bookmarkEnd w:id="67"/>
    <w:p>
      <w:pPr>
        <w:ind w:left="360" w:right="439" w:firstLine="749"/>
        <w:spacing w:after="0" w:line="259" w:lineRule="auto"/>
        <w:tabs>
          <w:tab w:leader="none" w:pos="1289" w:val="left"/>
        </w:tabs>
        <w:numPr>
          <w:ilvl w:val="1"/>
          <w:numId w:val="6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for which payment has actually been made to or on behalf of Indemnitee under any statute, insurance policy, indemnity provision, vote or otherwise, except with respect to any excess beyond the amount paid;</w:t>
      </w:r>
    </w:p>
    <w:p>
      <w:pPr>
        <w:spacing w:after="0" w:line="58" w:lineRule="exact"/>
        <w:rPr>
          <w:rFonts w:ascii="Arial" w:cs="Arial" w:eastAsia="Arial" w:hAnsi="Arial"/>
          <w:sz w:val="14"/>
          <w:szCs w:val="14"/>
          <w:color w:val="auto"/>
        </w:rPr>
      </w:pPr>
    </w:p>
    <w:p>
      <w:pPr>
        <w:ind w:left="360" w:right="459" w:firstLine="749"/>
        <w:spacing w:after="0" w:line="250" w:lineRule="auto"/>
        <w:tabs>
          <w:tab w:leader="none" w:pos="1297" w:val="left"/>
        </w:tabs>
        <w:numPr>
          <w:ilvl w:val="1"/>
          <w:numId w:val="67"/>
        </w:numPr>
        <w:rPr>
          <w:rFonts w:ascii="Arial" w:cs="Arial" w:eastAsia="Arial" w:hAnsi="Arial"/>
          <w:sz w:val="14"/>
          <w:szCs w:val="14"/>
          <w:color w:val="auto"/>
        </w:rPr>
      </w:pPr>
      <w:r>
        <w:rPr>
          <w:rFonts w:ascii="Arial" w:cs="Arial" w:eastAsia="Arial" w:hAnsi="Arial"/>
          <w:sz w:val="14"/>
          <w:szCs w:val="14"/>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65" w:lineRule="exact"/>
        <w:rPr>
          <w:rFonts w:ascii="Arial" w:cs="Arial" w:eastAsia="Arial" w:hAnsi="Arial"/>
          <w:sz w:val="14"/>
          <w:szCs w:val="14"/>
          <w:color w:val="auto"/>
        </w:rPr>
      </w:pPr>
    </w:p>
    <w:p>
      <w:pPr>
        <w:ind w:left="360" w:right="439" w:firstLine="749"/>
        <w:spacing w:after="0" w:line="297" w:lineRule="auto"/>
        <w:tabs>
          <w:tab w:leader="none" w:pos="1289" w:val="left"/>
        </w:tabs>
        <w:numPr>
          <w:ilvl w:val="1"/>
          <w:numId w:val="67"/>
        </w:numPr>
        <w:rPr>
          <w:rFonts w:ascii="Arial" w:cs="Arial" w:eastAsia="Arial" w:hAnsi="Arial"/>
          <w:sz w:val="12"/>
          <w:szCs w:val="12"/>
          <w:color w:val="auto"/>
        </w:rPr>
      </w:pPr>
      <w:r>
        <w:rPr>
          <w:rFonts w:ascii="Arial" w:cs="Arial" w:eastAsia="Arial" w:hAnsi="Arial"/>
          <w:sz w:val="12"/>
          <w:szCs w:val="12"/>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2"/>
          <w:szCs w:val="12"/>
          <w:b w:val="1"/>
          <w:bCs w:val="1"/>
          <w:i w:val="1"/>
          <w:iCs w:val="1"/>
          <w:color w:val="auto"/>
        </w:rPr>
        <w:t>Sarbanes-Oxley Act</w:t>
      </w:r>
      <w:r>
        <w:rPr>
          <w:rFonts w:ascii="Arial" w:cs="Arial" w:eastAsia="Arial" w:hAnsi="Arial"/>
          <w:sz w:val="12"/>
          <w:szCs w:val="12"/>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39" w:lineRule="exact"/>
        <w:rPr>
          <w:rFonts w:ascii="Arial" w:cs="Arial" w:eastAsia="Arial" w:hAnsi="Arial"/>
          <w:sz w:val="12"/>
          <w:szCs w:val="12"/>
          <w:color w:val="auto"/>
        </w:rPr>
      </w:pPr>
    </w:p>
    <w:p>
      <w:pPr>
        <w:ind w:left="360" w:right="379" w:firstLine="749"/>
        <w:spacing w:after="0" w:line="302" w:lineRule="auto"/>
        <w:tabs>
          <w:tab w:leader="none" w:pos="1297" w:val="left"/>
        </w:tabs>
        <w:numPr>
          <w:ilvl w:val="1"/>
          <w:numId w:val="67"/>
        </w:numPr>
        <w:rPr>
          <w:rFonts w:ascii="Arial" w:cs="Arial" w:eastAsia="Arial" w:hAnsi="Arial"/>
          <w:sz w:val="12"/>
          <w:szCs w:val="12"/>
          <w:color w:val="auto"/>
        </w:rPr>
      </w:pPr>
      <w:r>
        <w:rPr>
          <w:rFonts w:ascii="Arial" w:cs="Arial" w:eastAsia="Arial" w:hAnsi="Arial"/>
          <w:sz w:val="12"/>
          <w:szCs w:val="12"/>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36" w:lineRule="exact"/>
        <w:rPr>
          <w:rFonts w:ascii="Arial" w:cs="Arial" w:eastAsia="Arial" w:hAnsi="Arial"/>
          <w:sz w:val="12"/>
          <w:szCs w:val="12"/>
          <w:color w:val="auto"/>
        </w:rPr>
      </w:pPr>
    </w:p>
    <w:p>
      <w:pPr>
        <w:ind w:left="1300" w:hanging="191"/>
        <w:spacing w:after="0"/>
        <w:tabs>
          <w:tab w:leader="none" w:pos="1300" w:val="left"/>
        </w:tabs>
        <w:numPr>
          <w:ilvl w:val="1"/>
          <w:numId w:val="67"/>
        </w:numPr>
        <w:rPr>
          <w:rFonts w:ascii="Arial" w:cs="Arial" w:eastAsia="Arial" w:hAnsi="Arial"/>
          <w:sz w:val="14"/>
          <w:szCs w:val="14"/>
          <w:color w:val="auto"/>
        </w:rPr>
      </w:pPr>
      <w:r>
        <w:rPr>
          <w:rFonts w:ascii="Arial" w:cs="Arial" w:eastAsia="Arial" w:hAnsi="Arial"/>
          <w:sz w:val="14"/>
          <w:szCs w:val="14"/>
          <w:color w:val="auto"/>
        </w:rPr>
        <w:t>if prohibited by applicable law.</w:t>
      </w:r>
    </w:p>
    <w:p>
      <w:pPr>
        <w:spacing w:after="0" w:line="80" w:lineRule="exact"/>
        <w:rPr>
          <w:rFonts w:ascii="Arial" w:cs="Arial" w:eastAsia="Arial" w:hAnsi="Arial"/>
          <w:sz w:val="14"/>
          <w:szCs w:val="14"/>
          <w:color w:val="auto"/>
        </w:rPr>
      </w:pPr>
    </w:p>
    <w:p>
      <w:pPr>
        <w:ind w:left="360" w:right="399" w:firstLine="334"/>
        <w:spacing w:after="0" w:line="289" w:lineRule="auto"/>
        <w:tabs>
          <w:tab w:leader="none" w:pos="826"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Advances of Expenses. </w:t>
      </w:r>
      <w:r>
        <w:rPr>
          <w:rFonts w:ascii="Arial" w:cs="Arial" w:eastAsia="Arial" w:hAnsi="Arial"/>
          <w:sz w:val="12"/>
          <w:szCs w:val="12"/>
          <w:color w:val="auto"/>
        </w:rPr>
        <w:t>The Company shall advance the Expenses incurred by Indemnitee in connection with any Proceeding prior to its final</w:t>
      </w:r>
      <w:r>
        <w:rPr>
          <w:rFonts w:ascii="Arial" w:cs="Arial" w:eastAsia="Arial" w:hAnsi="Arial"/>
          <w:sz w:val="12"/>
          <w:szCs w:val="12"/>
          <w:b w:val="1"/>
          <w:bCs w:val="1"/>
          <w:color w:val="auto"/>
        </w:rPr>
        <w:t xml:space="preserve"> </w:t>
      </w:r>
      <w:r>
        <w:rPr>
          <w:rFonts w:ascii="Arial" w:cs="Arial" w:eastAsia="Arial" w:hAnsi="Arial"/>
          <w:sz w:val="12"/>
          <w:szCs w:val="12"/>
          <w:color w:val="auto"/>
        </w:rPr>
        <w:t>disposition, and such advancement shall be made as soon as reasonably practicable, but in any event no later than 90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spacing w:after="0" w:line="43" w:lineRule="exact"/>
        <w:rPr>
          <w:rFonts w:ascii="Arial" w:cs="Arial" w:eastAsia="Arial" w:hAnsi="Arial"/>
          <w:sz w:val="12"/>
          <w:szCs w:val="12"/>
          <w:color w:val="auto"/>
        </w:rPr>
      </w:pPr>
    </w:p>
    <w:p>
      <w:pPr>
        <w:ind w:left="820" w:hanging="126"/>
        <w:spacing w:after="0"/>
        <w:tabs>
          <w:tab w:leader="none" w:pos="820" w:val="left"/>
        </w:tabs>
        <w:numPr>
          <w:ilvl w:val="0"/>
          <w:numId w:val="68"/>
        </w:numPr>
        <w:rPr>
          <w:rFonts w:ascii="Arial" w:cs="Arial" w:eastAsia="Arial" w:hAnsi="Arial"/>
          <w:sz w:val="14"/>
          <w:szCs w:val="14"/>
          <w:color w:val="auto"/>
        </w:rPr>
      </w:pPr>
      <w:r>
        <w:rPr>
          <w:rFonts w:ascii="Arial" w:cs="Arial" w:eastAsia="Arial" w:hAnsi="Arial"/>
          <w:sz w:val="14"/>
          <w:szCs w:val="14"/>
          <w:b w:val="1"/>
          <w:bCs w:val="1"/>
          <w:color w:val="auto"/>
        </w:rPr>
        <w:t>Procedures for Notification and Defense of Claim.</w:t>
      </w:r>
    </w:p>
    <w:p>
      <w:pPr>
        <w:spacing w:after="0" w:line="84" w:lineRule="exact"/>
        <w:rPr>
          <w:rFonts w:ascii="Arial" w:cs="Arial" w:eastAsia="Arial" w:hAnsi="Arial"/>
          <w:sz w:val="14"/>
          <w:szCs w:val="14"/>
          <w:color w:val="auto"/>
        </w:rPr>
      </w:pPr>
    </w:p>
    <w:p>
      <w:pPr>
        <w:ind w:left="360" w:right="499" w:firstLine="749"/>
        <w:spacing w:after="0" w:line="294" w:lineRule="auto"/>
        <w:tabs>
          <w:tab w:leader="none" w:pos="1289" w:val="left"/>
        </w:tabs>
        <w:numPr>
          <w:ilvl w:val="1"/>
          <w:numId w:val="68"/>
        </w:numPr>
        <w:rPr>
          <w:rFonts w:ascii="Arial" w:cs="Arial" w:eastAsia="Arial" w:hAnsi="Arial"/>
          <w:sz w:val="12"/>
          <w:szCs w:val="12"/>
          <w:color w:val="auto"/>
        </w:rPr>
      </w:pPr>
      <w:r>
        <w:rPr>
          <w:rFonts w:ascii="Arial" w:cs="Arial" w:eastAsia="Arial" w:hAnsi="Arial"/>
          <w:sz w:val="12"/>
          <w:szCs w:val="12"/>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68" w:name="page69"/>
    <w:bookmarkEnd w:id="68"/>
    <w:p>
      <w:pPr>
        <w:ind w:left="360" w:right="479" w:firstLine="749"/>
        <w:spacing w:after="0" w:line="302" w:lineRule="auto"/>
        <w:tabs>
          <w:tab w:leader="none" w:pos="1297" w:val="left"/>
        </w:tabs>
        <w:numPr>
          <w:ilvl w:val="1"/>
          <w:numId w:val="6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36" w:lineRule="exact"/>
        <w:rPr>
          <w:rFonts w:ascii="Arial" w:cs="Arial" w:eastAsia="Arial" w:hAnsi="Arial"/>
          <w:sz w:val="12"/>
          <w:szCs w:val="12"/>
          <w:color w:val="auto"/>
        </w:rPr>
      </w:pPr>
    </w:p>
    <w:p>
      <w:pPr>
        <w:ind w:left="360" w:right="399" w:firstLine="749"/>
        <w:spacing w:after="0" w:line="287" w:lineRule="auto"/>
        <w:tabs>
          <w:tab w:leader="none" w:pos="1289" w:val="left"/>
        </w:tabs>
        <w:numPr>
          <w:ilvl w:val="1"/>
          <w:numId w:val="69"/>
        </w:numPr>
        <w:rPr>
          <w:rFonts w:ascii="Arial" w:cs="Arial" w:eastAsia="Arial" w:hAnsi="Arial"/>
          <w:sz w:val="12"/>
          <w:szCs w:val="12"/>
          <w:color w:val="auto"/>
        </w:rPr>
      </w:pPr>
      <w:r>
        <w:rPr>
          <w:rFonts w:ascii="Arial" w:cs="Arial" w:eastAsia="Arial" w:hAnsi="Arial"/>
          <w:sz w:val="12"/>
          <w:szCs w:val="12"/>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49" w:lineRule="exact"/>
        <w:rPr>
          <w:rFonts w:ascii="Arial" w:cs="Arial" w:eastAsia="Arial" w:hAnsi="Arial"/>
          <w:sz w:val="12"/>
          <w:szCs w:val="12"/>
          <w:color w:val="auto"/>
        </w:rPr>
      </w:pPr>
    </w:p>
    <w:p>
      <w:pPr>
        <w:ind w:left="1300" w:hanging="191"/>
        <w:spacing w:after="0"/>
        <w:tabs>
          <w:tab w:leader="none" w:pos="1300" w:val="left"/>
        </w:tabs>
        <w:numPr>
          <w:ilvl w:val="1"/>
          <w:numId w:val="69"/>
        </w:numPr>
        <w:rPr>
          <w:rFonts w:ascii="Arial" w:cs="Arial" w:eastAsia="Arial" w:hAnsi="Arial"/>
          <w:sz w:val="12"/>
          <w:szCs w:val="12"/>
          <w:color w:val="auto"/>
        </w:rPr>
      </w:pPr>
      <w:r>
        <w:rPr>
          <w:rFonts w:ascii="Arial" w:cs="Arial" w:eastAsia="Arial" w:hAnsi="Arial"/>
          <w:sz w:val="12"/>
          <w:szCs w:val="12"/>
          <w:color w:val="auto"/>
        </w:rPr>
        <w:t>Indemnitee shall give the Company such information and cooperation in connection with the Proceeding as may be reasonably</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appropriate.</w:t>
      </w:r>
    </w:p>
    <w:p>
      <w:pPr>
        <w:spacing w:after="0" w:line="72" w:lineRule="exact"/>
        <w:rPr>
          <w:rFonts w:ascii="Arial" w:cs="Arial" w:eastAsia="Arial" w:hAnsi="Arial"/>
          <w:sz w:val="12"/>
          <w:szCs w:val="12"/>
          <w:color w:val="auto"/>
        </w:rPr>
      </w:pPr>
    </w:p>
    <w:p>
      <w:pPr>
        <w:ind w:left="360" w:right="799" w:firstLine="749"/>
        <w:spacing w:after="0" w:line="259" w:lineRule="auto"/>
        <w:tabs>
          <w:tab w:leader="none" w:pos="1289" w:val="left"/>
        </w:tabs>
        <w:numPr>
          <w:ilvl w:val="1"/>
          <w:numId w:val="69"/>
        </w:numPr>
        <w:rPr>
          <w:rFonts w:ascii="Arial" w:cs="Arial" w:eastAsia="Arial" w:hAnsi="Arial"/>
          <w:sz w:val="14"/>
          <w:szCs w:val="14"/>
          <w:color w:val="auto"/>
        </w:rPr>
      </w:pPr>
      <w:r>
        <w:rPr>
          <w:rFonts w:ascii="Arial" w:cs="Arial" w:eastAsia="Arial" w:hAnsi="Arial"/>
          <w:sz w:val="14"/>
          <w:szCs w:val="14"/>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58" w:lineRule="exact"/>
        <w:rPr>
          <w:rFonts w:ascii="Arial" w:cs="Arial" w:eastAsia="Arial" w:hAnsi="Arial"/>
          <w:sz w:val="14"/>
          <w:szCs w:val="14"/>
          <w:color w:val="auto"/>
        </w:rPr>
      </w:pPr>
    </w:p>
    <w:p>
      <w:pPr>
        <w:ind w:left="360" w:right="699" w:firstLine="749"/>
        <w:spacing w:after="0" w:line="342" w:lineRule="auto"/>
        <w:tabs>
          <w:tab w:leader="none" w:pos="1274" w:val="left"/>
        </w:tabs>
        <w:numPr>
          <w:ilvl w:val="1"/>
          <w:numId w:val="69"/>
        </w:numPr>
        <w:rPr>
          <w:rFonts w:ascii="Arial" w:cs="Arial" w:eastAsia="Arial" w:hAnsi="Arial"/>
          <w:sz w:val="12"/>
          <w:szCs w:val="12"/>
          <w:color w:val="auto"/>
        </w:rPr>
      </w:pPr>
      <w:r>
        <w:rPr>
          <w:rFonts w:ascii="Arial" w:cs="Arial" w:eastAsia="Arial" w:hAnsi="Arial"/>
          <w:sz w:val="12"/>
          <w:szCs w:val="12"/>
          <w:color w:val="auto"/>
        </w:rPr>
        <w:t>The Company shall not settle any Proceeding (or any part thereof) in a manner that imposes any penalty or liability on Indemnitee without Indemnitee’s prior written consent, which shall not be unreasonably withheld, conditioned or delayed.</w:t>
      </w:r>
    </w:p>
    <w:p>
      <w:pPr>
        <w:spacing w:after="0" w:line="10" w:lineRule="exact"/>
        <w:rPr>
          <w:rFonts w:ascii="Arial" w:cs="Arial" w:eastAsia="Arial" w:hAnsi="Arial"/>
          <w:sz w:val="12"/>
          <w:szCs w:val="12"/>
          <w:color w:val="auto"/>
        </w:rPr>
      </w:pPr>
    </w:p>
    <w:p>
      <w:pPr>
        <w:ind w:left="900" w:hanging="206"/>
        <w:spacing w:after="0"/>
        <w:tabs>
          <w:tab w:leader="none" w:pos="900" w:val="left"/>
        </w:tabs>
        <w:numPr>
          <w:ilvl w:val="0"/>
          <w:numId w:val="70"/>
        </w:numPr>
        <w:rPr>
          <w:rFonts w:ascii="Arial" w:cs="Arial" w:eastAsia="Arial" w:hAnsi="Arial"/>
          <w:sz w:val="14"/>
          <w:szCs w:val="14"/>
          <w:color w:val="auto"/>
        </w:rPr>
      </w:pPr>
      <w:r>
        <w:rPr>
          <w:rFonts w:ascii="Arial" w:cs="Arial" w:eastAsia="Arial" w:hAnsi="Arial"/>
          <w:sz w:val="14"/>
          <w:szCs w:val="14"/>
          <w:b w:val="1"/>
          <w:bCs w:val="1"/>
          <w:color w:val="auto"/>
        </w:rPr>
        <w:t>Procedures upon Application for Indemnification.</w:t>
      </w:r>
    </w:p>
    <w:p>
      <w:pPr>
        <w:spacing w:after="0" w:line="84" w:lineRule="exact"/>
        <w:rPr>
          <w:rFonts w:ascii="Arial" w:cs="Arial" w:eastAsia="Arial" w:hAnsi="Arial"/>
          <w:sz w:val="14"/>
          <w:szCs w:val="14"/>
          <w:color w:val="auto"/>
        </w:rPr>
      </w:pPr>
    </w:p>
    <w:p>
      <w:pPr>
        <w:ind w:left="360" w:right="799" w:firstLine="749"/>
        <w:spacing w:after="0" w:line="302" w:lineRule="auto"/>
        <w:tabs>
          <w:tab w:leader="none" w:pos="1289" w:val="left"/>
        </w:tabs>
        <w:numPr>
          <w:ilvl w:val="1"/>
          <w:numId w:val="70"/>
        </w:numPr>
        <w:rPr>
          <w:rFonts w:ascii="Arial" w:cs="Arial" w:eastAsia="Arial" w:hAnsi="Arial"/>
          <w:sz w:val="12"/>
          <w:szCs w:val="12"/>
          <w:color w:val="auto"/>
        </w:rPr>
      </w:pPr>
      <w:r>
        <w:rPr>
          <w:rFonts w:ascii="Arial" w:cs="Arial" w:eastAsia="Arial" w:hAnsi="Arial"/>
          <w:sz w:val="12"/>
          <w:szCs w:val="12"/>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36" w:lineRule="exact"/>
        <w:rPr>
          <w:rFonts w:ascii="Arial" w:cs="Arial" w:eastAsia="Arial" w:hAnsi="Arial"/>
          <w:sz w:val="12"/>
          <w:szCs w:val="12"/>
          <w:color w:val="auto"/>
        </w:rPr>
      </w:pPr>
    </w:p>
    <w:p>
      <w:pPr>
        <w:ind w:left="360" w:right="439" w:firstLine="749"/>
        <w:spacing w:after="0" w:line="246" w:lineRule="auto"/>
        <w:tabs>
          <w:tab w:leader="none" w:pos="1297" w:val="left"/>
        </w:tabs>
        <w:numPr>
          <w:ilvl w:val="1"/>
          <w:numId w:val="70"/>
        </w:numPr>
        <w:rPr>
          <w:rFonts w:ascii="Arial" w:cs="Arial" w:eastAsia="Arial" w:hAnsi="Arial"/>
          <w:sz w:val="14"/>
          <w:szCs w:val="14"/>
          <w:color w:val="auto"/>
        </w:rPr>
      </w:pPr>
      <w:r>
        <w:rPr>
          <w:rFonts w:ascii="Arial" w:cs="Arial" w:eastAsia="Arial" w:hAnsi="Arial"/>
          <w:sz w:val="14"/>
          <w:szCs w:val="14"/>
          <w:color w:val="auto"/>
        </w:rPr>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69" w:name="page70"/>
    <w:bookmarkEnd w:id="69"/>
    <w:p>
      <w:pPr>
        <w:ind w:left="360" w:right="399"/>
        <w:spacing w:after="0" w:line="28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47" w:lineRule="exact"/>
        <w:rPr>
          <w:sz w:val="20"/>
          <w:szCs w:val="20"/>
          <w:color w:val="auto"/>
        </w:rPr>
      </w:pPr>
    </w:p>
    <w:p>
      <w:pPr>
        <w:ind w:left="360" w:right="399" w:firstLine="749"/>
        <w:spacing w:after="0" w:line="285" w:lineRule="auto"/>
        <w:tabs>
          <w:tab w:leader="none" w:pos="1289" w:val="left"/>
        </w:tabs>
        <w:numPr>
          <w:ilvl w:val="1"/>
          <w:numId w:val="71"/>
        </w:numPr>
        <w:rPr>
          <w:rFonts w:ascii="Arial" w:cs="Arial" w:eastAsia="Arial" w:hAnsi="Arial"/>
          <w:sz w:val="12"/>
          <w:szCs w:val="12"/>
          <w:color w:val="auto"/>
        </w:rPr>
      </w:pPr>
      <w:r>
        <w:rPr>
          <w:rFonts w:ascii="Arial" w:cs="Arial" w:eastAsia="Arial" w:hAnsi="Arial"/>
          <w:sz w:val="12"/>
          <w:szCs w:val="12"/>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53" w:lineRule="exact"/>
        <w:rPr>
          <w:rFonts w:ascii="Arial" w:cs="Arial" w:eastAsia="Arial" w:hAnsi="Arial"/>
          <w:sz w:val="12"/>
          <w:szCs w:val="12"/>
          <w:color w:val="auto"/>
        </w:rPr>
      </w:pPr>
    </w:p>
    <w:p>
      <w:pPr>
        <w:ind w:left="1300" w:hanging="191"/>
        <w:spacing w:after="0"/>
        <w:tabs>
          <w:tab w:leader="none" w:pos="1300" w:val="left"/>
        </w:tabs>
        <w:numPr>
          <w:ilvl w:val="1"/>
          <w:numId w:val="71"/>
        </w:numPr>
        <w:rPr>
          <w:rFonts w:ascii="Arial" w:cs="Arial" w:eastAsia="Arial" w:hAnsi="Arial"/>
          <w:sz w:val="14"/>
          <w:szCs w:val="14"/>
          <w:color w:val="auto"/>
        </w:rPr>
      </w:pPr>
      <w:r>
        <w:rPr>
          <w:rFonts w:ascii="Arial" w:cs="Arial" w:eastAsia="Arial" w:hAnsi="Arial"/>
          <w:sz w:val="14"/>
          <w:szCs w:val="14"/>
          <w:color w:val="auto"/>
        </w:rPr>
        <w:t>The Company agrees to pay the reasonable fees and expenses of any Independent Counsel.</w:t>
      </w:r>
    </w:p>
    <w:p>
      <w:pPr>
        <w:spacing w:after="0" w:line="80" w:lineRule="exact"/>
        <w:rPr>
          <w:rFonts w:ascii="Arial" w:cs="Arial" w:eastAsia="Arial" w:hAnsi="Arial"/>
          <w:sz w:val="14"/>
          <w:szCs w:val="14"/>
          <w:color w:val="auto"/>
        </w:rPr>
      </w:pPr>
    </w:p>
    <w:p>
      <w:pPr>
        <w:ind w:left="900" w:hanging="206"/>
        <w:spacing w:after="0"/>
        <w:tabs>
          <w:tab w:leader="none" w:pos="900" w:val="left"/>
        </w:tabs>
        <w:numPr>
          <w:ilvl w:val="0"/>
          <w:numId w:val="72"/>
        </w:numPr>
        <w:rPr>
          <w:rFonts w:ascii="Arial" w:cs="Arial" w:eastAsia="Arial" w:hAnsi="Arial"/>
          <w:sz w:val="14"/>
          <w:szCs w:val="14"/>
          <w:color w:val="auto"/>
        </w:rPr>
      </w:pPr>
      <w:r>
        <w:rPr>
          <w:rFonts w:ascii="Arial" w:cs="Arial" w:eastAsia="Arial" w:hAnsi="Arial"/>
          <w:sz w:val="14"/>
          <w:szCs w:val="14"/>
          <w:b w:val="1"/>
          <w:bCs w:val="1"/>
          <w:color w:val="auto"/>
        </w:rPr>
        <w:t>Presumptions and Effect of Certain Proceedings.</w:t>
      </w:r>
    </w:p>
    <w:p>
      <w:pPr>
        <w:spacing w:after="0" w:line="84" w:lineRule="exact"/>
        <w:rPr>
          <w:rFonts w:ascii="Arial" w:cs="Arial" w:eastAsia="Arial" w:hAnsi="Arial"/>
          <w:sz w:val="14"/>
          <w:szCs w:val="14"/>
          <w:color w:val="auto"/>
        </w:rPr>
      </w:pPr>
    </w:p>
    <w:p>
      <w:pPr>
        <w:ind w:left="360" w:right="659" w:firstLine="749"/>
        <w:spacing w:after="0" w:line="312" w:lineRule="auto"/>
        <w:tabs>
          <w:tab w:leader="none" w:pos="1289" w:val="left"/>
        </w:tabs>
        <w:numPr>
          <w:ilvl w:val="1"/>
          <w:numId w:val="72"/>
        </w:numPr>
        <w:rPr>
          <w:rFonts w:ascii="Arial" w:cs="Arial" w:eastAsia="Arial" w:hAnsi="Arial"/>
          <w:sz w:val="12"/>
          <w:szCs w:val="12"/>
          <w:color w:val="auto"/>
        </w:rPr>
      </w:pPr>
      <w:r>
        <w:rPr>
          <w:rFonts w:ascii="Arial" w:cs="Arial" w:eastAsia="Arial" w:hAnsi="Arial"/>
          <w:sz w:val="12"/>
          <w:szCs w:val="12"/>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70" w:name="page71"/>
    <w:bookmarkEnd w:id="70"/>
    <w:p>
      <w:pPr>
        <w:ind w:left="360" w:right="399" w:firstLine="749"/>
        <w:spacing w:after="0" w:line="302" w:lineRule="auto"/>
        <w:tabs>
          <w:tab w:leader="none" w:pos="1297" w:val="left"/>
        </w:tabs>
        <w:numPr>
          <w:ilvl w:val="2"/>
          <w:numId w:val="7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Arial" w:cs="Arial" w:eastAsia="Arial" w:hAnsi="Arial"/>
          <w:sz w:val="12"/>
          <w:szCs w:val="12"/>
          <w:i w:val="1"/>
          <w:iCs w:val="1"/>
          <w:color w:val="auto"/>
        </w:rPr>
        <w:t>nolo contendere</w:t>
      </w:r>
      <w:r>
        <w:rPr>
          <w:rFonts w:ascii="Arial" w:cs="Arial" w:eastAsia="Arial" w:hAnsi="Arial"/>
          <w:sz w:val="12"/>
          <w:szCs w:val="12"/>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36" w:lineRule="exact"/>
        <w:rPr>
          <w:rFonts w:ascii="Arial" w:cs="Arial" w:eastAsia="Arial" w:hAnsi="Arial"/>
          <w:sz w:val="12"/>
          <w:szCs w:val="12"/>
          <w:color w:val="auto"/>
        </w:rPr>
      </w:pPr>
    </w:p>
    <w:p>
      <w:pPr>
        <w:ind w:left="360" w:right="479" w:firstLine="749"/>
        <w:spacing w:after="0" w:line="259" w:lineRule="auto"/>
        <w:tabs>
          <w:tab w:leader="none" w:pos="1289" w:val="left"/>
        </w:tabs>
        <w:numPr>
          <w:ilvl w:val="2"/>
          <w:numId w:val="73"/>
        </w:numPr>
        <w:rPr>
          <w:rFonts w:ascii="Arial" w:cs="Arial" w:eastAsia="Arial" w:hAnsi="Arial"/>
          <w:sz w:val="14"/>
          <w:szCs w:val="14"/>
          <w:color w:val="auto"/>
        </w:rPr>
      </w:pPr>
      <w:r>
        <w:rPr>
          <w:rFonts w:ascii="Arial" w:cs="Arial" w:eastAsia="Arial" w:hAnsi="Arial"/>
          <w:sz w:val="14"/>
          <w:szCs w:val="14"/>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56" w:lineRule="exact"/>
        <w:rPr>
          <w:rFonts w:ascii="Arial" w:cs="Arial" w:eastAsia="Arial" w:hAnsi="Arial"/>
          <w:sz w:val="14"/>
          <w:szCs w:val="14"/>
          <w:color w:val="auto"/>
        </w:rPr>
      </w:pPr>
    </w:p>
    <w:p>
      <w:pPr>
        <w:ind w:left="900" w:hanging="206"/>
        <w:spacing w:after="0"/>
        <w:tabs>
          <w:tab w:leader="none" w:pos="900" w:val="left"/>
        </w:tabs>
        <w:numPr>
          <w:ilvl w:val="1"/>
          <w:numId w:val="74"/>
        </w:numPr>
        <w:rPr>
          <w:rFonts w:ascii="Arial" w:cs="Arial" w:eastAsia="Arial" w:hAnsi="Arial"/>
          <w:sz w:val="14"/>
          <w:szCs w:val="14"/>
          <w:color w:val="auto"/>
        </w:rPr>
      </w:pPr>
      <w:r>
        <w:rPr>
          <w:rFonts w:ascii="Arial" w:cs="Arial" w:eastAsia="Arial" w:hAnsi="Arial"/>
          <w:sz w:val="14"/>
          <w:szCs w:val="14"/>
          <w:b w:val="1"/>
          <w:bCs w:val="1"/>
          <w:color w:val="auto"/>
        </w:rPr>
        <w:t>Remedies of Indemnitee.</w:t>
      </w:r>
    </w:p>
    <w:p>
      <w:pPr>
        <w:spacing w:after="0" w:line="84" w:lineRule="exact"/>
        <w:rPr>
          <w:rFonts w:ascii="Arial" w:cs="Arial" w:eastAsia="Arial" w:hAnsi="Arial"/>
          <w:sz w:val="14"/>
          <w:szCs w:val="14"/>
          <w:color w:val="auto"/>
        </w:rPr>
      </w:pPr>
    </w:p>
    <w:p>
      <w:pPr>
        <w:ind w:left="360" w:right="519" w:firstLine="749"/>
        <w:spacing w:after="0" w:line="291" w:lineRule="auto"/>
        <w:tabs>
          <w:tab w:leader="none" w:pos="1289" w:val="left"/>
        </w:tabs>
        <w:numPr>
          <w:ilvl w:val="2"/>
          <w:numId w:val="74"/>
        </w:numPr>
        <w:rPr>
          <w:rFonts w:ascii="Arial" w:cs="Arial" w:eastAsia="Arial" w:hAnsi="Arial"/>
          <w:sz w:val="12"/>
          <w:szCs w:val="12"/>
          <w:color w:val="auto"/>
        </w:rPr>
      </w:pPr>
      <w:r>
        <w:rPr>
          <w:rFonts w:ascii="Arial" w:cs="Arial" w:eastAsia="Arial" w:hAnsi="Arial"/>
          <w:sz w:val="12"/>
          <w:szCs w:val="12"/>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360" w:right="399" w:firstLine="3"/>
        <w:spacing w:after="0" w:line="282" w:lineRule="auto"/>
        <w:tabs>
          <w:tab w:leader="none" w:pos="597" w:val="left"/>
        </w:tabs>
        <w:numPr>
          <w:ilvl w:val="0"/>
          <w:numId w:val="75"/>
        </w:numPr>
        <w:rPr>
          <w:rFonts w:ascii="Arial" w:cs="Arial" w:eastAsia="Arial" w:hAnsi="Arial"/>
          <w:sz w:val="12"/>
          <w:szCs w:val="12"/>
          <w:color w:val="auto"/>
        </w:rPr>
      </w:pPr>
      <w:r>
        <w:rPr>
          <w:rFonts w:ascii="Arial" w:cs="Arial" w:eastAsia="Arial" w:hAnsi="Arial"/>
          <w:sz w:val="12"/>
          <w:szCs w:val="12"/>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ind w:left="360" w:right="439" w:firstLine="3"/>
        <w:spacing w:after="0" w:line="287" w:lineRule="auto"/>
        <w:tabs>
          <w:tab w:leader="none" w:pos="552" w:val="left"/>
        </w:tabs>
        <w:numPr>
          <w:ilvl w:val="0"/>
          <w:numId w:val="76"/>
        </w:numPr>
        <w:rPr>
          <w:rFonts w:ascii="Arial" w:cs="Arial" w:eastAsia="Arial" w:hAnsi="Arial"/>
          <w:sz w:val="12"/>
          <w:szCs w:val="12"/>
          <w:color w:val="auto"/>
        </w:rPr>
      </w:pPr>
      <w:r>
        <w:rPr>
          <w:rFonts w:ascii="Arial" w:cs="Arial" w:eastAsia="Arial" w:hAnsi="Arial"/>
          <w:sz w:val="12"/>
          <w:szCs w:val="12"/>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47" w:lineRule="exact"/>
        <w:rPr>
          <w:rFonts w:ascii="Arial" w:cs="Arial" w:eastAsia="Arial" w:hAnsi="Arial"/>
          <w:sz w:val="12"/>
          <w:szCs w:val="12"/>
          <w:color w:val="auto"/>
        </w:rPr>
      </w:pPr>
    </w:p>
    <w:p>
      <w:pPr>
        <w:ind w:left="360" w:right="399" w:firstLine="749"/>
        <w:spacing w:after="0" w:line="289" w:lineRule="auto"/>
        <w:tabs>
          <w:tab w:leader="none" w:pos="1297" w:val="left"/>
        </w:tabs>
        <w:numPr>
          <w:ilvl w:val="2"/>
          <w:numId w:val="76"/>
        </w:numPr>
        <w:rPr>
          <w:rFonts w:ascii="Arial" w:cs="Arial" w:eastAsia="Arial" w:hAnsi="Arial"/>
          <w:sz w:val="12"/>
          <w:szCs w:val="12"/>
          <w:color w:val="auto"/>
        </w:rPr>
      </w:pPr>
      <w:r>
        <w:rPr>
          <w:rFonts w:ascii="Arial" w:cs="Arial" w:eastAsia="Arial" w:hAnsi="Arial"/>
          <w:sz w:val="12"/>
          <w:szCs w:val="12"/>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Arial" w:cs="Arial" w:eastAsia="Arial" w:hAnsi="Arial"/>
          <w:sz w:val="12"/>
          <w:szCs w:val="12"/>
          <w:i w:val="1"/>
          <w:iCs w:val="1"/>
          <w:color w:val="auto"/>
        </w:rPr>
        <w:t>de novo</w:t>
      </w:r>
      <w:r>
        <w:rPr>
          <w:rFonts w:ascii="Arial" w:cs="Arial" w:eastAsia="Arial" w:hAnsi="Arial"/>
          <w:sz w:val="12"/>
          <w:szCs w:val="12"/>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71" w:name="page72"/>
    <w:bookmarkEnd w:id="71"/>
    <w:p>
      <w:pPr>
        <w:ind w:left="360" w:right="419" w:firstLine="749"/>
        <w:spacing w:after="0" w:line="285" w:lineRule="auto"/>
        <w:tabs>
          <w:tab w:leader="none" w:pos="1289" w:val="left"/>
        </w:tabs>
        <w:numPr>
          <w:ilvl w:val="2"/>
          <w:numId w:val="7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1" w:lineRule="exact"/>
        <w:rPr>
          <w:rFonts w:ascii="Arial" w:cs="Arial" w:eastAsia="Arial" w:hAnsi="Arial"/>
          <w:sz w:val="12"/>
          <w:szCs w:val="12"/>
          <w:color w:val="auto"/>
        </w:rPr>
      </w:pPr>
    </w:p>
    <w:p>
      <w:pPr>
        <w:ind w:left="560" w:hanging="197"/>
        <w:spacing w:after="0"/>
        <w:tabs>
          <w:tab w:leader="none" w:pos="5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 prohibition of such indemnification under applicable law.</w:t>
      </w:r>
    </w:p>
    <w:p>
      <w:pPr>
        <w:spacing w:after="0" w:line="72" w:lineRule="exact"/>
        <w:rPr>
          <w:rFonts w:ascii="Arial" w:cs="Arial" w:eastAsia="Arial" w:hAnsi="Arial"/>
          <w:sz w:val="14"/>
          <w:szCs w:val="14"/>
          <w:color w:val="auto"/>
        </w:rPr>
      </w:pPr>
    </w:p>
    <w:p>
      <w:pPr>
        <w:ind w:left="360" w:right="439" w:firstLine="749"/>
        <w:spacing w:after="0" w:line="297" w:lineRule="auto"/>
        <w:tabs>
          <w:tab w:leader="none" w:pos="1297" w:val="left"/>
        </w:tabs>
        <w:numPr>
          <w:ilvl w:val="2"/>
          <w:numId w:val="78"/>
        </w:numPr>
        <w:rPr>
          <w:rFonts w:ascii="Arial" w:cs="Arial" w:eastAsia="Arial" w:hAnsi="Arial"/>
          <w:sz w:val="12"/>
          <w:szCs w:val="12"/>
          <w:color w:val="auto"/>
        </w:rPr>
      </w:pPr>
      <w:r>
        <w:rPr>
          <w:rFonts w:ascii="Arial" w:cs="Arial" w:eastAsia="Arial" w:hAnsi="Arial"/>
          <w:sz w:val="12"/>
          <w:szCs w:val="12"/>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90 days, after receipt by the Company of a written request therefor) advance such Expenses to Indemnitee, subject to the provisions of Section 8.</w:t>
      </w:r>
    </w:p>
    <w:p>
      <w:pPr>
        <w:spacing w:after="0" w:line="39" w:lineRule="exact"/>
        <w:rPr>
          <w:rFonts w:ascii="Arial" w:cs="Arial" w:eastAsia="Arial" w:hAnsi="Arial"/>
          <w:sz w:val="12"/>
          <w:szCs w:val="12"/>
          <w:color w:val="auto"/>
        </w:rPr>
      </w:pPr>
    </w:p>
    <w:p>
      <w:pPr>
        <w:ind w:left="360" w:right="479" w:firstLine="749"/>
        <w:spacing w:after="0" w:line="259" w:lineRule="auto"/>
        <w:tabs>
          <w:tab w:leader="none" w:pos="1289" w:val="left"/>
        </w:tabs>
        <w:numPr>
          <w:ilvl w:val="2"/>
          <w:numId w:val="78"/>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no determination as to entitlement to indemnification shall be required to be made prior to the final disposition of the Proceeding.</w:t>
      </w:r>
    </w:p>
    <w:p>
      <w:pPr>
        <w:spacing w:after="0" w:line="56" w:lineRule="exact"/>
        <w:rPr>
          <w:rFonts w:ascii="Arial" w:cs="Arial" w:eastAsia="Arial" w:hAnsi="Arial"/>
          <w:sz w:val="14"/>
          <w:szCs w:val="14"/>
          <w:color w:val="auto"/>
        </w:rPr>
      </w:pPr>
    </w:p>
    <w:p>
      <w:pPr>
        <w:ind w:left="360" w:right="539" w:firstLine="334"/>
        <w:spacing w:after="0" w:line="295" w:lineRule="auto"/>
        <w:tabs>
          <w:tab w:leader="none" w:pos="894" w:val="left"/>
        </w:tabs>
        <w:numPr>
          <w:ilvl w:val="1"/>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Contribution. </w:t>
      </w:r>
      <w:r>
        <w:rPr>
          <w:rFonts w:ascii="Arial" w:cs="Arial" w:eastAsia="Arial" w:hAnsi="Arial"/>
          <w:sz w:val="12"/>
          <w:szCs w:val="12"/>
          <w:color w:val="auto"/>
        </w:rPr>
        <w:t>To the fullest extent permissible under applicable law, if the indemnification provided for in this Agreement is unavailable to</w:t>
      </w:r>
      <w:r>
        <w:rPr>
          <w:rFonts w:ascii="Arial" w:cs="Arial" w:eastAsia="Arial" w:hAnsi="Arial"/>
          <w:sz w:val="12"/>
          <w:szCs w:val="12"/>
          <w:b w:val="1"/>
          <w:bCs w:val="1"/>
          <w:color w:val="auto"/>
        </w:rPr>
        <w:t xml:space="preserve"> </w:t>
      </w:r>
      <w:r>
        <w:rPr>
          <w:rFonts w:ascii="Arial" w:cs="Arial" w:eastAsia="Arial" w:hAnsi="Arial"/>
          <w:sz w:val="12"/>
          <w:szCs w:val="12"/>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37" w:lineRule="exact"/>
        <w:rPr>
          <w:rFonts w:ascii="Arial" w:cs="Arial" w:eastAsia="Arial" w:hAnsi="Arial"/>
          <w:sz w:val="12"/>
          <w:szCs w:val="12"/>
          <w:color w:val="auto"/>
        </w:rPr>
      </w:pPr>
    </w:p>
    <w:p>
      <w:pPr>
        <w:ind w:left="360" w:right="459" w:firstLine="334"/>
        <w:spacing w:after="0" w:line="290" w:lineRule="auto"/>
        <w:tabs>
          <w:tab w:leader="none" w:pos="894" w:val="left"/>
        </w:tabs>
        <w:numPr>
          <w:ilvl w:val="1"/>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Non-exclusivity. </w:t>
      </w:r>
      <w:r>
        <w:rPr>
          <w:rFonts w:ascii="Arial" w:cs="Arial" w:eastAsia="Arial" w:hAnsi="Arial"/>
          <w:sz w:val="12"/>
          <w:szCs w:val="12"/>
          <w:color w:val="auto"/>
        </w:rPr>
        <w:t>The rights of indemnification and to receive advancement of Expenses as provided by this Agreement shall not be deemed</w:t>
      </w:r>
      <w:r>
        <w:rPr>
          <w:rFonts w:ascii="Arial" w:cs="Arial" w:eastAsia="Arial" w:hAnsi="Arial"/>
          <w:sz w:val="12"/>
          <w:szCs w:val="12"/>
          <w:b w:val="1"/>
          <w:bCs w:val="1"/>
          <w:color w:val="auto"/>
        </w:rPr>
        <w:t xml:space="preserve"> </w:t>
      </w:r>
      <w:r>
        <w:rPr>
          <w:rFonts w:ascii="Arial" w:cs="Arial" w:eastAsia="Arial" w:hAnsi="Arial"/>
          <w:sz w:val="12"/>
          <w:szCs w:val="12"/>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41" w:lineRule="exact"/>
        <w:rPr>
          <w:rFonts w:ascii="Arial" w:cs="Arial" w:eastAsia="Arial" w:hAnsi="Arial"/>
          <w:sz w:val="12"/>
          <w:szCs w:val="12"/>
          <w:color w:val="auto"/>
        </w:rPr>
      </w:pPr>
    </w:p>
    <w:p>
      <w:pPr>
        <w:ind w:left="360" w:right="459" w:firstLine="334"/>
        <w:spacing w:after="0" w:line="314" w:lineRule="auto"/>
        <w:tabs>
          <w:tab w:leader="none" w:pos="894" w:val="left"/>
        </w:tabs>
        <w:numPr>
          <w:ilvl w:val="1"/>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Primary Responsibility. </w:t>
      </w:r>
      <w:r>
        <w:rPr>
          <w:rFonts w:ascii="Arial" w:cs="Arial" w:eastAsia="Arial" w:hAnsi="Arial"/>
          <w:sz w:val="12"/>
          <w:szCs w:val="12"/>
          <w:color w:val="auto"/>
        </w:rPr>
        <w:t>The Company acknowledges that Indemnitee has certain rights to indemnification and advancement of expenses</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by [</w:t>
      </w:r>
      <w:r>
        <w:rPr>
          <w:rFonts w:ascii="Arial" w:cs="Arial" w:eastAsia="Arial" w:hAnsi="Arial"/>
          <w:sz w:val="12"/>
          <w:szCs w:val="12"/>
          <w:i w:val="1"/>
          <w:iCs w:val="1"/>
          <w:color w:val="auto"/>
        </w:rPr>
        <w:t>insert name of fund</w:t>
      </w:r>
      <w:r>
        <w:rPr>
          <w:rFonts w:ascii="Arial" w:cs="Arial" w:eastAsia="Arial" w:hAnsi="Arial"/>
          <w:sz w:val="12"/>
          <w:szCs w:val="12"/>
          <w:color w:val="auto"/>
        </w:rPr>
        <w:t>] [and certain affiliates thereof] ([collectively,] the “</w:t>
      </w:r>
      <w:r>
        <w:rPr>
          <w:rFonts w:ascii="Arial" w:cs="Arial" w:eastAsia="Arial" w:hAnsi="Arial"/>
          <w:sz w:val="12"/>
          <w:szCs w:val="12"/>
          <w:b w:val="1"/>
          <w:bCs w:val="1"/>
          <w:i w:val="1"/>
          <w:iCs w:val="1"/>
          <w:color w:val="auto"/>
        </w:rPr>
        <w:t>Secondary Indemnitor</w:t>
      </w:r>
      <w:r>
        <w:rPr>
          <w:rFonts w:ascii="Arial" w:cs="Arial" w:eastAsia="Arial" w:hAnsi="Arial"/>
          <w:sz w:val="12"/>
          <w:szCs w:val="12"/>
          <w:color w:val="auto"/>
        </w:rPr>
        <w:t>[</w:t>
      </w:r>
      <w:r>
        <w:rPr>
          <w:rFonts w:ascii="Arial" w:cs="Arial" w:eastAsia="Arial" w:hAnsi="Arial"/>
          <w:sz w:val="12"/>
          <w:szCs w:val="12"/>
          <w:b w:val="1"/>
          <w:bCs w:val="1"/>
          <w:i w:val="1"/>
          <w:iCs w:val="1"/>
          <w:color w:val="auto"/>
        </w:rPr>
        <w:t>s</w:t>
      </w:r>
      <w:r>
        <w:rPr>
          <w:rFonts w:ascii="Arial" w:cs="Arial" w:eastAsia="Arial" w:hAnsi="Arial"/>
          <w:sz w:val="12"/>
          <w:szCs w:val="12"/>
          <w:color w:val="auto"/>
        </w:rPr>
        <w:t>]”). The Company agrees that, as between the Company and the Secondary Indemnitor[s], the Company is primarily responsible for amounts required to</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72" w:name="page73"/>
    <w:bookmarkEnd w:id="72"/>
    <w:p>
      <w:pPr>
        <w:ind w:left="360" w:right="419"/>
        <w:spacing w:after="0" w:line="28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the foregoing sentence will be deemed void if and to the extent that it would violate any applicable insurance policy. The Secondary Indemnitor[s] [are][is an] express third-party [beneficiaries][beneficiary] of the terms of this Section 15.</w:t>
      </w:r>
    </w:p>
    <w:p>
      <w:pPr>
        <w:spacing w:after="0" w:line="206" w:lineRule="exact"/>
        <w:rPr>
          <w:sz w:val="20"/>
          <w:szCs w:val="20"/>
          <w:color w:val="auto"/>
        </w:rPr>
      </w:pPr>
    </w:p>
    <w:p>
      <w:pPr>
        <w:ind w:left="360" w:right="419" w:firstLine="334"/>
        <w:spacing w:after="0" w:line="252" w:lineRule="auto"/>
        <w:tabs>
          <w:tab w:leader="none" w:pos="894"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 xml:space="preserve">No Duplication of Payments. </w:t>
      </w:r>
      <w:r>
        <w:rPr>
          <w:rFonts w:ascii="Arial" w:cs="Arial" w:eastAsia="Arial" w:hAnsi="Arial"/>
          <w:sz w:val="14"/>
          <w:szCs w:val="14"/>
          <w:color w:val="auto"/>
        </w:rPr>
        <w:t>The Company shall not be liable under this Agreement to make any payment of amounts otherwise</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61" w:lineRule="exact"/>
        <w:rPr>
          <w:rFonts w:ascii="Arial" w:cs="Arial" w:eastAsia="Arial" w:hAnsi="Arial"/>
          <w:sz w:val="14"/>
          <w:szCs w:val="14"/>
          <w:color w:val="auto"/>
        </w:rPr>
      </w:pPr>
    </w:p>
    <w:p>
      <w:pPr>
        <w:ind w:left="360" w:right="419" w:firstLine="334"/>
        <w:spacing w:after="0" w:line="314" w:lineRule="auto"/>
        <w:tabs>
          <w:tab w:leader="none" w:pos="894"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Insurance. </w:t>
      </w:r>
      <w:r>
        <w:rPr>
          <w:rFonts w:ascii="Arial" w:cs="Arial" w:eastAsia="Arial" w:hAnsi="Arial"/>
          <w:sz w:val="12"/>
          <w:szCs w:val="12"/>
          <w:color w:val="auto"/>
        </w:rPr>
        <w:t>To the extent that the Company maintains an insurance policy or policies providing liability insurance for directors, trustees,</w:t>
      </w:r>
      <w:r>
        <w:rPr>
          <w:rFonts w:ascii="Arial" w:cs="Arial" w:eastAsia="Arial" w:hAnsi="Arial"/>
          <w:sz w:val="12"/>
          <w:szCs w:val="12"/>
          <w:b w:val="1"/>
          <w:bCs w:val="1"/>
          <w:color w:val="auto"/>
        </w:rPr>
        <w:t xml:space="preserve"> </w:t>
      </w:r>
      <w:r>
        <w:rPr>
          <w:rFonts w:ascii="Arial" w:cs="Arial" w:eastAsia="Arial" w:hAnsi="Arial"/>
          <w:sz w:val="12"/>
          <w:szCs w:val="12"/>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26" w:lineRule="exact"/>
        <w:rPr>
          <w:rFonts w:ascii="Arial" w:cs="Arial" w:eastAsia="Arial" w:hAnsi="Arial"/>
          <w:sz w:val="12"/>
          <w:szCs w:val="12"/>
          <w:color w:val="auto"/>
        </w:rPr>
      </w:pPr>
    </w:p>
    <w:p>
      <w:pPr>
        <w:ind w:left="360" w:right="459" w:firstLine="334"/>
        <w:spacing w:after="0" w:line="252" w:lineRule="auto"/>
        <w:tabs>
          <w:tab w:leader="none" w:pos="894" w:val="left"/>
        </w:tabs>
        <w:numPr>
          <w:ilvl w:val="0"/>
          <w:numId w:val="79"/>
        </w:numPr>
        <w:rPr>
          <w:rFonts w:ascii="Arial" w:cs="Arial" w:eastAsia="Arial" w:hAnsi="Arial"/>
          <w:sz w:val="14"/>
          <w:szCs w:val="14"/>
          <w:color w:val="auto"/>
        </w:rPr>
      </w:pPr>
      <w:r>
        <w:rPr>
          <w:rFonts w:ascii="Arial" w:cs="Arial" w:eastAsia="Arial" w:hAnsi="Arial"/>
          <w:sz w:val="14"/>
          <w:szCs w:val="14"/>
          <w:b w:val="1"/>
          <w:bCs w:val="1"/>
          <w:color w:val="auto"/>
        </w:rPr>
        <w:t xml:space="preserve">Subrogation. </w:t>
      </w:r>
      <w:r>
        <w:rPr>
          <w:rFonts w:ascii="Arial" w:cs="Arial" w:eastAsia="Arial" w:hAnsi="Arial"/>
          <w:sz w:val="14"/>
          <w:szCs w:val="14"/>
          <w:color w:val="auto"/>
        </w:rPr>
        <w:t>In the event of any payment under this Agreement, the Company shall be subrogated to the extent of such payment to all of the</w:t>
      </w:r>
      <w:r>
        <w:rPr>
          <w:rFonts w:ascii="Arial" w:cs="Arial" w:eastAsia="Arial" w:hAnsi="Arial"/>
          <w:sz w:val="14"/>
          <w:szCs w:val="14"/>
          <w:b w:val="1"/>
          <w:bCs w:val="1"/>
          <w:color w:val="auto"/>
        </w:rPr>
        <w:t xml:space="preserve"> </w:t>
      </w:r>
      <w:r>
        <w:rPr>
          <w:rFonts w:ascii="Arial" w:cs="Arial" w:eastAsia="Arial" w:hAnsi="Arial"/>
          <w:sz w:val="14"/>
          <w:szCs w:val="14"/>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61" w:lineRule="exact"/>
        <w:rPr>
          <w:rFonts w:ascii="Arial" w:cs="Arial" w:eastAsia="Arial" w:hAnsi="Arial"/>
          <w:sz w:val="14"/>
          <w:szCs w:val="14"/>
          <w:color w:val="auto"/>
        </w:rPr>
      </w:pPr>
    </w:p>
    <w:p>
      <w:pPr>
        <w:ind w:left="360" w:right="439" w:firstLine="334"/>
        <w:spacing w:after="0" w:line="288" w:lineRule="auto"/>
        <w:tabs>
          <w:tab w:leader="none" w:pos="894" w:val="left"/>
        </w:tabs>
        <w:numPr>
          <w:ilvl w:val="0"/>
          <w:numId w:val="79"/>
        </w:numPr>
        <w:rPr>
          <w:rFonts w:ascii="Arial" w:cs="Arial" w:eastAsia="Arial" w:hAnsi="Arial"/>
          <w:sz w:val="12"/>
          <w:szCs w:val="12"/>
          <w:color w:val="auto"/>
        </w:rPr>
      </w:pPr>
      <w:r>
        <w:rPr>
          <w:rFonts w:ascii="Arial" w:cs="Arial" w:eastAsia="Arial" w:hAnsi="Arial"/>
          <w:sz w:val="12"/>
          <w:szCs w:val="12"/>
          <w:b w:val="1"/>
          <w:bCs w:val="1"/>
          <w:color w:val="auto"/>
        </w:rPr>
        <w:t xml:space="preserve">Services to the Company. </w:t>
      </w:r>
      <w:r>
        <w:rPr>
          <w:rFonts w:ascii="Arial" w:cs="Arial" w:eastAsia="Arial" w:hAnsi="Arial"/>
          <w:sz w:val="12"/>
          <w:szCs w:val="12"/>
          <w:color w:val="auto"/>
        </w:rPr>
        <w:t>Indemnitee agrees to serve as a director or officer of the Company or, at the request of the Company, as a director,</w:t>
      </w:r>
      <w:r>
        <w:rPr>
          <w:rFonts w:ascii="Arial" w:cs="Arial" w:eastAsia="Arial" w:hAnsi="Arial"/>
          <w:sz w:val="12"/>
          <w:szCs w:val="12"/>
          <w:b w:val="1"/>
          <w:bCs w:val="1"/>
          <w:color w:val="auto"/>
        </w:rPr>
        <w:t xml:space="preserve"> </w:t>
      </w:r>
      <w:r>
        <w:rPr>
          <w:rFonts w:ascii="Arial" w:cs="Arial" w:eastAsia="Arial" w:hAnsi="Arial"/>
          <w:sz w:val="12"/>
          <w:szCs w:val="12"/>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73" w:name="page74"/>
    <w:bookmarkEnd w:id="73"/>
    <w:p>
      <w:pPr>
        <w:ind w:left="360" w:right="459" w:firstLine="334"/>
        <w:spacing w:after="0" w:line="247" w:lineRule="auto"/>
        <w:tabs>
          <w:tab w:leader="none" w:pos="894"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 xml:space="preserve">Duration. </w:t>
      </w:r>
      <w:r>
        <w:rPr>
          <w:rFonts w:ascii="Arial" w:cs="Arial" w:eastAsia="Arial" w:hAnsi="Arial"/>
          <w:sz w:val="14"/>
          <w:szCs w:val="14"/>
          <w:color w:val="auto"/>
        </w:rPr>
        <w:t>This Agreement shall continue until and terminate upon the later of (a) ten years after the date that Indemnitee shall have ceased to</w:t>
      </w:r>
      <w:r>
        <w:rPr>
          <w:rFonts w:ascii="Arial" w:cs="Arial" w:eastAsia="Arial" w:hAnsi="Arial"/>
          <w:sz w:val="14"/>
          <w:szCs w:val="14"/>
          <w:b w:val="1"/>
          <w:bCs w:val="1"/>
          <w:color w:val="auto"/>
        </w:rPr>
        <w:t xml:space="preserve"> </w:t>
      </w:r>
      <w:r>
        <w:rPr>
          <w:rFonts w:ascii="Arial" w:cs="Arial" w:eastAsia="Arial" w:hAnsi="Arial"/>
          <w:sz w:val="14"/>
          <w:szCs w:val="14"/>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64" w:lineRule="exact"/>
        <w:rPr>
          <w:rFonts w:ascii="Arial" w:cs="Arial" w:eastAsia="Arial" w:hAnsi="Arial"/>
          <w:sz w:val="14"/>
          <w:szCs w:val="14"/>
          <w:color w:val="auto"/>
        </w:rPr>
      </w:pPr>
    </w:p>
    <w:p>
      <w:pPr>
        <w:ind w:left="360" w:right="459" w:firstLine="334"/>
        <w:spacing w:after="0" w:line="246" w:lineRule="auto"/>
        <w:tabs>
          <w:tab w:leader="none" w:pos="894"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Successors. </w:t>
      </w:r>
      <w:r>
        <w:rPr>
          <w:rFonts w:ascii="Arial" w:cs="Arial" w:eastAsia="Arial" w:hAnsi="Arial"/>
          <w:sz w:val="14"/>
          <w:szCs w:val="14"/>
          <w:color w:val="auto"/>
        </w:rPr>
        <w:t>This Agreement shall be binding upon the Company and its successors and assigns, including any direct or indirect successor, by</w:t>
      </w:r>
      <w:r>
        <w:rPr>
          <w:rFonts w:ascii="Arial" w:cs="Arial" w:eastAsia="Arial" w:hAnsi="Arial"/>
          <w:sz w:val="14"/>
          <w:szCs w:val="14"/>
          <w:b w:val="1"/>
          <w:bCs w:val="1"/>
          <w:color w:val="auto"/>
        </w:rPr>
        <w:t xml:space="preserve"> </w:t>
      </w:r>
      <w:r>
        <w:rPr>
          <w:rFonts w:ascii="Arial" w:cs="Arial" w:eastAsia="Arial" w:hAnsi="Arial"/>
          <w:sz w:val="14"/>
          <w:szCs w:val="14"/>
          <w:color w:val="auto"/>
        </w:rPr>
        <w:t>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65" w:lineRule="exact"/>
        <w:rPr>
          <w:rFonts w:ascii="Arial" w:cs="Arial" w:eastAsia="Arial" w:hAnsi="Arial"/>
          <w:sz w:val="14"/>
          <w:szCs w:val="14"/>
          <w:color w:val="auto"/>
        </w:rPr>
      </w:pPr>
    </w:p>
    <w:p>
      <w:pPr>
        <w:ind w:left="360" w:right="479" w:firstLine="334"/>
        <w:spacing w:after="0" w:line="289" w:lineRule="auto"/>
        <w:tabs>
          <w:tab w:leader="none" w:pos="894" w:val="left"/>
        </w:tabs>
        <w:numPr>
          <w:ilvl w:val="0"/>
          <w:numId w:val="80"/>
        </w:numPr>
        <w:rPr>
          <w:rFonts w:ascii="Arial" w:cs="Arial" w:eastAsia="Arial" w:hAnsi="Arial"/>
          <w:sz w:val="12"/>
          <w:szCs w:val="12"/>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Nothing in this Agreement is intended to require or shall be construed as requiring the Company to do or fail to do any act in</w:t>
      </w:r>
      <w:r>
        <w:rPr>
          <w:rFonts w:ascii="Arial" w:cs="Arial" w:eastAsia="Arial" w:hAnsi="Arial"/>
          <w:sz w:val="12"/>
          <w:szCs w:val="12"/>
          <w:b w:val="1"/>
          <w:bCs w:val="1"/>
          <w:color w:val="auto"/>
        </w:rPr>
        <w:t xml:space="preserve"> </w:t>
      </w:r>
      <w:r>
        <w:rPr>
          <w:rFonts w:ascii="Arial" w:cs="Arial" w:eastAsia="Arial" w:hAnsi="Arial"/>
          <w:sz w:val="12"/>
          <w:szCs w:val="12"/>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43" w:lineRule="exact"/>
        <w:rPr>
          <w:rFonts w:ascii="Arial" w:cs="Arial" w:eastAsia="Arial" w:hAnsi="Arial"/>
          <w:sz w:val="12"/>
          <w:szCs w:val="12"/>
          <w:color w:val="auto"/>
        </w:rPr>
      </w:pPr>
    </w:p>
    <w:p>
      <w:pPr>
        <w:ind w:left="360" w:right="439" w:firstLine="334"/>
        <w:spacing w:after="0" w:line="252" w:lineRule="auto"/>
        <w:tabs>
          <w:tab w:leader="none" w:pos="894"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Enforcement. </w:t>
      </w:r>
      <w:r>
        <w:rPr>
          <w:rFonts w:ascii="Arial" w:cs="Arial" w:eastAsia="Arial" w:hAnsi="Arial"/>
          <w:sz w:val="14"/>
          <w:szCs w:val="14"/>
          <w:color w:val="auto"/>
        </w:rPr>
        <w:t>The Company expressly confirms and agrees that it has entered into this Agreement and assumed the obligations imposed on it</w:t>
      </w:r>
      <w:r>
        <w:rPr>
          <w:rFonts w:ascii="Arial" w:cs="Arial" w:eastAsia="Arial" w:hAnsi="Arial"/>
          <w:sz w:val="14"/>
          <w:szCs w:val="14"/>
          <w:b w:val="1"/>
          <w:bCs w:val="1"/>
          <w:color w:val="auto"/>
        </w:rPr>
        <w:t xml:space="preserve"> </w:t>
      </w:r>
      <w:r>
        <w:rPr>
          <w:rFonts w:ascii="Arial" w:cs="Arial" w:eastAsia="Arial" w:hAnsi="Arial"/>
          <w:sz w:val="14"/>
          <w:szCs w:val="14"/>
          <w:color w:val="auto"/>
        </w:rPr>
        <w:t>hereby in order to induce Indemnitee to serve as a director or officer of the Company, and the Company acknowledges that Indemnitee is relying upon this Agreement in serving as a director or officer of the Company.</w:t>
      </w:r>
    </w:p>
    <w:p>
      <w:pPr>
        <w:spacing w:after="0" w:line="61" w:lineRule="exact"/>
        <w:rPr>
          <w:rFonts w:ascii="Arial" w:cs="Arial" w:eastAsia="Arial" w:hAnsi="Arial"/>
          <w:sz w:val="14"/>
          <w:szCs w:val="14"/>
          <w:color w:val="auto"/>
        </w:rPr>
      </w:pPr>
    </w:p>
    <w:p>
      <w:pPr>
        <w:ind w:left="360" w:right="519" w:firstLine="334"/>
        <w:spacing w:after="0" w:line="248" w:lineRule="auto"/>
        <w:tabs>
          <w:tab w:leader="none" w:pos="894"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Entire Agreement. </w:t>
      </w:r>
      <w:r>
        <w:rPr>
          <w:rFonts w:ascii="Arial" w:cs="Arial" w:eastAsia="Arial" w:hAnsi="Arial"/>
          <w:sz w:val="14"/>
          <w:szCs w:val="14"/>
          <w:color w:val="auto"/>
        </w:rPr>
        <w:t>This Agreement constitutes the entire agreement between the parties hereto with respect to the subject matter hereof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supersedes all prior agreements and understandings, oral, written and implied, between the parties hereto with respect to the subject matter hereof;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this Agreement is a supplement to and in furtherance of the Company’s certificate of incorporation and bylaws and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law.</w:t>
      </w:r>
    </w:p>
    <w:p>
      <w:pPr>
        <w:spacing w:after="0" w:line="65" w:lineRule="exact"/>
        <w:rPr>
          <w:rFonts w:ascii="Arial" w:cs="Arial" w:eastAsia="Arial" w:hAnsi="Arial"/>
          <w:sz w:val="14"/>
          <w:szCs w:val="14"/>
          <w:color w:val="auto"/>
        </w:rPr>
      </w:pPr>
    </w:p>
    <w:p>
      <w:pPr>
        <w:ind w:left="360" w:right="499" w:firstLine="334"/>
        <w:spacing w:after="0" w:line="247" w:lineRule="auto"/>
        <w:tabs>
          <w:tab w:leader="none" w:pos="894" w:val="left"/>
        </w:tabs>
        <w:numPr>
          <w:ilvl w:val="0"/>
          <w:numId w:val="80"/>
        </w:numPr>
        <w:rPr>
          <w:rFonts w:ascii="Arial" w:cs="Arial" w:eastAsia="Arial" w:hAnsi="Arial"/>
          <w:sz w:val="14"/>
          <w:szCs w:val="14"/>
          <w:color w:val="auto"/>
        </w:rPr>
      </w:pPr>
      <w:r>
        <w:rPr>
          <w:rFonts w:ascii="Arial" w:cs="Arial" w:eastAsia="Arial" w:hAnsi="Arial"/>
          <w:sz w:val="14"/>
          <w:szCs w:val="14"/>
          <w:b w:val="1"/>
          <w:bCs w:val="1"/>
          <w:color w:val="auto"/>
        </w:rPr>
        <w:t xml:space="preserve">Modification and Waiver. </w:t>
      </w:r>
      <w:r>
        <w:rPr>
          <w:rFonts w:ascii="Arial" w:cs="Arial" w:eastAsia="Arial" w:hAnsi="Arial"/>
          <w:sz w:val="14"/>
          <w:szCs w:val="14"/>
          <w:color w:val="auto"/>
        </w:rPr>
        <w:t>No supplement, modification or amendment to this Agreement shall be binding unless executed in writing by the</w:t>
      </w:r>
      <w:r>
        <w:rPr>
          <w:rFonts w:ascii="Arial" w:cs="Arial" w:eastAsia="Arial" w:hAnsi="Arial"/>
          <w:sz w:val="14"/>
          <w:szCs w:val="14"/>
          <w:b w:val="1"/>
          <w:bCs w:val="1"/>
          <w:color w:val="auto"/>
        </w:rPr>
        <w:t xml:space="preserve"> </w:t>
      </w:r>
      <w:r>
        <w:rPr>
          <w:rFonts w:ascii="Arial" w:cs="Arial" w:eastAsia="Arial" w:hAnsi="Arial"/>
          <w:sz w:val="14"/>
          <w:szCs w:val="14"/>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64" w:lineRule="exact"/>
        <w:rPr>
          <w:rFonts w:ascii="Arial" w:cs="Arial" w:eastAsia="Arial" w:hAnsi="Arial"/>
          <w:sz w:val="14"/>
          <w:szCs w:val="14"/>
          <w:color w:val="auto"/>
        </w:rPr>
      </w:pPr>
    </w:p>
    <w:p>
      <w:pPr>
        <w:ind w:left="360" w:right="839" w:firstLine="334"/>
        <w:spacing w:after="0" w:line="345" w:lineRule="auto"/>
        <w:tabs>
          <w:tab w:leader="none" w:pos="894" w:val="left"/>
        </w:tabs>
        <w:numPr>
          <w:ilvl w:val="0"/>
          <w:numId w:val="80"/>
        </w:numPr>
        <w:rPr>
          <w:rFonts w:ascii="Arial" w:cs="Arial" w:eastAsia="Arial" w:hAnsi="Arial"/>
          <w:sz w:val="12"/>
          <w:szCs w:val="12"/>
          <w:color w:val="auto"/>
        </w:rPr>
      </w:pPr>
      <w:r>
        <w:rPr>
          <w:rFonts w:ascii="Arial" w:cs="Arial" w:eastAsia="Arial" w:hAnsi="Arial"/>
          <w:sz w:val="12"/>
          <w:szCs w:val="12"/>
          <w:b w:val="1"/>
          <w:bCs w:val="1"/>
          <w:color w:val="auto"/>
        </w:rPr>
        <w:t xml:space="preserve">Notices. </w:t>
      </w:r>
      <w:r>
        <w:rPr>
          <w:rFonts w:ascii="Arial" w:cs="Arial" w:eastAsia="Arial" w:hAnsi="Arial"/>
          <w:sz w:val="12"/>
          <w:szCs w:val="12"/>
          <w:color w:val="auto"/>
        </w:rPr>
        <w:t>All notices and other communications required or permitted hereunder shall be in writing and shall be mailed by registered or</w:t>
      </w:r>
      <w:r>
        <w:rPr>
          <w:rFonts w:ascii="Arial" w:cs="Arial" w:eastAsia="Arial" w:hAnsi="Arial"/>
          <w:sz w:val="12"/>
          <w:szCs w:val="12"/>
          <w:b w:val="1"/>
          <w:bCs w:val="1"/>
          <w:color w:val="auto"/>
        </w:rPr>
        <w:t xml:space="preserve"> </w:t>
      </w:r>
      <w:r>
        <w:rPr>
          <w:rFonts w:ascii="Arial" w:cs="Arial" w:eastAsia="Arial" w:hAnsi="Arial"/>
          <w:sz w:val="12"/>
          <w:szCs w:val="12"/>
          <w:color w:val="auto"/>
        </w:rPr>
        <w:t>certified mail, postage prepaid, sent by facsimile or electronic mail or otherwise delivered by hand, messenger or courier service addressed:</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38" w:right="1440" w:bottom="1440" w:gutter="0" w:footer="0" w:header="0"/>
        </w:sectPr>
      </w:pPr>
    </w:p>
    <w:bookmarkStart w:id="74" w:name="page75"/>
    <w:bookmarkEnd w:id="74"/>
    <w:p>
      <w:pPr>
        <w:ind w:left="360" w:right="659" w:firstLine="1080"/>
        <w:spacing w:after="0" w:line="259" w:lineRule="auto"/>
        <w:tabs>
          <w:tab w:leader="none" w:pos="1621" w:val="left"/>
        </w:tabs>
        <w:numPr>
          <w:ilvl w:val="0"/>
          <w:numId w:val="8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if to Indemnitee, to Indemnitee’s address, facsimile number or electronic mail address as shown on the signature page of this Agreement or in the Company’s records, as may be updated in accordance with the provisions hereof; or</w:t>
      </w:r>
    </w:p>
    <w:p>
      <w:pPr>
        <w:spacing w:after="0" w:line="58" w:lineRule="exact"/>
        <w:rPr>
          <w:rFonts w:ascii="Arial" w:cs="Arial" w:eastAsia="Arial" w:hAnsi="Arial"/>
          <w:sz w:val="14"/>
          <w:szCs w:val="14"/>
          <w:color w:val="auto"/>
        </w:rPr>
      </w:pPr>
    </w:p>
    <w:p>
      <w:pPr>
        <w:ind w:left="360" w:right="459" w:firstLine="1080"/>
        <w:spacing w:after="0" w:line="312" w:lineRule="auto"/>
        <w:tabs>
          <w:tab w:leader="none" w:pos="16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if to the Company, to the attention of the Chief Executive Officer or Chief Financial Officer of the Company at 3087 N. First St, San Jose, CA, 95134 , or at such other current address as the Company shall have furnished to Indemnitee, with a copy (which shall not constitute notice) to Michael Danaher, Wilson Sonsini Goodrich &amp; Rosati, P.C., 650 Page Mill Road, Palo Alto, CA 94304.</w:t>
      </w:r>
    </w:p>
    <w:p>
      <w:pPr>
        <w:spacing w:after="0" w:line="30" w:lineRule="exact"/>
        <w:rPr>
          <w:sz w:val="20"/>
          <w:szCs w:val="20"/>
          <w:color w:val="auto"/>
        </w:rPr>
      </w:pPr>
    </w:p>
    <w:p>
      <w:pPr>
        <w:ind w:left="360" w:right="379" w:firstLine="331"/>
        <w:spacing w:after="0" w:line="244" w:lineRule="auto"/>
        <w:rPr>
          <w:sz w:val="20"/>
          <w:szCs w:val="20"/>
          <w:color w:val="auto"/>
        </w:rPr>
      </w:pPr>
      <w:r>
        <w:rPr>
          <w:rFonts w:ascii="Arial" w:cs="Arial" w:eastAsia="Arial" w:hAnsi="Arial"/>
          <w:sz w:val="14"/>
          <w:szCs w:val="14"/>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4"/>
          <w:szCs w:val="14"/>
          <w:i w:val="1"/>
          <w:iCs w:val="1"/>
          <w:color w:val="auto"/>
        </w:rPr>
        <w:t>via</w:t>
      </w:r>
      <w:r>
        <w:rPr>
          <w:rFonts w:ascii="Arial" w:cs="Arial" w:eastAsia="Arial" w:hAnsi="Arial"/>
          <w:sz w:val="14"/>
          <w:szCs w:val="14"/>
          <w:color w:val="auto"/>
        </w:rPr>
        <w:t xml:space="preserve"> a nationally-recognized overnight courier service, freight prepaid, specifying next-business-day delivery, one business day after deposit with the courier), (ii) if sent </w:t>
      </w:r>
      <w:r>
        <w:rPr>
          <w:rFonts w:ascii="Arial" w:cs="Arial" w:eastAsia="Arial" w:hAnsi="Arial"/>
          <w:sz w:val="14"/>
          <w:szCs w:val="14"/>
          <w:i w:val="1"/>
          <w:iCs w:val="1"/>
          <w:color w:val="auto"/>
        </w:rPr>
        <w:t>via</w:t>
      </w:r>
      <w:r>
        <w:rPr>
          <w:rFonts w:ascii="Arial" w:cs="Arial" w:eastAsia="Arial" w:hAnsi="Arial"/>
          <w:sz w:val="14"/>
          <w:szCs w:val="14"/>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4"/>
          <w:szCs w:val="14"/>
          <w:i w:val="1"/>
          <w:iCs w:val="1"/>
          <w:color w:val="auto"/>
        </w:rPr>
        <w:t>via</w:t>
      </w:r>
      <w:r>
        <w:rPr>
          <w:rFonts w:ascii="Arial" w:cs="Arial" w:eastAsia="Arial" w:hAnsi="Arial"/>
          <w:sz w:val="14"/>
          <w:szCs w:val="14"/>
          <w:color w:val="auto"/>
        </w:rPr>
        <w:t xml:space="preserve"> facsimile, upon confirmation of facsimile transfer or, if sent </w:t>
      </w:r>
      <w:r>
        <w:rPr>
          <w:rFonts w:ascii="Arial" w:cs="Arial" w:eastAsia="Arial" w:hAnsi="Arial"/>
          <w:sz w:val="14"/>
          <w:szCs w:val="14"/>
          <w:i w:val="1"/>
          <w:iCs w:val="1"/>
          <w:color w:val="auto"/>
        </w:rPr>
        <w:t>via</w:t>
      </w:r>
      <w:r>
        <w:rPr>
          <w:rFonts w:ascii="Arial" w:cs="Arial" w:eastAsia="Arial" w:hAnsi="Arial"/>
          <w:sz w:val="14"/>
          <w:szCs w:val="14"/>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70" w:lineRule="exact"/>
        <w:rPr>
          <w:sz w:val="20"/>
          <w:szCs w:val="20"/>
          <w:color w:val="auto"/>
        </w:rPr>
      </w:pPr>
    </w:p>
    <w:p>
      <w:pPr>
        <w:ind w:left="360" w:right="419" w:firstLine="334"/>
        <w:spacing w:after="0" w:line="284" w:lineRule="auto"/>
        <w:tabs>
          <w:tab w:leader="none" w:pos="894" w:val="left"/>
        </w:tabs>
        <w:numPr>
          <w:ilvl w:val="1"/>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Applicable Law and Consent to Jurisdiction. </w:t>
      </w:r>
      <w:r>
        <w:rPr>
          <w:rFonts w:ascii="Arial" w:cs="Arial" w:eastAsia="Arial" w:hAnsi="Arial"/>
          <w:sz w:val="12"/>
          <w:szCs w:val="12"/>
          <w:color w:val="auto"/>
        </w:rPr>
        <w:t>This Agreement and the legal relations among the parties shall be governed by, and construed</w:t>
      </w:r>
      <w:r>
        <w:rPr>
          <w:rFonts w:ascii="Arial" w:cs="Arial" w:eastAsia="Arial" w:hAnsi="Arial"/>
          <w:sz w:val="12"/>
          <w:szCs w:val="12"/>
          <w:b w:val="1"/>
          <w:bCs w:val="1"/>
          <w:color w:val="auto"/>
        </w:rPr>
        <w:t xml:space="preserve"> </w:t>
      </w:r>
      <w:r>
        <w:rPr>
          <w:rFonts w:ascii="Arial" w:cs="Arial" w:eastAsia="Arial" w:hAnsi="Arial"/>
          <w:sz w:val="12"/>
          <w:szCs w:val="12"/>
          <w:color w:val="auto"/>
        </w:rPr>
        <w:t>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1209 Orange Street, in the City of Wilmington, County of New Castle,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w:t>
      </w:r>
    </w:p>
    <w:p>
      <w:pPr>
        <w:spacing w:after="0" w:line="3" w:lineRule="exact"/>
        <w:rPr>
          <w:rFonts w:ascii="Arial" w:cs="Arial" w:eastAsia="Arial" w:hAnsi="Arial"/>
          <w:sz w:val="12"/>
          <w:szCs w:val="12"/>
          <w:color w:val="auto"/>
        </w:rPr>
      </w:pPr>
    </w:p>
    <w:p>
      <w:pPr>
        <w:ind w:left="360" w:right="439" w:firstLine="3"/>
        <w:spacing w:after="0" w:line="244" w:lineRule="auto"/>
        <w:tabs>
          <w:tab w:leader="none" w:pos="552" w:val="left"/>
        </w:tabs>
        <w:numPr>
          <w:ilvl w:val="0"/>
          <w:numId w:val="83"/>
        </w:numPr>
        <w:rPr>
          <w:rFonts w:ascii="Arial" w:cs="Arial" w:eastAsia="Arial" w:hAnsi="Arial"/>
          <w:sz w:val="14"/>
          <w:szCs w:val="14"/>
          <w:color w:val="auto"/>
        </w:rPr>
      </w:pPr>
      <w:r>
        <w:rPr>
          <w:rFonts w:ascii="Arial" w:cs="Arial" w:eastAsia="Arial" w:hAnsi="Arial"/>
          <w:sz w:val="14"/>
          <w:szCs w:val="14"/>
          <w:color w:val="auto"/>
        </w:rPr>
        <w:t>waive, and agree not to plead or to make, any claim that any such action or proceeding brought in the Delaware Court of Chancery has been brought in an improper or inconvenient forum.</w:t>
      </w:r>
    </w:p>
    <w:p>
      <w:pPr>
        <w:spacing w:after="0" w:line="66" w:lineRule="exact"/>
        <w:rPr>
          <w:rFonts w:ascii="Arial" w:cs="Arial" w:eastAsia="Arial" w:hAnsi="Arial"/>
          <w:sz w:val="14"/>
          <w:szCs w:val="14"/>
          <w:color w:val="auto"/>
        </w:rPr>
      </w:pPr>
    </w:p>
    <w:p>
      <w:pPr>
        <w:ind w:left="360" w:right="399" w:firstLine="334"/>
        <w:spacing w:after="0" w:line="303" w:lineRule="auto"/>
        <w:tabs>
          <w:tab w:leader="none" w:pos="894" w:val="left"/>
        </w:tabs>
        <w:numPr>
          <w:ilvl w:val="1"/>
          <w:numId w:val="83"/>
        </w:numPr>
        <w:rPr>
          <w:rFonts w:ascii="Arial" w:cs="Arial" w:eastAsia="Arial" w:hAnsi="Arial"/>
          <w:sz w:val="12"/>
          <w:szCs w:val="12"/>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one or more counterparts, each of which shall for all purposes be deemed to be an original</w:t>
      </w:r>
      <w:r>
        <w:rPr>
          <w:rFonts w:ascii="Arial" w:cs="Arial" w:eastAsia="Arial" w:hAnsi="Arial"/>
          <w:sz w:val="12"/>
          <w:szCs w:val="12"/>
          <w:b w:val="1"/>
          <w:bCs w:val="1"/>
          <w:color w:val="auto"/>
        </w:rPr>
        <w:t xml:space="preserve"> </w:t>
      </w:r>
      <w:r>
        <w:rPr>
          <w:rFonts w:ascii="Arial" w:cs="Arial" w:eastAsia="Arial" w:hAnsi="Arial"/>
          <w:sz w:val="12"/>
          <w:szCs w:val="12"/>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33" w:lineRule="exact"/>
        <w:rPr>
          <w:rFonts w:ascii="Arial" w:cs="Arial" w:eastAsia="Arial" w:hAnsi="Arial"/>
          <w:sz w:val="12"/>
          <w:szCs w:val="12"/>
          <w:color w:val="auto"/>
        </w:rPr>
      </w:pPr>
    </w:p>
    <w:p>
      <w:pPr>
        <w:ind w:left="360" w:right="559" w:firstLine="334"/>
        <w:spacing w:after="0" w:line="262" w:lineRule="auto"/>
        <w:tabs>
          <w:tab w:leader="none" w:pos="894" w:val="left"/>
        </w:tabs>
        <w:numPr>
          <w:ilvl w:val="1"/>
          <w:numId w:val="83"/>
        </w:numPr>
        <w:rPr>
          <w:rFonts w:ascii="Arial" w:cs="Arial" w:eastAsia="Arial" w:hAnsi="Arial"/>
          <w:sz w:val="14"/>
          <w:szCs w:val="14"/>
          <w:color w:val="auto"/>
        </w:rPr>
      </w:pPr>
      <w:r>
        <w:rPr>
          <w:rFonts w:ascii="Arial" w:cs="Arial" w:eastAsia="Arial" w:hAnsi="Arial"/>
          <w:sz w:val="14"/>
          <w:szCs w:val="14"/>
          <w:b w:val="1"/>
          <w:bCs w:val="1"/>
          <w:color w:val="auto"/>
        </w:rPr>
        <w:t xml:space="preserve">Captions. </w:t>
      </w:r>
      <w:r>
        <w:rPr>
          <w:rFonts w:ascii="Arial" w:cs="Arial" w:eastAsia="Arial" w:hAnsi="Arial"/>
          <w:sz w:val="14"/>
          <w:szCs w:val="14"/>
          <w:color w:val="auto"/>
        </w:rPr>
        <w:t>The headings of the paragraphs of this Agreement are inserted for convenience only and shall not be deemed to constitute part of</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or to affect the construction thereof.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75" w:name="page76"/>
    <w:bookmarkEnd w:id="75"/>
    <w:p>
      <w:pPr>
        <w:ind w:left="70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parties are signing this Indemnification Agreement as of the date stated in the introductory sentence.</w:t>
      </w:r>
    </w:p>
    <w:p>
      <w:pPr>
        <w:spacing w:after="0" w:line="182" w:lineRule="exact"/>
        <w:rPr>
          <w:sz w:val="20"/>
          <w:szCs w:val="20"/>
          <w:color w:val="auto"/>
        </w:rPr>
      </w:pPr>
    </w:p>
    <w:p>
      <w:pPr>
        <w:ind w:left="5340"/>
        <w:spacing w:after="0"/>
        <w:rPr>
          <w:sz w:val="20"/>
          <w:szCs w:val="20"/>
          <w:color w:val="auto"/>
        </w:rPr>
      </w:pPr>
      <w:r>
        <w:rPr>
          <w:rFonts w:ascii="Arial" w:cs="Arial" w:eastAsia="Arial" w:hAnsi="Arial"/>
          <w:sz w:val="12"/>
          <w:szCs w:val="12"/>
          <w:b w:val="1"/>
          <w:bCs w:val="1"/>
          <w:color w:val="auto"/>
        </w:rPr>
        <w:t>QUANTUMSCAPE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229870</wp:posOffset>
            </wp:positionV>
            <wp:extent cx="2101215"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51"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26"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Print name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26"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Title</w:t>
      </w:r>
      <w:r>
        <w:rPr>
          <w:rFonts w:ascii="Arial" w:cs="Arial" w:eastAsia="Arial" w:hAnsi="Arial"/>
          <w:sz w:val="14"/>
          <w:szCs w:val="14"/>
          <w:color w:val="auto"/>
        </w:rPr>
        <w:t>)</w:t>
      </w:r>
    </w:p>
    <w:p>
      <w:pPr>
        <w:spacing w:after="0" w:line="164"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INSERT INDEMNITEE NAME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26"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26"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Print name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26" w:lineRule="exact"/>
        <w:rPr>
          <w:sz w:val="20"/>
          <w:szCs w:val="20"/>
          <w:color w:val="auto"/>
        </w:rPr>
      </w:pPr>
    </w:p>
    <w:p>
      <w:pPr>
        <w:ind w:left="65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Street address</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228600</wp:posOffset>
            </wp:positionV>
            <wp:extent cx="210121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349" w:lineRule="exact"/>
        <w:rPr>
          <w:sz w:val="20"/>
          <w:szCs w:val="20"/>
          <w:color w:val="auto"/>
        </w:rPr>
      </w:pPr>
    </w:p>
    <w:p>
      <w:pPr>
        <w:jc w:val="right"/>
        <w:ind w:right="145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City, State and ZIP</w:t>
      </w:r>
      <w:r>
        <w:rPr>
          <w:rFonts w:ascii="Arial" w:cs="Arial" w:eastAsia="Arial" w:hAnsi="Arial"/>
          <w:sz w:val="14"/>
          <w:szCs w:val="14"/>
          <w:color w:val="auto"/>
        </w:rPr>
        <w:t>)</w:t>
      </w:r>
    </w:p>
    <w:p>
      <w:pPr>
        <w:sectPr>
          <w:pgSz w:w="11900" w:h="16838" w:orient="portrait"/>
          <w:cols w:equalWidth="0" w:num="1">
            <w:col w:w="9019"/>
          </w:cols>
          <w:pgMar w:left="1440" w:top="240" w:right="1440" w:bottom="1440" w:gutter="0" w:footer="0" w:header="0"/>
        </w:sectPr>
      </w:pPr>
    </w:p>
    <w:bookmarkStart w:id="76" w:name="page77"/>
    <w:bookmarkEnd w:id="76"/>
    <w:p>
      <w:pPr>
        <w:jc w:val="right"/>
        <w:ind w:right="379"/>
        <w:spacing w:after="0"/>
        <w:rPr>
          <w:sz w:val="20"/>
          <w:szCs w:val="20"/>
          <w:color w:val="auto"/>
        </w:rPr>
      </w:pPr>
      <w:r>
        <w:rPr>
          <w:rFonts w:ascii="Arial" w:cs="Arial" w:eastAsia="Arial" w:hAnsi="Arial"/>
          <w:sz w:val="14"/>
          <w:szCs w:val="14"/>
          <w:b w:val="1"/>
          <w:bCs w:val="1"/>
          <w:color w:val="auto"/>
        </w:rPr>
        <w:t>Exhibit 10.8</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EQUITY INCENTIVE PLAN</w:t>
      </w:r>
    </w:p>
    <w:p>
      <w:pPr>
        <w:spacing w:after="0" w:line="166" w:lineRule="exact"/>
        <w:rPr>
          <w:sz w:val="20"/>
          <w:szCs w:val="20"/>
          <w:color w:val="auto"/>
        </w:rPr>
      </w:pPr>
    </w:p>
    <w:p>
      <w:pPr>
        <w:ind w:left="940" w:hanging="246"/>
        <w:spacing w:after="0"/>
        <w:tabs>
          <w:tab w:leader="none" w:pos="940"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Purposes of the Plan</w:t>
      </w:r>
      <w:r>
        <w:rPr>
          <w:rFonts w:ascii="Arial" w:cs="Arial" w:eastAsia="Arial" w:hAnsi="Arial"/>
          <w:sz w:val="14"/>
          <w:szCs w:val="14"/>
          <w:color w:val="auto"/>
        </w:rPr>
        <w:t>. The purposes of this Plan are:</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to attract and retain the best available personnel for positions of substantial responsibility,</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to provide additional incentive to Employees, Directors and Consultants, and</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84"/>
        </w:numPr>
        <w:rPr>
          <w:rFonts w:ascii="Arial" w:cs="Arial" w:eastAsia="Arial" w:hAnsi="Arial"/>
          <w:sz w:val="14"/>
          <w:szCs w:val="14"/>
          <w:color w:val="auto"/>
        </w:rPr>
      </w:pPr>
      <w:r>
        <w:rPr>
          <w:rFonts w:ascii="Arial" w:cs="Arial" w:eastAsia="Arial" w:hAnsi="Arial"/>
          <w:sz w:val="14"/>
          <w:szCs w:val="14"/>
          <w:color w:val="auto"/>
        </w:rPr>
        <w:t>to promote the success of the Company’s business.</w:t>
      </w:r>
    </w:p>
    <w:p>
      <w:pPr>
        <w:spacing w:after="0" w:line="164" w:lineRule="exact"/>
        <w:rPr>
          <w:sz w:val="20"/>
          <w:szCs w:val="20"/>
          <w:color w:val="auto"/>
        </w:rPr>
      </w:pPr>
    </w:p>
    <w:p>
      <w:pPr>
        <w:ind w:left="360" w:right="799" w:firstLine="745"/>
        <w:spacing w:after="0" w:line="259" w:lineRule="auto"/>
        <w:rPr>
          <w:sz w:val="20"/>
          <w:szCs w:val="20"/>
          <w:color w:val="auto"/>
        </w:rPr>
      </w:pPr>
      <w:r>
        <w:rPr>
          <w:rFonts w:ascii="Arial" w:cs="Arial" w:eastAsia="Arial" w:hAnsi="Arial"/>
          <w:sz w:val="14"/>
          <w:szCs w:val="14"/>
          <w:color w:val="auto"/>
        </w:rPr>
        <w:t>The Plan permits the grant of Incentive Stock Options, Nonstatutory Stock Options, Restricted Stock, Restricted Stock Units, Stock Appreciation Rights, Performance Units and Performance Shares.</w:t>
      </w:r>
    </w:p>
    <w:p>
      <w:pPr>
        <w:spacing w:after="0" w:line="140" w:lineRule="exact"/>
        <w:rPr>
          <w:sz w:val="20"/>
          <w:szCs w:val="20"/>
          <w:color w:val="auto"/>
        </w:rPr>
      </w:pPr>
    </w:p>
    <w:p>
      <w:pPr>
        <w:ind w:left="940" w:hanging="246"/>
        <w:spacing w:after="0"/>
        <w:tabs>
          <w:tab w:leader="none" w:pos="940"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As used herein, the following definitions will apply:</w:t>
      </w:r>
    </w:p>
    <w:p>
      <w:pPr>
        <w:spacing w:after="0" w:line="82" w:lineRule="exact"/>
        <w:rPr>
          <w:rFonts w:ascii="Arial" w:cs="Arial" w:eastAsia="Arial" w:hAnsi="Arial"/>
          <w:sz w:val="14"/>
          <w:szCs w:val="14"/>
          <w:color w:val="auto"/>
        </w:rPr>
      </w:pPr>
    </w:p>
    <w:p>
      <w:pPr>
        <w:ind w:left="1400" w:hanging="291"/>
        <w:spacing w:after="0"/>
        <w:tabs>
          <w:tab w:leader="none" w:pos="1400" w:val="left"/>
        </w:tabs>
        <w:numPr>
          <w:ilvl w:val="1"/>
          <w:numId w:val="8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Administrator</w:t>
      </w:r>
      <w:r>
        <w:rPr>
          <w:rFonts w:ascii="Arial" w:cs="Arial" w:eastAsia="Arial" w:hAnsi="Arial"/>
          <w:sz w:val="12"/>
          <w:szCs w:val="12"/>
          <w:color w:val="auto"/>
        </w:rPr>
        <w:t>” means the Board or any of its Committees as will be administering the Plan, in accordance with Section 4 of the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Plan.</w:t>
      </w:r>
    </w:p>
    <w:p>
      <w:pPr>
        <w:spacing w:after="0" w:line="154" w:lineRule="exact"/>
        <w:rPr>
          <w:sz w:val="20"/>
          <w:szCs w:val="20"/>
          <w:color w:val="auto"/>
        </w:rPr>
      </w:pPr>
    </w:p>
    <w:p>
      <w:pPr>
        <w:ind w:left="360" w:right="479" w:firstLine="749"/>
        <w:spacing w:after="0" w:line="302" w:lineRule="auto"/>
        <w:tabs>
          <w:tab w:leader="none" w:pos="1398" w:val="left"/>
        </w:tabs>
        <w:numPr>
          <w:ilvl w:val="0"/>
          <w:numId w:val="8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Laws</w:t>
      </w:r>
      <w:r>
        <w:rPr>
          <w:rFonts w:ascii="Arial" w:cs="Arial" w:eastAsia="Arial" w:hAnsi="Arial"/>
          <w:sz w:val="12"/>
          <w:szCs w:val="12"/>
          <w:color w:val="auto"/>
        </w:rPr>
        <w:t>” means the legal and regulatory requirements relating to the administration of equity-based awards, including but not limited to the related issuance of shares of Common Stock, including but not limited to,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17" w:lineRule="exact"/>
        <w:rPr>
          <w:rFonts w:ascii="Arial" w:cs="Arial" w:eastAsia="Arial" w:hAnsi="Arial"/>
          <w:sz w:val="12"/>
          <w:szCs w:val="12"/>
          <w:color w:val="auto"/>
        </w:rPr>
      </w:pPr>
    </w:p>
    <w:p>
      <w:pPr>
        <w:ind w:left="360" w:right="879" w:firstLine="749"/>
        <w:spacing w:after="0" w:line="259" w:lineRule="auto"/>
        <w:tabs>
          <w:tab w:leader="none" w:pos="1391"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Award</w:t>
      </w:r>
      <w:r>
        <w:rPr>
          <w:rFonts w:ascii="Arial" w:cs="Arial" w:eastAsia="Arial" w:hAnsi="Arial"/>
          <w:sz w:val="14"/>
          <w:szCs w:val="14"/>
          <w:color w:val="auto"/>
        </w:rPr>
        <w:t>” means, individually or collectively, a grant under the Plan of Options, Stock Appreciation Rights, Restricted Stock, Restricted Stock Units, Performance Units or Performance Shares.</w:t>
      </w:r>
    </w:p>
    <w:p>
      <w:pPr>
        <w:spacing w:after="0" w:line="139" w:lineRule="exact"/>
        <w:rPr>
          <w:rFonts w:ascii="Arial" w:cs="Arial" w:eastAsia="Arial" w:hAnsi="Arial"/>
          <w:sz w:val="14"/>
          <w:szCs w:val="14"/>
          <w:color w:val="auto"/>
        </w:rPr>
      </w:pPr>
    </w:p>
    <w:p>
      <w:pPr>
        <w:ind w:left="360" w:right="759" w:firstLine="749"/>
        <w:spacing w:after="0" w:line="259" w:lineRule="auto"/>
        <w:tabs>
          <w:tab w:leader="none" w:pos="1398"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Award Agreement</w:t>
      </w:r>
      <w:r>
        <w:rPr>
          <w:rFonts w:ascii="Arial" w:cs="Arial" w:eastAsia="Arial" w:hAnsi="Arial"/>
          <w:sz w:val="14"/>
          <w:szCs w:val="14"/>
          <w:color w:val="auto"/>
        </w:rPr>
        <w:t>” means the written or electronic agreement setting forth the terms and provisions applicable to each Award granted under the Plan. The Award Agreement is subject to the terms and conditions of the Plan.</w:t>
      </w:r>
    </w:p>
    <w:p>
      <w:pPr>
        <w:spacing w:after="0" w:line="139" w:lineRule="exact"/>
        <w:rPr>
          <w:rFonts w:ascii="Arial" w:cs="Arial" w:eastAsia="Arial" w:hAnsi="Arial"/>
          <w:sz w:val="14"/>
          <w:szCs w:val="14"/>
          <w:color w:val="auto"/>
        </w:rPr>
      </w:pPr>
    </w:p>
    <w:p>
      <w:pPr>
        <w:ind w:left="1400" w:hanging="291"/>
        <w:spacing w:after="0"/>
        <w:tabs>
          <w:tab w:leader="none" w:pos="14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w:t>
      </w:r>
    </w:p>
    <w:p>
      <w:pPr>
        <w:spacing w:after="0" w:line="163" w:lineRule="exact"/>
        <w:rPr>
          <w:rFonts w:ascii="Arial" w:cs="Arial" w:eastAsia="Arial" w:hAnsi="Arial"/>
          <w:sz w:val="14"/>
          <w:szCs w:val="14"/>
          <w:color w:val="auto"/>
        </w:rPr>
      </w:pPr>
    </w:p>
    <w:p>
      <w:pPr>
        <w:ind w:left="1380" w:hanging="271"/>
        <w:spacing w:after="0"/>
        <w:tabs>
          <w:tab w:leader="none" w:pos="138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the occurrence of any of the following events:</w:t>
      </w:r>
    </w:p>
    <w:p>
      <w:pPr>
        <w:spacing w:after="0" w:line="82" w:lineRule="exact"/>
        <w:rPr>
          <w:rFonts w:ascii="Arial" w:cs="Arial" w:eastAsia="Arial" w:hAnsi="Arial"/>
          <w:sz w:val="14"/>
          <w:szCs w:val="14"/>
          <w:color w:val="auto"/>
        </w:rPr>
      </w:pPr>
    </w:p>
    <w:p>
      <w:pPr>
        <w:ind w:left="360" w:right="419" w:firstLine="1080"/>
        <w:spacing w:after="0" w:line="288" w:lineRule="auto"/>
        <w:tabs>
          <w:tab w:leader="none" w:pos="1692" w:val="left"/>
        </w:tabs>
        <w:numPr>
          <w:ilvl w:val="1"/>
          <w:numId w:val="86"/>
        </w:numPr>
        <w:rPr>
          <w:rFonts w:ascii="Arial" w:cs="Arial" w:eastAsia="Arial" w:hAnsi="Arial"/>
          <w:sz w:val="12"/>
          <w:szCs w:val="12"/>
          <w:color w:val="auto"/>
        </w:rPr>
      </w:pPr>
      <w:r>
        <w:rPr>
          <w:rFonts w:ascii="Arial" w:cs="Arial" w:eastAsia="Arial" w:hAnsi="Arial"/>
          <w:sz w:val="12"/>
          <w:szCs w:val="12"/>
          <w:color w:val="auto"/>
        </w:rPr>
        <w:t>A change in the ownership of the Company which occurs on the date that any one person, or more than one person acting as a group (“</w:t>
      </w:r>
      <w:r>
        <w:rPr>
          <w:rFonts w:ascii="Arial" w:cs="Arial" w:eastAsia="Arial" w:hAnsi="Arial"/>
          <w:sz w:val="12"/>
          <w:szCs w:val="12"/>
          <w:u w:val="single" w:color="auto"/>
          <w:color w:val="auto"/>
        </w:rPr>
        <w:t>Person</w:t>
      </w:r>
      <w:r>
        <w:rPr>
          <w:rFonts w:ascii="Arial" w:cs="Arial" w:eastAsia="Arial" w:hAnsi="Arial"/>
          <w:sz w:val="12"/>
          <w:szCs w:val="12"/>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ectPr>
          <w:pgSz w:w="11900" w:h="16838" w:orient="portrait"/>
          <w:cols w:equalWidth="0" w:num="1">
            <w:col w:w="9019"/>
          </w:cols>
          <w:pgMar w:left="1440" w:top="127" w:right="1440" w:bottom="1440" w:gutter="0" w:footer="0" w:header="0"/>
        </w:sectPr>
      </w:pPr>
    </w:p>
    <w:bookmarkStart w:id="77" w:name="page78"/>
    <w:bookmarkEnd w:id="77"/>
    <w:p>
      <w:pPr>
        <w:jc w:val="both"/>
        <w:ind w:left="360" w:right="399" w:firstLine="1080"/>
        <w:spacing w:after="0" w:line="302" w:lineRule="auto"/>
        <w:tabs>
          <w:tab w:leader="none" w:pos="1730" w:val="left"/>
        </w:tabs>
        <w:numPr>
          <w:ilvl w:val="0"/>
          <w:numId w:val="8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17" w:lineRule="exact"/>
        <w:rPr>
          <w:rFonts w:ascii="Arial" w:cs="Arial" w:eastAsia="Arial" w:hAnsi="Arial"/>
          <w:sz w:val="12"/>
          <w:szCs w:val="12"/>
          <w:color w:val="auto"/>
        </w:rPr>
      </w:pPr>
    </w:p>
    <w:p>
      <w:pPr>
        <w:ind w:left="360" w:right="399" w:firstLine="1080"/>
        <w:spacing w:after="0" w:line="288" w:lineRule="auto"/>
        <w:tabs>
          <w:tab w:leader="none" w:pos="1767" w:val="left"/>
        </w:tabs>
        <w:numPr>
          <w:ilvl w:val="0"/>
          <w:numId w:val="87"/>
        </w:numPr>
        <w:rPr>
          <w:rFonts w:ascii="Arial" w:cs="Arial" w:eastAsia="Arial" w:hAnsi="Arial"/>
          <w:sz w:val="12"/>
          <w:szCs w:val="12"/>
          <w:color w:val="auto"/>
        </w:rPr>
      </w:pPr>
      <w:r>
        <w:rPr>
          <w:rFonts w:ascii="Arial" w:cs="Arial" w:eastAsia="Arial" w:hAnsi="Arial"/>
          <w:sz w:val="12"/>
          <w:szCs w:val="12"/>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27" w:lineRule="exact"/>
        <w:rPr>
          <w:sz w:val="20"/>
          <w:szCs w:val="20"/>
          <w:color w:val="auto"/>
        </w:rPr>
      </w:pPr>
    </w:p>
    <w:p>
      <w:pPr>
        <w:ind w:left="360" w:right="439" w:firstLine="1077"/>
        <w:spacing w:after="0" w:line="342" w:lineRule="auto"/>
        <w:rPr>
          <w:sz w:val="20"/>
          <w:szCs w:val="20"/>
          <w:color w:val="auto"/>
        </w:rPr>
      </w:pPr>
      <w:r>
        <w:rPr>
          <w:rFonts w:ascii="Arial" w:cs="Arial" w:eastAsia="Arial" w:hAnsi="Arial"/>
          <w:sz w:val="12"/>
          <w:szCs w:val="1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94" w:lineRule="exact"/>
        <w:rPr>
          <w:sz w:val="20"/>
          <w:szCs w:val="20"/>
          <w:color w:val="auto"/>
        </w:rPr>
      </w:pPr>
    </w:p>
    <w:p>
      <w:pPr>
        <w:ind w:left="360" w:right="479" w:firstLine="1077"/>
        <w:spacing w:after="0" w:line="312" w:lineRule="auto"/>
        <w:rPr>
          <w:sz w:val="20"/>
          <w:szCs w:val="20"/>
          <w:color w:val="auto"/>
        </w:rPr>
      </w:pPr>
      <w:r>
        <w:rPr>
          <w:rFonts w:ascii="Arial" w:cs="Arial" w:eastAsia="Arial" w:hAnsi="Arial"/>
          <w:sz w:val="12"/>
          <w:szCs w:val="12"/>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11" w:lineRule="exact"/>
        <w:rPr>
          <w:sz w:val="20"/>
          <w:szCs w:val="20"/>
          <w:color w:val="auto"/>
        </w:rPr>
      </w:pPr>
    </w:p>
    <w:p>
      <w:pPr>
        <w:ind w:left="360" w:right="519" w:firstLine="1077"/>
        <w:spacing w:after="0" w:line="312" w:lineRule="auto"/>
        <w:rPr>
          <w:sz w:val="20"/>
          <w:szCs w:val="20"/>
          <w:color w:val="auto"/>
        </w:rPr>
      </w:pPr>
      <w:r>
        <w:rPr>
          <w:rFonts w:ascii="Arial" w:cs="Arial" w:eastAsia="Arial" w:hAnsi="Arial"/>
          <w:sz w:val="12"/>
          <w:szCs w:val="12"/>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1" w:lineRule="exact"/>
        <w:rPr>
          <w:sz w:val="20"/>
          <w:szCs w:val="20"/>
          <w:color w:val="auto"/>
        </w:rPr>
      </w:pPr>
    </w:p>
    <w:p>
      <w:pPr>
        <w:ind w:left="360" w:right="639" w:firstLine="749"/>
        <w:spacing w:after="0" w:line="312" w:lineRule="auto"/>
        <w:tabs>
          <w:tab w:leader="none" w:pos="1398" w:val="left"/>
        </w:tabs>
        <w:numPr>
          <w:ilvl w:val="0"/>
          <w:numId w:val="88"/>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11" w:lineRule="exact"/>
        <w:rPr>
          <w:rFonts w:ascii="Arial" w:cs="Arial" w:eastAsia="Arial" w:hAnsi="Arial"/>
          <w:sz w:val="12"/>
          <w:szCs w:val="12"/>
          <w:color w:val="auto"/>
        </w:rPr>
      </w:pPr>
    </w:p>
    <w:p>
      <w:pPr>
        <w:ind w:left="360" w:right="539" w:firstLine="749"/>
        <w:spacing w:after="0" w:line="259" w:lineRule="auto"/>
        <w:tabs>
          <w:tab w:leader="none" w:pos="1398" w:val="left"/>
        </w:tabs>
        <w:numPr>
          <w:ilvl w:val="0"/>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Committee</w:t>
      </w:r>
      <w:r>
        <w:rPr>
          <w:rFonts w:ascii="Arial" w:cs="Arial" w:eastAsia="Arial" w:hAnsi="Arial"/>
          <w:sz w:val="14"/>
          <w:szCs w:val="14"/>
          <w:color w:val="auto"/>
        </w:rPr>
        <w:t>” means a committee of Directors or of other individuals satisfying Applicable Laws appointed by the Board, or a duly authorized committee of the Board, in accordance with Section 4 hereof.</w:t>
      </w:r>
    </w:p>
    <w:p>
      <w:pPr>
        <w:spacing w:after="0" w:line="139" w:lineRule="exact"/>
        <w:rPr>
          <w:rFonts w:ascii="Arial" w:cs="Arial" w:eastAsia="Arial" w:hAnsi="Arial"/>
          <w:sz w:val="14"/>
          <w:szCs w:val="14"/>
          <w:color w:val="auto"/>
        </w:rPr>
      </w:pPr>
    </w:p>
    <w:p>
      <w:pPr>
        <w:ind w:left="1380" w:hanging="271"/>
        <w:spacing w:after="0"/>
        <w:tabs>
          <w:tab w:leader="none" w:pos="1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Class A common stock of the Company.</w:t>
      </w:r>
    </w:p>
    <w:p>
      <w:pPr>
        <w:spacing w:after="0" w:line="163" w:lineRule="exact"/>
        <w:rPr>
          <w:rFonts w:ascii="Arial" w:cs="Arial" w:eastAsia="Arial" w:hAnsi="Arial"/>
          <w:sz w:val="14"/>
          <w:szCs w:val="14"/>
          <w:color w:val="auto"/>
        </w:rPr>
      </w:pPr>
    </w:p>
    <w:p>
      <w:pPr>
        <w:ind w:left="1380" w:hanging="271"/>
        <w:spacing w:after="0"/>
        <w:tabs>
          <w:tab w:leader="none" w:pos="13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means Kensington Capital Acquisition Corp., a Delaware corporation, or any successor thereto.</w:t>
      </w:r>
    </w:p>
    <w:p>
      <w:pPr>
        <w:spacing w:after="0" w:line="163" w:lineRule="exact"/>
        <w:rPr>
          <w:rFonts w:ascii="Arial" w:cs="Arial" w:eastAsia="Arial" w:hAnsi="Arial"/>
          <w:sz w:val="14"/>
          <w:szCs w:val="14"/>
          <w:color w:val="auto"/>
        </w:rPr>
      </w:pPr>
    </w:p>
    <w:p>
      <w:pPr>
        <w:ind w:left="360" w:right="439" w:firstLine="749"/>
        <w:spacing w:after="0" w:line="259" w:lineRule="auto"/>
        <w:tabs>
          <w:tab w:leader="none" w:pos="1398" w:val="left"/>
        </w:tabs>
        <w:numPr>
          <w:ilvl w:val="0"/>
          <w:numId w:val="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Consultant</w:t>
      </w:r>
      <w:r>
        <w:rPr>
          <w:rFonts w:ascii="Arial" w:cs="Arial" w:eastAsia="Arial" w:hAnsi="Arial"/>
          <w:sz w:val="14"/>
          <w:szCs w:val="14"/>
          <w:color w:val="auto"/>
        </w:rPr>
        <w:t>” means any natural person, including an advisor, engaged by the Company or a Parent or Subsidiary to render bona fide services to such entity, provided the services (i) are not in connection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0" w:right="1440" w:bottom="1440" w:gutter="0" w:footer="0" w:header="0"/>
        </w:sectPr>
      </w:pPr>
    </w:p>
    <w:bookmarkStart w:id="78" w:name="page79"/>
    <w:bookmarkEnd w:id="78"/>
    <w:p>
      <w:pPr>
        <w:ind w:left="360" w:right="47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11" w:lineRule="exact"/>
        <w:rPr>
          <w:sz w:val="20"/>
          <w:szCs w:val="20"/>
          <w:color w:val="auto"/>
        </w:rPr>
      </w:pPr>
    </w:p>
    <w:p>
      <w:pPr>
        <w:ind w:left="1380" w:hanging="271"/>
        <w:spacing w:after="0"/>
        <w:tabs>
          <w:tab w:leader="none" w:pos="1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Director</w:t>
      </w:r>
      <w:r>
        <w:rPr>
          <w:rFonts w:ascii="Arial" w:cs="Arial" w:eastAsia="Arial" w:hAnsi="Arial"/>
          <w:sz w:val="14"/>
          <w:szCs w:val="14"/>
          <w:color w:val="auto"/>
        </w:rPr>
        <w:t>” means a member of the Board.</w:t>
      </w:r>
    </w:p>
    <w:p>
      <w:pPr>
        <w:spacing w:after="0" w:line="163" w:lineRule="exact"/>
        <w:rPr>
          <w:rFonts w:ascii="Arial" w:cs="Arial" w:eastAsia="Arial" w:hAnsi="Arial"/>
          <w:sz w:val="14"/>
          <w:szCs w:val="14"/>
          <w:color w:val="auto"/>
        </w:rPr>
      </w:pPr>
    </w:p>
    <w:p>
      <w:pPr>
        <w:ind w:left="360" w:right="439" w:firstLine="749"/>
        <w:spacing w:after="0" w:line="250" w:lineRule="auto"/>
        <w:tabs>
          <w:tab w:leader="none" w:pos="1436"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Disability</w:t>
      </w:r>
      <w:r>
        <w:rPr>
          <w:rFonts w:ascii="Arial" w:cs="Arial" w:eastAsia="Arial" w:hAnsi="Arial"/>
          <w:sz w:val="14"/>
          <w:szCs w:val="14"/>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46" w:lineRule="exact"/>
        <w:rPr>
          <w:rFonts w:ascii="Arial" w:cs="Arial" w:eastAsia="Arial" w:hAnsi="Arial"/>
          <w:sz w:val="14"/>
          <w:szCs w:val="14"/>
          <w:color w:val="auto"/>
        </w:rPr>
      </w:pPr>
    </w:p>
    <w:p>
      <w:pPr>
        <w:ind w:left="360" w:right="459" w:firstLine="749"/>
        <w:spacing w:after="0" w:line="342" w:lineRule="auto"/>
        <w:tabs>
          <w:tab w:leader="none" w:pos="1398" w:val="left"/>
        </w:tabs>
        <w:numPr>
          <w:ilvl w:val="0"/>
          <w:numId w:val="8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the date of the consummation of the merger by and between the Company, QuantumScape Corporation, and certain other parties, pursuant to that certain Business Combination Agreement dated September 2, 2020 (such merger, the “</w:t>
      </w:r>
      <w:r>
        <w:rPr>
          <w:rFonts w:ascii="Arial" w:cs="Arial" w:eastAsia="Arial" w:hAnsi="Arial"/>
          <w:sz w:val="12"/>
          <w:szCs w:val="12"/>
          <w:u w:val="single" w:color="auto"/>
          <w:color w:val="auto"/>
        </w:rPr>
        <w:t>Merger</w:t>
      </w:r>
      <w:r>
        <w:rPr>
          <w:rFonts w:ascii="Arial" w:cs="Arial" w:eastAsia="Arial" w:hAnsi="Arial"/>
          <w:sz w:val="12"/>
          <w:szCs w:val="12"/>
          <w:color w:val="auto"/>
        </w:rPr>
        <w:t>”).</w:t>
      </w:r>
    </w:p>
    <w:p>
      <w:pPr>
        <w:spacing w:after="0" w:line="93" w:lineRule="exact"/>
        <w:rPr>
          <w:rFonts w:ascii="Arial" w:cs="Arial" w:eastAsia="Arial" w:hAnsi="Arial"/>
          <w:sz w:val="12"/>
          <w:szCs w:val="12"/>
          <w:color w:val="auto"/>
        </w:rPr>
      </w:pPr>
    </w:p>
    <w:p>
      <w:pPr>
        <w:ind w:left="360" w:right="399" w:firstLine="749"/>
        <w:spacing w:after="0" w:line="250" w:lineRule="auto"/>
        <w:tabs>
          <w:tab w:leader="none" w:pos="1398"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Employee</w:t>
      </w:r>
      <w:r>
        <w:rPr>
          <w:rFonts w:ascii="Arial" w:cs="Arial" w:eastAsia="Arial" w:hAnsi="Arial"/>
          <w:sz w:val="14"/>
          <w:szCs w:val="14"/>
          <w:color w:val="auto"/>
        </w:rPr>
        <w:t>” means any person, including Officers and Directors, providing services as an employee to the Company or any Parent or Subsidiary of the Company. Neither service as a Director nor payment of a director’s fee by the Company will be sufficient to constitute “employment” by the Company.</w:t>
      </w:r>
    </w:p>
    <w:p>
      <w:pPr>
        <w:spacing w:after="0" w:line="146" w:lineRule="exact"/>
        <w:rPr>
          <w:rFonts w:ascii="Arial" w:cs="Arial" w:eastAsia="Arial" w:hAnsi="Arial"/>
          <w:sz w:val="14"/>
          <w:szCs w:val="14"/>
          <w:color w:val="auto"/>
        </w:rPr>
      </w:pPr>
    </w:p>
    <w:p>
      <w:pPr>
        <w:ind w:left="1400" w:hanging="291"/>
        <w:spacing w:after="0"/>
        <w:tabs>
          <w:tab w:leader="none" w:pos="14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U.S. Securities Exchange Act of 1934, as amended.</w:t>
      </w:r>
    </w:p>
    <w:p>
      <w:pPr>
        <w:spacing w:after="0" w:line="163" w:lineRule="exact"/>
        <w:rPr>
          <w:rFonts w:ascii="Arial" w:cs="Arial" w:eastAsia="Arial" w:hAnsi="Arial"/>
          <w:sz w:val="14"/>
          <w:szCs w:val="14"/>
          <w:color w:val="auto"/>
        </w:rPr>
      </w:pPr>
    </w:p>
    <w:p>
      <w:pPr>
        <w:ind w:left="360" w:right="439" w:firstLine="749"/>
        <w:spacing w:after="0" w:line="246" w:lineRule="auto"/>
        <w:tabs>
          <w:tab w:leader="none" w:pos="1398"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Program</w:t>
      </w:r>
      <w:r>
        <w:rPr>
          <w:rFonts w:ascii="Arial" w:cs="Arial" w:eastAsia="Arial" w:hAnsi="Arial"/>
          <w:sz w:val="14"/>
          <w:szCs w:val="14"/>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49" w:lineRule="exact"/>
        <w:rPr>
          <w:rFonts w:ascii="Arial" w:cs="Arial" w:eastAsia="Arial" w:hAnsi="Arial"/>
          <w:sz w:val="14"/>
          <w:szCs w:val="14"/>
          <w:color w:val="auto"/>
        </w:rPr>
      </w:pPr>
    </w:p>
    <w:p>
      <w:pPr>
        <w:ind w:left="1380" w:hanging="271"/>
        <w:spacing w:after="0"/>
        <w:tabs>
          <w:tab w:leader="none" w:pos="13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Fair Market Value</w:t>
      </w:r>
      <w:r>
        <w:rPr>
          <w:rFonts w:ascii="Arial" w:cs="Arial" w:eastAsia="Arial" w:hAnsi="Arial"/>
          <w:sz w:val="14"/>
          <w:szCs w:val="14"/>
          <w:color w:val="auto"/>
        </w:rPr>
        <w:t>” means, as of any date, the value of Common Stock determined as follows:</w:t>
      </w:r>
    </w:p>
    <w:p>
      <w:pPr>
        <w:spacing w:after="0" w:line="82" w:lineRule="exact"/>
        <w:rPr>
          <w:rFonts w:ascii="Arial" w:cs="Arial" w:eastAsia="Arial" w:hAnsi="Arial"/>
          <w:sz w:val="14"/>
          <w:szCs w:val="14"/>
          <w:color w:val="auto"/>
        </w:rPr>
      </w:pPr>
    </w:p>
    <w:p>
      <w:pPr>
        <w:ind w:left="360" w:right="399" w:firstLine="1080"/>
        <w:spacing w:after="0" w:line="302" w:lineRule="auto"/>
        <w:tabs>
          <w:tab w:leader="none" w:pos="17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Administrator deems reliable;</w:t>
      </w:r>
    </w:p>
    <w:p>
      <w:pPr>
        <w:spacing w:after="0" w:line="117" w:lineRule="exact"/>
        <w:rPr>
          <w:rFonts w:ascii="Arial" w:cs="Arial" w:eastAsia="Arial" w:hAnsi="Arial"/>
          <w:sz w:val="12"/>
          <w:szCs w:val="12"/>
          <w:color w:val="auto"/>
        </w:rPr>
      </w:pPr>
    </w:p>
    <w:p>
      <w:pPr>
        <w:ind w:left="360" w:right="439" w:firstLine="1080"/>
        <w:spacing w:after="0" w:line="247" w:lineRule="auto"/>
        <w:tabs>
          <w:tab w:leader="none" w:pos="1737" w:val="left"/>
        </w:tabs>
        <w:numPr>
          <w:ilvl w:val="1"/>
          <w:numId w:val="89"/>
        </w:numPr>
        <w:rPr>
          <w:rFonts w:ascii="Arial" w:cs="Arial" w:eastAsia="Arial" w:hAnsi="Arial"/>
          <w:sz w:val="14"/>
          <w:szCs w:val="14"/>
          <w:color w:val="auto"/>
        </w:rPr>
      </w:pPr>
      <w:r>
        <w:rPr>
          <w:rFonts w:ascii="Arial" w:cs="Arial" w:eastAsia="Arial" w:hAnsi="Arial"/>
          <w:sz w:val="14"/>
          <w:szCs w:val="14"/>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or such other source as the Administrator deems reliable; or</w:t>
      </w:r>
    </w:p>
    <w:p>
      <w:pPr>
        <w:spacing w:after="0" w:line="149" w:lineRule="exact"/>
        <w:rPr>
          <w:rFonts w:ascii="Arial" w:cs="Arial" w:eastAsia="Arial" w:hAnsi="Arial"/>
          <w:sz w:val="14"/>
          <w:szCs w:val="14"/>
          <w:color w:val="auto"/>
        </w:rPr>
      </w:pPr>
    </w:p>
    <w:p>
      <w:pPr>
        <w:ind w:left="1780" w:hanging="340"/>
        <w:spacing w:after="0"/>
        <w:tabs>
          <w:tab w:leader="none" w:pos="1780" w:val="left"/>
        </w:tabs>
        <w:numPr>
          <w:ilvl w:val="1"/>
          <w:numId w:val="89"/>
        </w:numPr>
        <w:rPr>
          <w:rFonts w:ascii="Arial" w:cs="Arial" w:eastAsia="Arial" w:hAnsi="Arial"/>
          <w:sz w:val="12"/>
          <w:szCs w:val="12"/>
          <w:color w:val="auto"/>
        </w:rPr>
      </w:pPr>
      <w:r>
        <w:rPr>
          <w:rFonts w:ascii="Arial" w:cs="Arial" w:eastAsia="Arial" w:hAnsi="Arial"/>
          <w:sz w:val="12"/>
          <w:szCs w:val="12"/>
          <w:color w:val="auto"/>
        </w:rPr>
        <w:t>In the absence of an established market for the Common Stock, the Fair Market Value will be determined in good faith by the</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Administrator.</w:t>
      </w:r>
    </w:p>
    <w:p>
      <w:pPr>
        <w:spacing w:after="0" w:line="154" w:lineRule="exact"/>
        <w:rPr>
          <w:sz w:val="20"/>
          <w:szCs w:val="20"/>
          <w:color w:val="auto"/>
        </w:rPr>
      </w:pPr>
    </w:p>
    <w:p>
      <w:pPr>
        <w:ind w:left="360" w:right="439" w:firstLine="331"/>
        <w:spacing w:after="0" w:line="259" w:lineRule="auto"/>
        <w:rPr>
          <w:sz w:val="20"/>
          <w:szCs w:val="20"/>
          <w:color w:val="auto"/>
        </w:rPr>
      </w:pPr>
      <w:r>
        <w:rPr>
          <w:rFonts w:ascii="Arial" w:cs="Arial" w:eastAsia="Arial" w:hAnsi="Arial"/>
          <w:sz w:val="14"/>
          <w:szCs w:val="14"/>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0" w:lineRule="exact"/>
        <w:rPr>
          <w:sz w:val="20"/>
          <w:szCs w:val="20"/>
          <w:color w:val="auto"/>
        </w:rPr>
      </w:pPr>
    </w:p>
    <w:p>
      <w:pPr>
        <w:ind w:left="1380" w:hanging="271"/>
        <w:spacing w:after="0"/>
        <w:tabs>
          <w:tab w:leader="none" w:pos="13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Fiscal Year</w:t>
      </w:r>
      <w:r>
        <w:rPr>
          <w:rFonts w:ascii="Arial" w:cs="Arial" w:eastAsia="Arial" w:hAnsi="Arial"/>
          <w:sz w:val="14"/>
          <w:szCs w:val="14"/>
          <w:color w:val="auto"/>
        </w:rPr>
        <w:t>” means the fiscal year of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79" w:name="page80"/>
    <w:bookmarkEnd w:id="79"/>
    <w:p>
      <w:pPr>
        <w:ind w:left="360" w:right="479" w:firstLine="749"/>
        <w:spacing w:after="0" w:line="259" w:lineRule="auto"/>
        <w:tabs>
          <w:tab w:leader="none" w:pos="1368" w:val="left"/>
        </w:tabs>
        <w:numPr>
          <w:ilvl w:val="0"/>
          <w:numId w:val="9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4"/>
          <w:szCs w:val="14"/>
          <w:u w:val="single" w:color="auto"/>
          <w:color w:val="auto"/>
        </w:rPr>
        <w:t>Incentive Stock Option</w:t>
      </w:r>
      <w:r>
        <w:rPr>
          <w:rFonts w:ascii="Arial" w:cs="Arial" w:eastAsia="Arial" w:hAnsi="Arial"/>
          <w:sz w:val="14"/>
          <w:szCs w:val="14"/>
          <w:color w:val="auto"/>
        </w:rPr>
        <w:t>” means an Option intended to qualify as an incentive stock option within the meaning of Section 422 of the Code and the regulations promulgated thereunder.</w:t>
      </w:r>
    </w:p>
    <w:p>
      <w:pPr>
        <w:spacing w:after="0" w:line="139" w:lineRule="exact"/>
        <w:rPr>
          <w:rFonts w:ascii="Arial" w:cs="Arial" w:eastAsia="Arial" w:hAnsi="Arial"/>
          <w:sz w:val="14"/>
          <w:szCs w:val="14"/>
          <w:color w:val="auto"/>
        </w:rPr>
      </w:pPr>
    </w:p>
    <w:p>
      <w:pPr>
        <w:ind w:left="1400" w:hanging="291"/>
        <w:spacing w:after="0"/>
        <w:tabs>
          <w:tab w:leader="none" w:pos="140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Nonstatutory Stock Option</w:t>
      </w:r>
      <w:r>
        <w:rPr>
          <w:rFonts w:ascii="Arial" w:cs="Arial" w:eastAsia="Arial" w:hAnsi="Arial"/>
          <w:sz w:val="12"/>
          <w:szCs w:val="12"/>
          <w:color w:val="auto"/>
        </w:rPr>
        <w:t>” means an Option that by its terms does not qualify or is not intended to qualify as an Incentive Stock</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Option.</w:t>
      </w:r>
    </w:p>
    <w:p>
      <w:pPr>
        <w:spacing w:after="0" w:line="153" w:lineRule="exact"/>
        <w:rPr>
          <w:rFonts w:ascii="Arial" w:cs="Arial" w:eastAsia="Arial" w:hAnsi="Arial"/>
          <w:sz w:val="12"/>
          <w:szCs w:val="12"/>
          <w:color w:val="auto"/>
        </w:rPr>
      </w:pPr>
    </w:p>
    <w:p>
      <w:pPr>
        <w:ind w:left="360" w:right="459" w:firstLine="749"/>
        <w:spacing w:after="0" w:line="259" w:lineRule="auto"/>
        <w:tabs>
          <w:tab w:leader="none" w:pos="1398"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Officer</w:t>
      </w:r>
      <w:r>
        <w:rPr>
          <w:rFonts w:ascii="Arial" w:cs="Arial" w:eastAsia="Arial" w:hAnsi="Arial"/>
          <w:sz w:val="14"/>
          <w:szCs w:val="14"/>
          <w:color w:val="auto"/>
        </w:rPr>
        <w:t>” means a person who is an officer of the Company within the meaning of Section 16 of the Exchange Act and the rules and regulations promulgated thereunder.</w:t>
      </w:r>
    </w:p>
    <w:p>
      <w:pPr>
        <w:spacing w:after="0" w:line="139" w:lineRule="exact"/>
        <w:rPr>
          <w:rFonts w:ascii="Arial" w:cs="Arial" w:eastAsia="Arial" w:hAnsi="Arial"/>
          <w:sz w:val="14"/>
          <w:szCs w:val="14"/>
          <w:color w:val="auto"/>
        </w:rPr>
      </w:pPr>
    </w:p>
    <w:p>
      <w:pPr>
        <w:ind w:left="1440" w:hanging="331"/>
        <w:spacing w:after="0"/>
        <w:tabs>
          <w:tab w:leader="none" w:pos="14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Option</w:t>
      </w:r>
      <w:r>
        <w:rPr>
          <w:rFonts w:ascii="Arial" w:cs="Arial" w:eastAsia="Arial" w:hAnsi="Arial"/>
          <w:sz w:val="14"/>
          <w:szCs w:val="14"/>
          <w:color w:val="auto"/>
        </w:rPr>
        <w:t>” means a stock option granted pursuant to the Plan.</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Outside Director</w:t>
      </w:r>
      <w:r>
        <w:rPr>
          <w:rFonts w:ascii="Arial" w:cs="Arial" w:eastAsia="Arial" w:hAnsi="Arial"/>
          <w:sz w:val="14"/>
          <w:szCs w:val="14"/>
          <w:color w:val="auto"/>
        </w:rPr>
        <w:t>” means a Director who is not an Employee.</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w:t>
      </w:r>
      <w:r>
        <w:rPr>
          <w:rFonts w:ascii="Arial" w:cs="Arial" w:eastAsia="Arial" w:hAnsi="Arial"/>
          <w:sz w:val="14"/>
          <w:szCs w:val="14"/>
          <w:color w:val="auto"/>
        </w:rPr>
        <w:t>” means a “parent corporation,” whether now or hereafter existing, as defined in Section 424(e) of the Code.</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means the holder of an outstanding Award.</w:t>
      </w:r>
    </w:p>
    <w:p>
      <w:pPr>
        <w:spacing w:after="0" w:line="164" w:lineRule="exact"/>
        <w:rPr>
          <w:sz w:val="20"/>
          <w:szCs w:val="20"/>
          <w:color w:val="auto"/>
        </w:rPr>
      </w:pPr>
    </w:p>
    <w:p>
      <w:pPr>
        <w:ind w:left="360" w:right="939" w:firstLine="749"/>
        <w:spacing w:after="0" w:line="259" w:lineRule="auto"/>
        <w:tabs>
          <w:tab w:leader="none" w:pos="1451"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Share</w:t>
      </w:r>
      <w:r>
        <w:rPr>
          <w:rFonts w:ascii="Arial" w:cs="Arial" w:eastAsia="Arial" w:hAnsi="Arial"/>
          <w:sz w:val="14"/>
          <w:szCs w:val="14"/>
          <w:color w:val="auto"/>
        </w:rPr>
        <w:t>” means an Award denominated in Shares which may be earned in whole or in part upon attainment of performance goals or other vesting criteria as the Administrator may determine pursuant to Section 10.</w:t>
      </w:r>
    </w:p>
    <w:p>
      <w:pPr>
        <w:spacing w:after="0" w:line="139" w:lineRule="exact"/>
        <w:rPr>
          <w:rFonts w:ascii="Arial" w:cs="Arial" w:eastAsia="Arial" w:hAnsi="Arial"/>
          <w:sz w:val="14"/>
          <w:szCs w:val="14"/>
          <w:color w:val="auto"/>
        </w:rPr>
      </w:pPr>
    </w:p>
    <w:p>
      <w:pPr>
        <w:ind w:left="360" w:right="699" w:firstLine="749"/>
        <w:spacing w:after="0" w:line="250" w:lineRule="auto"/>
        <w:tabs>
          <w:tab w:leader="none" w:pos="1466"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Performance Unit</w:t>
      </w:r>
      <w:r>
        <w:rPr>
          <w:rFonts w:ascii="Arial" w:cs="Arial" w:eastAsia="Arial" w:hAnsi="Arial"/>
          <w:sz w:val="14"/>
          <w:szCs w:val="14"/>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46" w:lineRule="exact"/>
        <w:rPr>
          <w:rFonts w:ascii="Arial" w:cs="Arial" w:eastAsia="Arial" w:hAnsi="Arial"/>
          <w:sz w:val="14"/>
          <w:szCs w:val="14"/>
          <w:color w:val="auto"/>
        </w:rPr>
      </w:pPr>
    </w:p>
    <w:p>
      <w:pPr>
        <w:ind w:left="360" w:right="379" w:firstLine="749"/>
        <w:spacing w:after="0" w:line="250" w:lineRule="auto"/>
        <w:tabs>
          <w:tab w:leader="none" w:pos="1451"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Period of Restriction</w:t>
      </w:r>
      <w:r>
        <w:rPr>
          <w:rFonts w:ascii="Arial" w:cs="Arial" w:eastAsia="Arial" w:hAnsi="Arial"/>
          <w:sz w:val="14"/>
          <w:szCs w:val="14"/>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46" w:lineRule="exact"/>
        <w:rPr>
          <w:rFonts w:ascii="Arial" w:cs="Arial" w:eastAsia="Arial" w:hAnsi="Arial"/>
          <w:sz w:val="14"/>
          <w:szCs w:val="14"/>
          <w:color w:val="auto"/>
        </w:rPr>
      </w:pPr>
    </w:p>
    <w:p>
      <w:pPr>
        <w:ind w:left="1460" w:hanging="351"/>
        <w:spacing w:after="0"/>
        <w:tabs>
          <w:tab w:leader="none" w:pos="1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means this QuantumScape Corporation 2020 Equity Incentive Plan.</w:t>
      </w:r>
    </w:p>
    <w:p>
      <w:pPr>
        <w:spacing w:after="0" w:line="163" w:lineRule="exact"/>
        <w:rPr>
          <w:rFonts w:ascii="Arial" w:cs="Arial" w:eastAsia="Arial" w:hAnsi="Arial"/>
          <w:sz w:val="14"/>
          <w:szCs w:val="14"/>
          <w:color w:val="auto"/>
        </w:rPr>
      </w:pPr>
    </w:p>
    <w:p>
      <w:pPr>
        <w:ind w:left="360" w:right="459" w:firstLine="749"/>
        <w:spacing w:after="0" w:line="259" w:lineRule="auto"/>
        <w:tabs>
          <w:tab w:leader="none" w:pos="1451"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Stock</w:t>
      </w:r>
      <w:r>
        <w:rPr>
          <w:rFonts w:ascii="Arial" w:cs="Arial" w:eastAsia="Arial" w:hAnsi="Arial"/>
          <w:sz w:val="14"/>
          <w:szCs w:val="14"/>
          <w:color w:val="auto"/>
        </w:rPr>
        <w:t>” means Shares issued pursuant to an Award of Restricted Stock under Section 7 of the Plan, or issued pursuant to the early exercise of an Option.</w:t>
      </w:r>
    </w:p>
    <w:p>
      <w:pPr>
        <w:spacing w:after="0" w:line="139" w:lineRule="exact"/>
        <w:rPr>
          <w:rFonts w:ascii="Arial" w:cs="Arial" w:eastAsia="Arial" w:hAnsi="Arial"/>
          <w:sz w:val="14"/>
          <w:szCs w:val="14"/>
          <w:color w:val="auto"/>
        </w:rPr>
      </w:pPr>
    </w:p>
    <w:p>
      <w:pPr>
        <w:ind w:left="360" w:right="619" w:firstLine="749"/>
        <w:spacing w:after="0" w:line="342" w:lineRule="auto"/>
        <w:tabs>
          <w:tab w:leader="none" w:pos="1418"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Restricted Stock Unit</w:t>
      </w:r>
      <w:r>
        <w:rPr>
          <w:rFonts w:ascii="Arial" w:cs="Arial" w:eastAsia="Arial" w:hAnsi="Arial"/>
          <w:sz w:val="12"/>
          <w:szCs w:val="12"/>
          <w:color w:val="auto"/>
        </w:rPr>
        <w:t>” means a bookkeeping entry representing an amount equal to the Fair Market Value of one Share, granted pursuant to Section 8. Each Restricted Stock Unit represents an unfunded and unsecured obligation of the Company.</w:t>
      </w:r>
    </w:p>
    <w:p>
      <w:pPr>
        <w:spacing w:after="0" w:line="93" w:lineRule="exact"/>
        <w:rPr>
          <w:rFonts w:ascii="Arial" w:cs="Arial" w:eastAsia="Arial" w:hAnsi="Arial"/>
          <w:sz w:val="12"/>
          <w:szCs w:val="12"/>
          <w:color w:val="auto"/>
        </w:rPr>
      </w:pPr>
    </w:p>
    <w:p>
      <w:pPr>
        <w:ind w:left="360" w:right="399" w:firstLine="749"/>
        <w:spacing w:after="0" w:line="259" w:lineRule="auto"/>
        <w:tabs>
          <w:tab w:leader="none" w:pos="1466"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 the Plan.</w:t>
      </w:r>
    </w:p>
    <w:p>
      <w:pPr>
        <w:spacing w:after="0" w:line="139" w:lineRule="exact"/>
        <w:rPr>
          <w:rFonts w:ascii="Arial" w:cs="Arial" w:eastAsia="Arial" w:hAnsi="Arial"/>
          <w:sz w:val="14"/>
          <w:szCs w:val="14"/>
          <w:color w:val="auto"/>
        </w:rPr>
      </w:pPr>
    </w:p>
    <w:p>
      <w:pPr>
        <w:ind w:left="1460" w:hanging="351"/>
        <w:spacing w:after="0"/>
        <w:tabs>
          <w:tab w:leader="none" w:pos="1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16(b)</w:t>
      </w:r>
      <w:r>
        <w:rPr>
          <w:rFonts w:ascii="Arial" w:cs="Arial" w:eastAsia="Arial" w:hAnsi="Arial"/>
          <w:sz w:val="14"/>
          <w:szCs w:val="14"/>
          <w:color w:val="auto"/>
        </w:rPr>
        <w:t>” means Section 16(b) of the Exchange Act.</w:t>
      </w:r>
    </w:p>
    <w:p>
      <w:pPr>
        <w:spacing w:after="0" w:line="163" w:lineRule="exact"/>
        <w:rPr>
          <w:rFonts w:ascii="Arial" w:cs="Arial" w:eastAsia="Arial" w:hAnsi="Arial"/>
          <w:sz w:val="14"/>
          <w:szCs w:val="14"/>
          <w:color w:val="auto"/>
        </w:rPr>
      </w:pPr>
    </w:p>
    <w:p>
      <w:pPr>
        <w:ind w:left="360" w:right="699" w:firstLine="749"/>
        <w:spacing w:after="0" w:line="342" w:lineRule="auto"/>
        <w:tabs>
          <w:tab w:leader="none" w:pos="1406" w:val="left"/>
        </w:tabs>
        <w:numPr>
          <w:ilvl w:val="0"/>
          <w:numId w:val="9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409A</w:t>
      </w:r>
      <w:r>
        <w:rPr>
          <w:rFonts w:ascii="Arial" w:cs="Arial" w:eastAsia="Arial" w:hAnsi="Arial"/>
          <w:sz w:val="12"/>
          <w:szCs w:val="12"/>
          <w:color w:val="auto"/>
        </w:rPr>
        <w:t>” means Code Section 409A, as it has been and may be amended from time to time, and any proposed or final Treasury Regulations and U.S. Internal Revenue Service guidance that has been promulgated or may be promulgated thereunder from time to time.</w:t>
      </w:r>
    </w:p>
    <w:p>
      <w:pPr>
        <w:spacing w:after="0" w:line="93" w:lineRule="exact"/>
        <w:rPr>
          <w:rFonts w:ascii="Arial" w:cs="Arial" w:eastAsia="Arial" w:hAnsi="Arial"/>
          <w:sz w:val="12"/>
          <w:szCs w:val="12"/>
          <w:color w:val="auto"/>
        </w:rPr>
      </w:pPr>
    </w:p>
    <w:p>
      <w:pPr>
        <w:ind w:left="1400" w:hanging="291"/>
        <w:spacing w:after="0"/>
        <w:tabs>
          <w:tab w:leader="none" w:pos="14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U.S. Securities Act of 1933, as amended.</w:t>
      </w:r>
    </w:p>
    <w:p>
      <w:pPr>
        <w:spacing w:after="0" w:line="163" w:lineRule="exact"/>
        <w:rPr>
          <w:rFonts w:ascii="Arial" w:cs="Arial" w:eastAsia="Arial" w:hAnsi="Arial"/>
          <w:sz w:val="14"/>
          <w:szCs w:val="14"/>
          <w:color w:val="auto"/>
        </w:rPr>
      </w:pPr>
    </w:p>
    <w:p>
      <w:pPr>
        <w:ind w:left="1460" w:hanging="351"/>
        <w:spacing w:after="0"/>
        <w:tabs>
          <w:tab w:leader="none" w:pos="14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Service Provider</w:t>
      </w:r>
      <w:r>
        <w:rPr>
          <w:rFonts w:ascii="Arial" w:cs="Arial" w:eastAsia="Arial" w:hAnsi="Arial"/>
          <w:sz w:val="14"/>
          <w:szCs w:val="14"/>
          <w:color w:val="auto"/>
        </w:rPr>
        <w:t>” means an Employee, Director or Consultant.</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Share</w:t>
      </w:r>
      <w:r>
        <w:rPr>
          <w:rFonts w:ascii="Arial" w:cs="Arial" w:eastAsia="Arial" w:hAnsi="Arial"/>
          <w:sz w:val="14"/>
          <w:szCs w:val="14"/>
          <w:color w:val="auto"/>
        </w:rPr>
        <w:t>” means a share of the Common Stock, as adjusted in accordance with Section 14 of the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80" w:name="page81"/>
    <w:bookmarkEnd w:id="80"/>
    <w:p>
      <w:pPr>
        <w:ind w:left="360" w:right="919" w:firstLine="749"/>
        <w:spacing w:after="0" w:line="259" w:lineRule="auto"/>
        <w:tabs>
          <w:tab w:leader="none" w:pos="1541" w:val="left"/>
        </w:tabs>
        <w:numPr>
          <w:ilvl w:val="1"/>
          <w:numId w:val="9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4"/>
          <w:szCs w:val="14"/>
          <w:u w:val="single" w:color="auto"/>
          <w:color w:val="auto"/>
        </w:rPr>
        <w:t>Stock Appreciation Right</w:t>
      </w:r>
      <w:r>
        <w:rPr>
          <w:rFonts w:ascii="Arial" w:cs="Arial" w:eastAsia="Arial" w:hAnsi="Arial"/>
          <w:sz w:val="14"/>
          <w:szCs w:val="14"/>
          <w:color w:val="auto"/>
        </w:rPr>
        <w:t>” means an Award, granted alone or in connection with an Option, that pursuant to Section 9 is designated as a Stock Appreciation Right.</w:t>
      </w:r>
    </w:p>
    <w:p>
      <w:pPr>
        <w:spacing w:after="0" w:line="139" w:lineRule="exact"/>
        <w:rPr>
          <w:rFonts w:ascii="Arial" w:cs="Arial" w:eastAsia="Arial" w:hAnsi="Arial"/>
          <w:sz w:val="14"/>
          <w:szCs w:val="14"/>
          <w:color w:val="auto"/>
        </w:rPr>
      </w:pPr>
    </w:p>
    <w:p>
      <w:pPr>
        <w:ind w:left="1460" w:hanging="351"/>
        <w:spacing w:after="0"/>
        <w:tabs>
          <w:tab w:leader="none" w:pos="1460" w:val="left"/>
        </w:tabs>
        <w:numPr>
          <w:ilvl w:val="1"/>
          <w:numId w:val="9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a “subsidiary corporation,” whether now or hereafter existing, as defined in Section 424(f) of the Code.</w:t>
      </w:r>
    </w:p>
    <w:p>
      <w:pPr>
        <w:spacing w:after="0" w:line="186" w:lineRule="exact"/>
        <w:rPr>
          <w:rFonts w:ascii="Arial" w:cs="Arial" w:eastAsia="Arial" w:hAnsi="Arial"/>
          <w:sz w:val="12"/>
          <w:szCs w:val="12"/>
          <w:color w:val="auto"/>
        </w:rPr>
      </w:pPr>
    </w:p>
    <w:p>
      <w:pPr>
        <w:ind w:left="940" w:hanging="246"/>
        <w:spacing w:after="0"/>
        <w:tabs>
          <w:tab w:leader="none" w:pos="940"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Stock Subject to the Plan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539" w:firstLine="749"/>
        <w:spacing w:after="0" w:line="294" w:lineRule="auto"/>
        <w:tabs>
          <w:tab w:leader="none" w:pos="1391" w:val="left"/>
        </w:tabs>
        <w:numPr>
          <w:ilvl w:val="1"/>
          <w:numId w:val="94"/>
        </w:numPr>
        <w:rPr>
          <w:rFonts w:ascii="Arial" w:cs="Arial" w:eastAsia="Arial" w:hAnsi="Arial"/>
          <w:sz w:val="12"/>
          <w:szCs w:val="12"/>
          <w:color w:val="auto"/>
        </w:rPr>
      </w:pPr>
      <w:r>
        <w:rPr>
          <w:rFonts w:ascii="Arial" w:cs="Arial" w:eastAsia="Arial" w:hAnsi="Arial"/>
          <w:sz w:val="12"/>
          <w:szCs w:val="12"/>
          <w:u w:val="single" w:color="auto"/>
          <w:color w:val="auto"/>
        </w:rPr>
        <w:t>Stock Subject to the Plan</w:t>
      </w:r>
      <w:r>
        <w:rPr>
          <w:rFonts w:ascii="Arial" w:cs="Arial" w:eastAsia="Arial" w:hAnsi="Arial"/>
          <w:sz w:val="12"/>
          <w:szCs w:val="12"/>
          <w:color w:val="auto"/>
        </w:rPr>
        <w:t>. Subject to the provisions of Section 14 of the Plan and the automatic increase set forth in Section 3(b) of the Plan, the maximum aggregate number of Shares that may be issued under the Plan is (i) 41,500,000 Shares, plus (ii) any Shares subject to stock options, restricted stock units or other awards that are assumed in the Merger (“</w:t>
      </w:r>
      <w:r>
        <w:rPr>
          <w:rFonts w:ascii="Arial" w:cs="Arial" w:eastAsia="Arial" w:hAnsi="Arial"/>
          <w:sz w:val="12"/>
          <w:szCs w:val="12"/>
          <w:u w:val="single" w:color="auto"/>
          <w:color w:val="auto"/>
        </w:rPr>
        <w:t>Assumed Awards</w:t>
      </w:r>
      <w:r>
        <w:rPr>
          <w:rFonts w:ascii="Arial" w:cs="Arial" w:eastAsia="Arial" w:hAnsi="Arial"/>
          <w:sz w:val="12"/>
          <w:szCs w:val="12"/>
          <w:color w:val="auto"/>
        </w:rPr>
        <w:t>”) and that, on or after the Effective Date, expire or otherwise terminate without having been exercised or issued in full and any Assumed Awards, on or after the Effective Date, are forfeited to or repurchased by the Company, with the maximum number of Shares to be added to the Plan pursuant to clause (ii) equal to 69,846,580 Shares. The Shares may be authorized, but unissued, or reacquired Common Stock.</w:t>
      </w:r>
    </w:p>
    <w:p>
      <w:pPr>
        <w:spacing w:after="0" w:line="122" w:lineRule="exact"/>
        <w:rPr>
          <w:rFonts w:ascii="Arial" w:cs="Arial" w:eastAsia="Arial" w:hAnsi="Arial"/>
          <w:sz w:val="12"/>
          <w:szCs w:val="12"/>
          <w:color w:val="auto"/>
        </w:rPr>
      </w:pPr>
    </w:p>
    <w:p>
      <w:pPr>
        <w:ind w:left="360" w:right="439" w:firstLine="749"/>
        <w:spacing w:after="0" w:line="246" w:lineRule="auto"/>
        <w:tabs>
          <w:tab w:leader="none" w:pos="1398" w:val="left"/>
        </w:tabs>
        <w:numPr>
          <w:ilvl w:val="1"/>
          <w:numId w:val="94"/>
        </w:numPr>
        <w:rPr>
          <w:rFonts w:ascii="Arial" w:cs="Arial" w:eastAsia="Arial" w:hAnsi="Arial"/>
          <w:sz w:val="14"/>
          <w:szCs w:val="14"/>
          <w:color w:val="auto"/>
        </w:rPr>
      </w:pPr>
      <w:r>
        <w:rPr>
          <w:rFonts w:ascii="Arial" w:cs="Arial" w:eastAsia="Arial" w:hAnsi="Arial"/>
          <w:sz w:val="14"/>
          <w:szCs w:val="14"/>
          <w:u w:val="single" w:color="auto"/>
          <w:color w:val="auto"/>
        </w:rPr>
        <w:t>Automatic Share Reserve Increase</w:t>
      </w:r>
      <w:r>
        <w:rPr>
          <w:rFonts w:ascii="Arial" w:cs="Arial" w:eastAsia="Arial" w:hAnsi="Arial"/>
          <w:sz w:val="14"/>
          <w:szCs w:val="14"/>
          <w:color w:val="auto"/>
        </w:rPr>
        <w:t>. Subject to the provisions of Section 14 of the Plan, the number of Shares available for issuance under the Plan will be increased on the first day of each Fiscal Year beginning with the 2022 Fiscal Year and ending with the 2030 Fiscal Year, in an amount equal to the least of (i) 41,500,000 Shares, (ii) five percent (5%) of the outstanding shares of all classes of the Company’s common stock on the last day of the immediately preceding Fiscal Year, or (iii) such number of Shares determined by the Administrator no later than the last day of the immediately preceding Fiscal Year.</w:t>
      </w:r>
    </w:p>
    <w:p>
      <w:pPr>
        <w:spacing w:after="0" w:line="149" w:lineRule="exact"/>
        <w:rPr>
          <w:rFonts w:ascii="Arial" w:cs="Arial" w:eastAsia="Arial" w:hAnsi="Arial"/>
          <w:sz w:val="14"/>
          <w:szCs w:val="14"/>
          <w:color w:val="auto"/>
        </w:rPr>
      </w:pPr>
    </w:p>
    <w:p>
      <w:pPr>
        <w:ind w:left="360" w:right="399" w:firstLine="749"/>
        <w:spacing w:after="0" w:line="286" w:lineRule="auto"/>
        <w:tabs>
          <w:tab w:leader="none" w:pos="1391" w:val="left"/>
        </w:tabs>
        <w:numPr>
          <w:ilvl w:val="1"/>
          <w:numId w:val="94"/>
        </w:numPr>
        <w:rPr>
          <w:rFonts w:ascii="Arial" w:cs="Arial" w:eastAsia="Arial" w:hAnsi="Arial"/>
          <w:sz w:val="12"/>
          <w:szCs w:val="12"/>
          <w:color w:val="auto"/>
        </w:rPr>
      </w:pPr>
      <w:r>
        <w:rPr>
          <w:rFonts w:ascii="Arial" w:cs="Arial" w:eastAsia="Arial" w:hAnsi="Arial"/>
          <w:sz w:val="12"/>
          <w:szCs w:val="12"/>
          <w:u w:val="single" w:color="auto"/>
          <w:color w:val="auto"/>
        </w:rPr>
        <w:t>Lapsed Awards</w:t>
      </w:r>
      <w:r>
        <w:rPr>
          <w:rFonts w:ascii="Arial" w:cs="Arial" w:eastAsia="Arial" w:hAnsi="Arial"/>
          <w:sz w:val="12"/>
          <w:szCs w:val="12"/>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31" w:lineRule="exact"/>
        <w:rPr>
          <w:rFonts w:ascii="Arial" w:cs="Arial" w:eastAsia="Arial" w:hAnsi="Arial"/>
          <w:sz w:val="12"/>
          <w:szCs w:val="12"/>
          <w:color w:val="auto"/>
        </w:rPr>
      </w:pPr>
    </w:p>
    <w:p>
      <w:pPr>
        <w:ind w:left="360" w:right="439" w:firstLine="749"/>
        <w:spacing w:after="0" w:line="259" w:lineRule="auto"/>
        <w:tabs>
          <w:tab w:leader="none" w:pos="1398" w:val="left"/>
        </w:tabs>
        <w:numPr>
          <w:ilvl w:val="1"/>
          <w:numId w:val="94"/>
        </w:numPr>
        <w:rPr>
          <w:rFonts w:ascii="Arial" w:cs="Arial" w:eastAsia="Arial" w:hAnsi="Arial"/>
          <w:sz w:val="14"/>
          <w:szCs w:val="14"/>
          <w:color w:val="auto"/>
        </w:rPr>
      </w:pPr>
      <w:r>
        <w:rPr>
          <w:rFonts w:ascii="Arial" w:cs="Arial" w:eastAsia="Arial" w:hAnsi="Arial"/>
          <w:sz w:val="14"/>
          <w:szCs w:val="14"/>
          <w:u w:val="single" w:color="auto"/>
          <w:color w:val="auto"/>
        </w:rPr>
        <w:t>Share Reserve</w:t>
      </w:r>
      <w:r>
        <w:rPr>
          <w:rFonts w:ascii="Arial" w:cs="Arial" w:eastAsia="Arial" w:hAnsi="Arial"/>
          <w:sz w:val="14"/>
          <w:szCs w:val="14"/>
          <w:color w:val="auto"/>
        </w:rPr>
        <w:t>. The Company, during the term of this Plan, will at all times reserve and keep available such number of Shares as will be sufficient to satisfy the requirements of the Plan.</w:t>
      </w:r>
    </w:p>
    <w:p>
      <w:pPr>
        <w:spacing w:after="0" w:line="139" w:lineRule="exact"/>
        <w:rPr>
          <w:rFonts w:ascii="Arial" w:cs="Arial" w:eastAsia="Arial" w:hAnsi="Arial"/>
          <w:sz w:val="14"/>
          <w:szCs w:val="14"/>
          <w:color w:val="auto"/>
        </w:rPr>
      </w:pPr>
    </w:p>
    <w:p>
      <w:pPr>
        <w:ind w:left="940" w:hanging="246"/>
        <w:spacing w:after="0"/>
        <w:tabs>
          <w:tab w:leader="none" w:pos="940"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Administration of the Plan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1"/>
          <w:numId w:val="94"/>
        </w:numPr>
        <w:rPr>
          <w:rFonts w:ascii="Arial" w:cs="Arial" w:eastAsia="Arial" w:hAnsi="Arial"/>
          <w:sz w:val="14"/>
          <w:szCs w:val="14"/>
          <w:color w:val="auto"/>
        </w:rPr>
      </w:pPr>
      <w:r>
        <w:rPr>
          <w:rFonts w:ascii="Arial" w:cs="Arial" w:eastAsia="Arial" w:hAnsi="Arial"/>
          <w:sz w:val="14"/>
          <w:szCs w:val="14"/>
          <w:u w:val="single" w:color="auto"/>
          <w:color w:val="auto"/>
        </w:rPr>
        <w:t>Procedure</w:t>
      </w:r>
      <w:r>
        <w:rPr>
          <w:rFonts w:ascii="Arial" w:cs="Arial" w:eastAsia="Arial" w:hAnsi="Arial"/>
          <w:sz w:val="14"/>
          <w:szCs w:val="14"/>
          <w:color w:val="auto"/>
        </w:rPr>
        <w:t>.</w:t>
      </w:r>
    </w:p>
    <w:p>
      <w:pPr>
        <w:spacing w:after="0" w:line="164" w:lineRule="exact"/>
        <w:rPr>
          <w:sz w:val="20"/>
          <w:szCs w:val="20"/>
          <w:color w:val="auto"/>
        </w:rPr>
      </w:pPr>
    </w:p>
    <w:p>
      <w:pPr>
        <w:ind w:left="1700" w:hanging="260"/>
        <w:spacing w:after="0"/>
        <w:tabs>
          <w:tab w:leader="none" w:pos="1700"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Multiple Administrative Bodies</w:t>
      </w:r>
      <w:r>
        <w:rPr>
          <w:rFonts w:ascii="Arial" w:cs="Arial" w:eastAsia="Arial" w:hAnsi="Arial"/>
          <w:sz w:val="12"/>
          <w:szCs w:val="12"/>
          <w:color w:val="auto"/>
        </w:rPr>
        <w:t>. Different Committees with respect to different groups of Service Providers may administer the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81" w:name="page82"/>
    <w:bookmarkEnd w:id="81"/>
    <w:p>
      <w:pPr>
        <w:ind w:left="360" w:right="1099" w:firstLine="1080"/>
        <w:spacing w:after="0" w:line="259" w:lineRule="auto"/>
        <w:tabs>
          <w:tab w:leader="none" w:pos="1737" w:val="left"/>
        </w:tabs>
        <w:numPr>
          <w:ilvl w:val="1"/>
          <w:numId w:val="9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Rule 16b-3</w:t>
      </w:r>
      <w:r>
        <w:rPr>
          <w:rFonts w:ascii="Arial" w:cs="Arial" w:eastAsia="Arial" w:hAnsi="Arial"/>
          <w:sz w:val="14"/>
          <w:szCs w:val="14"/>
          <w:color w:val="auto"/>
        </w:rPr>
        <w:t>. To the extent desirable to qualify transactions hereunder as exempt under Rule 16b-3, the transactions contemplated hereunder will be structured to satisfy the requirements for exemption under Rule 16b-3.</w:t>
      </w:r>
    </w:p>
    <w:p>
      <w:pPr>
        <w:spacing w:after="0" w:line="139" w:lineRule="exact"/>
        <w:rPr>
          <w:rFonts w:ascii="Arial" w:cs="Arial" w:eastAsia="Arial" w:hAnsi="Arial"/>
          <w:sz w:val="14"/>
          <w:szCs w:val="14"/>
          <w:color w:val="auto"/>
        </w:rPr>
      </w:pPr>
    </w:p>
    <w:p>
      <w:pPr>
        <w:ind w:left="360" w:right="699" w:firstLine="1080"/>
        <w:spacing w:after="0" w:line="259" w:lineRule="auto"/>
        <w:tabs>
          <w:tab w:leader="none" w:pos="1775" w:val="left"/>
        </w:tabs>
        <w:numPr>
          <w:ilvl w:val="1"/>
          <w:numId w:val="96"/>
        </w:numPr>
        <w:rPr>
          <w:rFonts w:ascii="Arial" w:cs="Arial" w:eastAsia="Arial" w:hAnsi="Arial"/>
          <w:sz w:val="14"/>
          <w:szCs w:val="14"/>
          <w:color w:val="auto"/>
        </w:rPr>
      </w:pPr>
      <w:r>
        <w:rPr>
          <w:rFonts w:ascii="Arial" w:cs="Arial" w:eastAsia="Arial" w:hAnsi="Arial"/>
          <w:sz w:val="14"/>
          <w:szCs w:val="14"/>
          <w:u w:val="single" w:color="auto"/>
          <w:color w:val="auto"/>
        </w:rPr>
        <w:t>Other Administration</w:t>
      </w:r>
      <w:r>
        <w:rPr>
          <w:rFonts w:ascii="Arial" w:cs="Arial" w:eastAsia="Arial" w:hAnsi="Arial"/>
          <w:sz w:val="14"/>
          <w:szCs w:val="14"/>
          <w:color w:val="auto"/>
        </w:rPr>
        <w:t>. Other than as provided above, the Plan will be administered by (A) the Board or (B) a Committee, which committee will be constituted to satisfy Applicable Laws.</w:t>
      </w:r>
    </w:p>
    <w:p>
      <w:pPr>
        <w:spacing w:after="0" w:line="139" w:lineRule="exact"/>
        <w:rPr>
          <w:rFonts w:ascii="Arial" w:cs="Arial" w:eastAsia="Arial" w:hAnsi="Arial"/>
          <w:sz w:val="14"/>
          <w:szCs w:val="14"/>
          <w:color w:val="auto"/>
        </w:rPr>
      </w:pPr>
    </w:p>
    <w:p>
      <w:pPr>
        <w:ind w:left="360" w:right="719" w:firstLine="749"/>
        <w:spacing w:after="0" w:line="259" w:lineRule="auto"/>
        <w:tabs>
          <w:tab w:leader="none" w:pos="1398"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Powers of the Administrator</w:t>
      </w:r>
      <w:r>
        <w:rPr>
          <w:rFonts w:ascii="Arial" w:cs="Arial" w:eastAsia="Arial" w:hAnsi="Arial"/>
          <w:sz w:val="14"/>
          <w:szCs w:val="14"/>
          <w:color w:val="auto"/>
        </w:rPr>
        <w:t>. Subject to the provisions of the Plan, and in the case of a Committee, subject to the specific duties delegated by the Board to such Committee, the Administrator will have the authority, in its discretion:</w:t>
      </w:r>
    </w:p>
    <w:p>
      <w:pPr>
        <w:spacing w:after="0" w:line="58" w:lineRule="exact"/>
        <w:rPr>
          <w:rFonts w:ascii="Arial" w:cs="Arial" w:eastAsia="Arial" w:hAnsi="Arial"/>
          <w:sz w:val="14"/>
          <w:szCs w:val="14"/>
          <w:color w:val="auto"/>
        </w:rPr>
      </w:pPr>
    </w:p>
    <w:p>
      <w:pPr>
        <w:ind w:left="1700" w:hanging="260"/>
        <w:spacing w:after="0"/>
        <w:tabs>
          <w:tab w:leader="none" w:pos="170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determine the Fair Market Value;</w:t>
      </w:r>
    </w:p>
    <w:p>
      <w:pPr>
        <w:spacing w:after="0" w:line="163" w:lineRule="exact"/>
        <w:rPr>
          <w:rFonts w:ascii="Arial" w:cs="Arial" w:eastAsia="Arial" w:hAnsi="Arial"/>
          <w:sz w:val="14"/>
          <w:szCs w:val="14"/>
          <w:color w:val="auto"/>
        </w:rPr>
      </w:pPr>
    </w:p>
    <w:p>
      <w:pPr>
        <w:ind w:left="1740" w:hanging="300"/>
        <w:spacing w:after="0"/>
        <w:tabs>
          <w:tab w:leader="none" w:pos="174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select the Service Providers to whom Awards may be granted hereunder;</w:t>
      </w:r>
    </w:p>
    <w:p>
      <w:pPr>
        <w:spacing w:after="0" w:line="163" w:lineRule="exact"/>
        <w:rPr>
          <w:rFonts w:ascii="Arial" w:cs="Arial" w:eastAsia="Arial" w:hAnsi="Arial"/>
          <w:sz w:val="14"/>
          <w:szCs w:val="14"/>
          <w:color w:val="auto"/>
        </w:rPr>
      </w:pPr>
    </w:p>
    <w:p>
      <w:pPr>
        <w:ind w:left="1780" w:hanging="340"/>
        <w:spacing w:after="0"/>
        <w:tabs>
          <w:tab w:leader="none" w:pos="1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determine the number of Shares to be covered by each Award granted hereunder;</w:t>
      </w:r>
    </w:p>
    <w:p>
      <w:pPr>
        <w:spacing w:after="0" w:line="163" w:lineRule="exact"/>
        <w:rPr>
          <w:rFonts w:ascii="Arial" w:cs="Arial" w:eastAsia="Arial" w:hAnsi="Arial"/>
          <w:sz w:val="14"/>
          <w:szCs w:val="14"/>
          <w:color w:val="auto"/>
        </w:rPr>
      </w:pPr>
    </w:p>
    <w:p>
      <w:pPr>
        <w:ind w:left="1780" w:hanging="340"/>
        <w:spacing w:after="0"/>
        <w:tabs>
          <w:tab w:leader="none" w:pos="1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approve forms of Award Agreements for use under the Plan;</w:t>
      </w:r>
    </w:p>
    <w:p>
      <w:pPr>
        <w:spacing w:after="0" w:line="163" w:lineRule="exact"/>
        <w:rPr>
          <w:rFonts w:ascii="Arial" w:cs="Arial" w:eastAsia="Arial" w:hAnsi="Arial"/>
          <w:sz w:val="14"/>
          <w:szCs w:val="14"/>
          <w:color w:val="auto"/>
        </w:rPr>
      </w:pPr>
    </w:p>
    <w:p>
      <w:pPr>
        <w:jc w:val="both"/>
        <w:ind w:left="360" w:right="399" w:firstLine="1080"/>
        <w:spacing w:after="0" w:line="302" w:lineRule="auto"/>
        <w:tabs>
          <w:tab w:leader="none" w:pos="1730" w:val="left"/>
        </w:tabs>
        <w:numPr>
          <w:ilvl w:val="1"/>
          <w:numId w:val="97"/>
        </w:numPr>
        <w:rPr>
          <w:rFonts w:ascii="Arial" w:cs="Arial" w:eastAsia="Arial" w:hAnsi="Arial"/>
          <w:sz w:val="12"/>
          <w:szCs w:val="12"/>
          <w:color w:val="auto"/>
        </w:rPr>
      </w:pPr>
      <w:r>
        <w:rPr>
          <w:rFonts w:ascii="Arial" w:cs="Arial" w:eastAsia="Arial" w:hAnsi="Arial"/>
          <w:sz w:val="12"/>
          <w:szCs w:val="1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17" w:lineRule="exact"/>
        <w:rPr>
          <w:rFonts w:ascii="Arial" w:cs="Arial" w:eastAsia="Arial" w:hAnsi="Arial"/>
          <w:sz w:val="12"/>
          <w:szCs w:val="12"/>
          <w:color w:val="auto"/>
        </w:rPr>
      </w:pPr>
    </w:p>
    <w:p>
      <w:pPr>
        <w:ind w:left="1780" w:hanging="340"/>
        <w:spacing w:after="0"/>
        <w:tabs>
          <w:tab w:leader="none" w:pos="178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institute and determine the terms and conditions of an Exchange Program;</w:t>
      </w:r>
    </w:p>
    <w:p>
      <w:pPr>
        <w:spacing w:after="0" w:line="163" w:lineRule="exact"/>
        <w:rPr>
          <w:rFonts w:ascii="Arial" w:cs="Arial" w:eastAsia="Arial" w:hAnsi="Arial"/>
          <w:sz w:val="14"/>
          <w:szCs w:val="14"/>
          <w:color w:val="auto"/>
        </w:rPr>
      </w:pPr>
    </w:p>
    <w:p>
      <w:pPr>
        <w:ind w:left="1800" w:hanging="360"/>
        <w:spacing w:after="0"/>
        <w:tabs>
          <w:tab w:leader="none" w:pos="180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construe and interpret the terms of the Plan and Awards granted pursuant to the Plan;</w:t>
      </w:r>
    </w:p>
    <w:p>
      <w:pPr>
        <w:spacing w:after="0" w:line="163" w:lineRule="exact"/>
        <w:rPr>
          <w:rFonts w:ascii="Arial" w:cs="Arial" w:eastAsia="Arial" w:hAnsi="Arial"/>
          <w:sz w:val="14"/>
          <w:szCs w:val="14"/>
          <w:color w:val="auto"/>
        </w:rPr>
      </w:pPr>
    </w:p>
    <w:p>
      <w:pPr>
        <w:ind w:left="360" w:right="539" w:firstLine="1080"/>
        <w:spacing w:after="0" w:line="312" w:lineRule="auto"/>
        <w:tabs>
          <w:tab w:leader="none" w:pos="1842" w:val="left"/>
        </w:tabs>
        <w:numPr>
          <w:ilvl w:val="1"/>
          <w:numId w:val="97"/>
        </w:numPr>
        <w:rPr>
          <w:rFonts w:ascii="Arial" w:cs="Arial" w:eastAsia="Arial" w:hAnsi="Arial"/>
          <w:sz w:val="12"/>
          <w:szCs w:val="12"/>
          <w:color w:val="auto"/>
        </w:rPr>
      </w:pPr>
      <w:r>
        <w:rPr>
          <w:rFonts w:ascii="Arial" w:cs="Arial" w:eastAsia="Arial" w:hAnsi="Arial"/>
          <w:sz w:val="12"/>
          <w:szCs w:val="12"/>
          <w:color w:val="auto"/>
        </w:rPr>
        <w:t>to prescribe, amend and rescind rules and regulations and adopt sub-plans relating to the Plan, including rules, regulations and sub-plans for the purposes of facilitating compliance with foreign laws, easing the administration of the Plan and/or taking advantage of tax-favorable treatment for Awards granted to Service Providers outside the U.S., in each case as the Administrator may deem necessary or advisable;</w:t>
      </w:r>
    </w:p>
    <w:p>
      <w:pPr>
        <w:spacing w:after="0" w:line="111" w:lineRule="exact"/>
        <w:rPr>
          <w:rFonts w:ascii="Arial" w:cs="Arial" w:eastAsia="Arial" w:hAnsi="Arial"/>
          <w:sz w:val="12"/>
          <w:szCs w:val="12"/>
          <w:color w:val="auto"/>
        </w:rPr>
      </w:pPr>
    </w:p>
    <w:p>
      <w:pPr>
        <w:ind w:left="360" w:right="419" w:firstLine="1080"/>
        <w:spacing w:after="0" w:line="250" w:lineRule="auto"/>
        <w:tabs>
          <w:tab w:leader="none" w:pos="1767"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46" w:lineRule="exact"/>
        <w:rPr>
          <w:rFonts w:ascii="Arial" w:cs="Arial" w:eastAsia="Arial" w:hAnsi="Arial"/>
          <w:sz w:val="14"/>
          <w:szCs w:val="14"/>
          <w:color w:val="auto"/>
        </w:rPr>
      </w:pPr>
    </w:p>
    <w:p>
      <w:pPr>
        <w:ind w:left="1740" w:hanging="300"/>
        <w:spacing w:after="0"/>
        <w:tabs>
          <w:tab w:leader="none" w:pos="1740" w:val="left"/>
        </w:tabs>
        <w:numPr>
          <w:ilvl w:val="1"/>
          <w:numId w:val="97"/>
        </w:numPr>
        <w:rPr>
          <w:rFonts w:ascii="Arial" w:cs="Arial" w:eastAsia="Arial" w:hAnsi="Arial"/>
          <w:sz w:val="12"/>
          <w:szCs w:val="12"/>
          <w:color w:val="auto"/>
        </w:rPr>
      </w:pPr>
      <w:r>
        <w:rPr>
          <w:rFonts w:ascii="Arial" w:cs="Arial" w:eastAsia="Arial" w:hAnsi="Arial"/>
          <w:sz w:val="12"/>
          <w:szCs w:val="12"/>
          <w:color w:val="auto"/>
        </w:rPr>
        <w:t>to allow Participants to satisfy tax withholding obligations in such manner as prescribed in Section 15 of the Plan;</w:t>
      </w:r>
    </w:p>
    <w:p>
      <w:pPr>
        <w:spacing w:after="0" w:line="186" w:lineRule="exact"/>
        <w:rPr>
          <w:rFonts w:ascii="Arial" w:cs="Arial" w:eastAsia="Arial" w:hAnsi="Arial"/>
          <w:sz w:val="12"/>
          <w:szCs w:val="12"/>
          <w:color w:val="auto"/>
        </w:rPr>
      </w:pPr>
    </w:p>
    <w:p>
      <w:pPr>
        <w:ind w:left="360" w:right="939" w:firstLine="1080"/>
        <w:spacing w:after="0" w:line="259" w:lineRule="auto"/>
        <w:tabs>
          <w:tab w:leader="none" w:pos="1767"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authorize any person to execute on behalf of the Company any instrument required to effect the grant of an Award previously granted by the Administrator;</w:t>
      </w:r>
    </w:p>
    <w:p>
      <w:pPr>
        <w:spacing w:after="0" w:line="139" w:lineRule="exact"/>
        <w:rPr>
          <w:rFonts w:ascii="Arial" w:cs="Arial" w:eastAsia="Arial" w:hAnsi="Arial"/>
          <w:sz w:val="14"/>
          <w:szCs w:val="14"/>
          <w:color w:val="auto"/>
        </w:rPr>
      </w:pPr>
    </w:p>
    <w:p>
      <w:pPr>
        <w:ind w:left="360" w:right="399" w:firstLine="1080"/>
        <w:spacing w:after="0" w:line="259" w:lineRule="auto"/>
        <w:tabs>
          <w:tab w:leader="none" w:pos="1805"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allow a Participant to defer the receipt of the payment of cash or the delivery of Shares that would otherwise be due to such Participant under an Award; and</w:t>
      </w:r>
    </w:p>
    <w:p>
      <w:pPr>
        <w:spacing w:after="0" w:line="139" w:lineRule="exact"/>
        <w:rPr>
          <w:rFonts w:ascii="Arial" w:cs="Arial" w:eastAsia="Arial" w:hAnsi="Arial"/>
          <w:sz w:val="14"/>
          <w:szCs w:val="14"/>
          <w:color w:val="auto"/>
        </w:rPr>
      </w:pPr>
    </w:p>
    <w:p>
      <w:pPr>
        <w:ind w:left="1840" w:hanging="400"/>
        <w:spacing w:after="0"/>
        <w:tabs>
          <w:tab w:leader="none" w:pos="1840" w:val="left"/>
        </w:tabs>
        <w:numPr>
          <w:ilvl w:val="1"/>
          <w:numId w:val="97"/>
        </w:numPr>
        <w:rPr>
          <w:rFonts w:ascii="Arial" w:cs="Arial" w:eastAsia="Arial" w:hAnsi="Arial"/>
          <w:sz w:val="14"/>
          <w:szCs w:val="14"/>
          <w:color w:val="auto"/>
        </w:rPr>
      </w:pPr>
      <w:r>
        <w:rPr>
          <w:rFonts w:ascii="Arial" w:cs="Arial" w:eastAsia="Arial" w:hAnsi="Arial"/>
          <w:sz w:val="14"/>
          <w:szCs w:val="14"/>
          <w:color w:val="auto"/>
        </w:rPr>
        <w:t>to make all other determinations deemed necessary or advisable for administering the Plan.</w:t>
      </w:r>
    </w:p>
    <w:p>
      <w:pPr>
        <w:spacing w:after="0" w:line="163" w:lineRule="exact"/>
        <w:rPr>
          <w:rFonts w:ascii="Arial" w:cs="Arial" w:eastAsia="Arial" w:hAnsi="Arial"/>
          <w:sz w:val="14"/>
          <w:szCs w:val="14"/>
          <w:color w:val="auto"/>
        </w:rPr>
      </w:pPr>
    </w:p>
    <w:p>
      <w:pPr>
        <w:ind w:left="360" w:right="419" w:firstLine="749"/>
        <w:spacing w:after="0" w:line="259" w:lineRule="auto"/>
        <w:tabs>
          <w:tab w:leader="none" w:pos="1391"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Effect of Administrator’s Decision</w:t>
      </w:r>
      <w:r>
        <w:rPr>
          <w:rFonts w:ascii="Arial" w:cs="Arial" w:eastAsia="Arial" w:hAnsi="Arial"/>
          <w:sz w:val="14"/>
          <w:szCs w:val="14"/>
          <w:color w:val="auto"/>
        </w:rPr>
        <w:t>. The Administrator’s decisions, determinations and interpretations will be final and binding on all Participants and any other holders of Awards and will be given the maximum deference permitted by Applicable Laws.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82" w:name="page83"/>
    <w:bookmarkEnd w:id="82"/>
    <w:p>
      <w:pPr>
        <w:ind w:left="360" w:right="839" w:firstLine="334"/>
        <w:spacing w:after="0" w:line="342" w:lineRule="auto"/>
        <w:tabs>
          <w:tab w:leader="none" w:pos="928" w:val="left"/>
        </w:tabs>
        <w:numPr>
          <w:ilvl w:val="1"/>
          <w:numId w:val="98"/>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Eligibility</w:t>
      </w:r>
      <w:r>
        <w:rPr>
          <w:rFonts w:ascii="Arial" w:cs="Arial" w:eastAsia="Arial" w:hAnsi="Arial"/>
          <w:sz w:val="12"/>
          <w:szCs w:val="12"/>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93" w:lineRule="exact"/>
        <w:rPr>
          <w:rFonts w:ascii="Arial" w:cs="Arial" w:eastAsia="Arial" w:hAnsi="Arial"/>
          <w:sz w:val="12"/>
          <w:szCs w:val="12"/>
          <w:color w:val="auto"/>
        </w:rPr>
      </w:pPr>
    </w:p>
    <w:p>
      <w:pPr>
        <w:ind w:left="940" w:hanging="246"/>
        <w:spacing w:after="0"/>
        <w:tabs>
          <w:tab w:leader="none" w:pos="940" w:val="left"/>
        </w:tabs>
        <w:numPr>
          <w:ilvl w:val="1"/>
          <w:numId w:val="98"/>
        </w:numPr>
        <w:rPr>
          <w:rFonts w:ascii="Arial" w:cs="Arial" w:eastAsia="Arial" w:hAnsi="Arial"/>
          <w:sz w:val="14"/>
          <w:szCs w:val="14"/>
          <w:color w:val="auto"/>
        </w:rPr>
      </w:pPr>
      <w:r>
        <w:rPr>
          <w:rFonts w:ascii="Arial" w:cs="Arial" w:eastAsia="Arial" w:hAnsi="Arial"/>
          <w:sz w:val="14"/>
          <w:szCs w:val="14"/>
          <w:u w:val="single" w:color="auto"/>
          <w:color w:val="auto"/>
        </w:rPr>
        <w:t>Stock Options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619" w:firstLine="749"/>
        <w:spacing w:after="0" w:line="294" w:lineRule="auto"/>
        <w:tabs>
          <w:tab w:leader="none" w:pos="1391" w:val="left"/>
        </w:tabs>
        <w:numPr>
          <w:ilvl w:val="2"/>
          <w:numId w:val="98"/>
        </w:numPr>
        <w:rPr>
          <w:rFonts w:ascii="Arial" w:cs="Arial" w:eastAsia="Arial" w:hAnsi="Arial"/>
          <w:sz w:val="12"/>
          <w:szCs w:val="12"/>
          <w:color w:val="auto"/>
        </w:rPr>
      </w:pPr>
      <w:r>
        <w:rPr>
          <w:rFonts w:ascii="Arial" w:cs="Arial" w:eastAsia="Arial" w:hAnsi="Arial"/>
          <w:sz w:val="12"/>
          <w:szCs w:val="12"/>
          <w:u w:val="single" w:color="auto"/>
          <w:color w:val="auto"/>
        </w:rPr>
        <w:t>Limitations</w:t>
      </w:r>
      <w:r>
        <w:rPr>
          <w:rFonts w:ascii="Arial" w:cs="Arial" w:eastAsia="Arial" w:hAnsi="Arial"/>
          <w:sz w:val="12"/>
          <w:szCs w:val="12"/>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22" w:lineRule="exact"/>
        <w:rPr>
          <w:rFonts w:ascii="Arial" w:cs="Arial" w:eastAsia="Arial" w:hAnsi="Arial"/>
          <w:sz w:val="12"/>
          <w:szCs w:val="12"/>
          <w:color w:val="auto"/>
        </w:rPr>
      </w:pPr>
    </w:p>
    <w:p>
      <w:pPr>
        <w:ind w:left="360" w:right="379" w:firstLine="749"/>
        <w:spacing w:after="0" w:line="286" w:lineRule="auto"/>
        <w:tabs>
          <w:tab w:leader="none" w:pos="1398" w:val="left"/>
        </w:tabs>
        <w:numPr>
          <w:ilvl w:val="2"/>
          <w:numId w:val="98"/>
        </w:numPr>
        <w:rPr>
          <w:rFonts w:ascii="Arial" w:cs="Arial" w:eastAsia="Arial" w:hAnsi="Arial"/>
          <w:sz w:val="12"/>
          <w:szCs w:val="12"/>
          <w:color w:val="auto"/>
        </w:rPr>
      </w:pPr>
      <w:r>
        <w:rPr>
          <w:rFonts w:ascii="Arial" w:cs="Arial" w:eastAsia="Arial" w:hAnsi="Arial"/>
          <w:sz w:val="12"/>
          <w:szCs w:val="12"/>
          <w:u w:val="single" w:color="auto"/>
          <w:color w:val="auto"/>
        </w:rPr>
        <w:t>Term of Option</w:t>
      </w:r>
      <w:r>
        <w:rPr>
          <w:rFonts w:ascii="Arial" w:cs="Arial" w:eastAsia="Arial" w:hAnsi="Arial"/>
          <w:sz w:val="12"/>
          <w:szCs w:val="12"/>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w:t>
      </w:r>
    </w:p>
    <w:p>
      <w:pPr>
        <w:spacing w:after="0" w:line="1" w:lineRule="exact"/>
        <w:rPr>
          <w:rFonts w:ascii="Arial" w:cs="Arial" w:eastAsia="Arial" w:hAnsi="Arial"/>
          <w:sz w:val="12"/>
          <w:szCs w:val="12"/>
          <w:color w:val="auto"/>
        </w:rPr>
      </w:pPr>
    </w:p>
    <w:p>
      <w:pPr>
        <w:ind w:left="560" w:hanging="197"/>
        <w:spacing w:after="0"/>
        <w:tabs>
          <w:tab w:leader="none" w:pos="560" w:val="left"/>
        </w:tabs>
        <w:numPr>
          <w:ilvl w:val="0"/>
          <w:numId w:val="99"/>
        </w:numPr>
        <w:rPr>
          <w:rFonts w:ascii="Arial" w:cs="Arial" w:eastAsia="Arial" w:hAnsi="Arial"/>
          <w:sz w:val="14"/>
          <w:szCs w:val="14"/>
          <w:color w:val="auto"/>
        </w:rPr>
      </w:pPr>
      <w:r>
        <w:rPr>
          <w:rFonts w:ascii="Arial" w:cs="Arial" w:eastAsia="Arial" w:hAnsi="Arial"/>
          <w:sz w:val="14"/>
          <w:szCs w:val="14"/>
          <w:color w:val="auto"/>
        </w:rPr>
        <w:t>years from the date of grant or such shorter term as may be provided in the Award Agreement.</w:t>
      </w:r>
    </w:p>
    <w:p>
      <w:pPr>
        <w:spacing w:after="0" w:line="153" w:lineRule="exact"/>
        <w:rPr>
          <w:rFonts w:ascii="Arial" w:cs="Arial" w:eastAsia="Arial" w:hAnsi="Arial"/>
          <w:sz w:val="14"/>
          <w:szCs w:val="14"/>
          <w:color w:val="auto"/>
        </w:rPr>
      </w:pPr>
    </w:p>
    <w:p>
      <w:pPr>
        <w:ind w:left="1400" w:hanging="291"/>
        <w:spacing w:after="0"/>
        <w:tabs>
          <w:tab w:leader="none" w:pos="1400" w:val="left"/>
        </w:tabs>
        <w:numPr>
          <w:ilvl w:val="2"/>
          <w:numId w:val="99"/>
        </w:numPr>
        <w:rPr>
          <w:rFonts w:ascii="Arial" w:cs="Arial" w:eastAsia="Arial" w:hAnsi="Arial"/>
          <w:sz w:val="14"/>
          <w:szCs w:val="14"/>
          <w:color w:val="auto"/>
        </w:rPr>
      </w:pPr>
      <w:r>
        <w:rPr>
          <w:rFonts w:ascii="Arial" w:cs="Arial" w:eastAsia="Arial" w:hAnsi="Arial"/>
          <w:sz w:val="14"/>
          <w:szCs w:val="14"/>
          <w:u w:val="single" w:color="auto"/>
          <w:color w:val="auto"/>
        </w:rPr>
        <w:t>Option Exercise Price and Consideration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39" w:firstLine="1080"/>
        <w:spacing w:after="0" w:line="259" w:lineRule="auto"/>
        <w:tabs>
          <w:tab w:leader="none" w:pos="1700" w:val="left"/>
        </w:tabs>
        <w:numPr>
          <w:ilvl w:val="3"/>
          <w:numId w:val="99"/>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per share exercise price for the Shares to be issued pursuant to exercise of an Option will be determined by the Administrator, subject to the following:</w:t>
      </w:r>
    </w:p>
    <w:p>
      <w:pPr>
        <w:spacing w:after="0" w:line="58" w:lineRule="exact"/>
        <w:rPr>
          <w:rFonts w:ascii="Arial" w:cs="Arial" w:eastAsia="Arial" w:hAnsi="Arial"/>
          <w:sz w:val="14"/>
          <w:szCs w:val="14"/>
          <w:color w:val="auto"/>
        </w:rPr>
      </w:pPr>
    </w:p>
    <w:p>
      <w:pPr>
        <w:ind w:left="2140" w:hanging="286"/>
        <w:spacing w:after="0"/>
        <w:tabs>
          <w:tab w:leader="none" w:pos="2140" w:val="left"/>
        </w:tabs>
        <w:numPr>
          <w:ilvl w:val="4"/>
          <w:numId w:val="99"/>
        </w:numPr>
        <w:rPr>
          <w:rFonts w:ascii="Arial" w:cs="Arial" w:eastAsia="Arial" w:hAnsi="Arial"/>
          <w:sz w:val="14"/>
          <w:szCs w:val="14"/>
          <w:color w:val="auto"/>
        </w:rPr>
      </w:pPr>
      <w:r>
        <w:rPr>
          <w:rFonts w:ascii="Arial" w:cs="Arial" w:eastAsia="Arial" w:hAnsi="Arial"/>
          <w:sz w:val="14"/>
          <w:szCs w:val="14"/>
          <w:color w:val="auto"/>
        </w:rPr>
        <w:t>In the case of an Incentive Stock Option</w:t>
      </w:r>
    </w:p>
    <w:p>
      <w:pPr>
        <w:spacing w:after="0" w:line="163" w:lineRule="exact"/>
        <w:rPr>
          <w:rFonts w:ascii="Arial" w:cs="Arial" w:eastAsia="Arial" w:hAnsi="Arial"/>
          <w:sz w:val="14"/>
          <w:szCs w:val="14"/>
          <w:color w:val="auto"/>
        </w:rPr>
      </w:pPr>
    </w:p>
    <w:p>
      <w:pPr>
        <w:jc w:val="both"/>
        <w:ind w:left="360" w:right="579" w:firstLine="1825"/>
        <w:spacing w:after="0" w:line="312" w:lineRule="auto"/>
        <w:tabs>
          <w:tab w:leader="none" w:pos="2505" w:val="left"/>
        </w:tabs>
        <w:numPr>
          <w:ilvl w:val="5"/>
          <w:numId w:val="99"/>
        </w:numPr>
        <w:rPr>
          <w:rFonts w:ascii="Arial" w:cs="Arial" w:eastAsia="Arial" w:hAnsi="Arial"/>
          <w:sz w:val="12"/>
          <w:szCs w:val="12"/>
          <w:color w:val="auto"/>
        </w:rPr>
      </w:pPr>
      <w:r>
        <w:rPr>
          <w:rFonts w:ascii="Arial" w:cs="Arial" w:eastAsia="Arial" w:hAnsi="Arial"/>
          <w:sz w:val="12"/>
          <w:szCs w:val="1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11" w:lineRule="exact"/>
        <w:rPr>
          <w:rFonts w:ascii="Arial" w:cs="Arial" w:eastAsia="Arial" w:hAnsi="Arial"/>
          <w:sz w:val="12"/>
          <w:szCs w:val="12"/>
          <w:color w:val="auto"/>
        </w:rPr>
      </w:pPr>
    </w:p>
    <w:p>
      <w:pPr>
        <w:ind w:left="360" w:right="499" w:firstLine="1825"/>
        <w:spacing w:after="0" w:line="342" w:lineRule="auto"/>
        <w:tabs>
          <w:tab w:leader="none" w:pos="2498" w:val="left"/>
        </w:tabs>
        <w:numPr>
          <w:ilvl w:val="5"/>
          <w:numId w:val="99"/>
        </w:numPr>
        <w:rPr>
          <w:rFonts w:ascii="Arial" w:cs="Arial" w:eastAsia="Arial" w:hAnsi="Arial"/>
          <w:sz w:val="12"/>
          <w:szCs w:val="12"/>
          <w:color w:val="auto"/>
        </w:rPr>
      </w:pPr>
      <w:r>
        <w:rPr>
          <w:rFonts w:ascii="Arial" w:cs="Arial" w:eastAsia="Arial" w:hAnsi="Arial"/>
          <w:sz w:val="12"/>
          <w:szCs w:val="12"/>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93" w:lineRule="exact"/>
        <w:rPr>
          <w:rFonts w:ascii="Arial" w:cs="Arial" w:eastAsia="Arial" w:hAnsi="Arial"/>
          <w:sz w:val="12"/>
          <w:szCs w:val="12"/>
          <w:color w:val="auto"/>
        </w:rPr>
      </w:pPr>
    </w:p>
    <w:p>
      <w:pPr>
        <w:ind w:left="360" w:right="779" w:firstLine="1494"/>
        <w:spacing w:after="0" w:line="259" w:lineRule="auto"/>
        <w:tabs>
          <w:tab w:leader="none" w:pos="2144" w:val="left"/>
        </w:tabs>
        <w:numPr>
          <w:ilvl w:val="4"/>
          <w:numId w:val="99"/>
        </w:numPr>
        <w:rPr>
          <w:rFonts w:ascii="Arial" w:cs="Arial" w:eastAsia="Arial" w:hAnsi="Arial"/>
          <w:sz w:val="14"/>
          <w:szCs w:val="14"/>
          <w:color w:val="auto"/>
        </w:rPr>
      </w:pPr>
      <w:r>
        <w:rPr>
          <w:rFonts w:ascii="Arial" w:cs="Arial" w:eastAsia="Arial" w:hAnsi="Arial"/>
          <w:sz w:val="14"/>
          <w:szCs w:val="14"/>
          <w:color w:val="auto"/>
        </w:rPr>
        <w:t>In the case of a Nonstatutory Stock Option, the per Share exercise price will be no less than one hundred percent (100%) of the Fair Market Value per Share on the date of grant.</w:t>
      </w:r>
    </w:p>
    <w:p>
      <w:pPr>
        <w:spacing w:after="0" w:line="139" w:lineRule="exact"/>
        <w:rPr>
          <w:rFonts w:ascii="Arial" w:cs="Arial" w:eastAsia="Arial" w:hAnsi="Arial"/>
          <w:sz w:val="14"/>
          <w:szCs w:val="14"/>
          <w:color w:val="auto"/>
        </w:rPr>
      </w:pPr>
    </w:p>
    <w:p>
      <w:pPr>
        <w:ind w:left="360" w:right="799" w:firstLine="1494"/>
        <w:spacing w:after="0" w:line="250" w:lineRule="auto"/>
        <w:tabs>
          <w:tab w:leader="none" w:pos="2144" w:val="left"/>
        </w:tabs>
        <w:numPr>
          <w:ilvl w:val="4"/>
          <w:numId w:val="99"/>
        </w:numPr>
        <w:rPr>
          <w:rFonts w:ascii="Arial" w:cs="Arial" w:eastAsia="Arial" w:hAnsi="Arial"/>
          <w:sz w:val="14"/>
          <w:szCs w:val="14"/>
          <w:color w:val="auto"/>
        </w:rPr>
      </w:pPr>
      <w:r>
        <w:rPr>
          <w:rFonts w:ascii="Arial" w:cs="Arial" w:eastAsia="Arial" w:hAnsi="Arial"/>
          <w:sz w:val="14"/>
          <w:szCs w:val="14"/>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46" w:lineRule="exact"/>
        <w:rPr>
          <w:rFonts w:ascii="Arial" w:cs="Arial" w:eastAsia="Arial" w:hAnsi="Arial"/>
          <w:sz w:val="14"/>
          <w:szCs w:val="14"/>
          <w:color w:val="auto"/>
        </w:rPr>
      </w:pPr>
    </w:p>
    <w:p>
      <w:pPr>
        <w:ind w:left="360" w:right="619" w:firstLine="1080"/>
        <w:spacing w:after="0" w:line="342" w:lineRule="auto"/>
        <w:tabs>
          <w:tab w:leader="none" w:pos="1737" w:val="left"/>
        </w:tabs>
        <w:numPr>
          <w:ilvl w:val="3"/>
          <w:numId w:val="99"/>
        </w:numPr>
        <w:rPr>
          <w:rFonts w:ascii="Arial" w:cs="Arial" w:eastAsia="Arial" w:hAnsi="Arial"/>
          <w:sz w:val="12"/>
          <w:szCs w:val="12"/>
          <w:color w:val="auto"/>
        </w:rPr>
      </w:pPr>
      <w:r>
        <w:rPr>
          <w:rFonts w:ascii="Arial" w:cs="Arial" w:eastAsia="Arial" w:hAnsi="Arial"/>
          <w:sz w:val="12"/>
          <w:szCs w:val="12"/>
          <w:u w:val="single" w:color="auto"/>
          <w:color w:val="auto"/>
        </w:rPr>
        <w:t>Waiting Period and Exercise Dates</w:t>
      </w:r>
      <w:r>
        <w:rPr>
          <w:rFonts w:ascii="Arial" w:cs="Arial" w:eastAsia="Arial" w:hAnsi="Arial"/>
          <w:sz w:val="12"/>
          <w:szCs w:val="12"/>
          <w:color w:val="auto"/>
        </w:rPr>
        <w:t>. At the time an Option is granted, the Administrator will fix the period within which the Option may be exercised and will determine any conditions that must be satisfied before the Option may be exercised.</w:t>
      </w:r>
    </w:p>
    <w:p>
      <w:pPr>
        <w:spacing w:after="0" w:line="93" w:lineRule="exact"/>
        <w:rPr>
          <w:rFonts w:ascii="Arial" w:cs="Arial" w:eastAsia="Arial" w:hAnsi="Arial"/>
          <w:sz w:val="12"/>
          <w:szCs w:val="12"/>
          <w:color w:val="auto"/>
        </w:rPr>
      </w:pPr>
    </w:p>
    <w:p>
      <w:pPr>
        <w:ind w:left="360" w:right="719" w:firstLine="1080"/>
        <w:spacing w:after="0" w:line="259" w:lineRule="auto"/>
        <w:tabs>
          <w:tab w:leader="none" w:pos="1775" w:val="left"/>
        </w:tabs>
        <w:numPr>
          <w:ilvl w:val="3"/>
          <w:numId w:val="99"/>
        </w:numPr>
        <w:rPr>
          <w:rFonts w:ascii="Arial" w:cs="Arial" w:eastAsia="Arial" w:hAnsi="Arial"/>
          <w:sz w:val="14"/>
          <w:szCs w:val="14"/>
          <w:color w:val="auto"/>
        </w:rPr>
      </w:pPr>
      <w:r>
        <w:rPr>
          <w:rFonts w:ascii="Arial" w:cs="Arial" w:eastAsia="Arial" w:hAnsi="Arial"/>
          <w:sz w:val="14"/>
          <w:szCs w:val="14"/>
          <w:u w:val="single" w:color="auto"/>
          <w:color w:val="auto"/>
        </w:rPr>
        <w:t>Form of Consideration</w:t>
      </w:r>
      <w:r>
        <w:rPr>
          <w:rFonts w:ascii="Arial" w:cs="Arial" w:eastAsia="Arial" w:hAnsi="Arial"/>
          <w:sz w:val="14"/>
          <w:szCs w:val="14"/>
          <w:color w:val="auto"/>
        </w:rPr>
        <w:t>. The Administrator will determine the acceptable form of consideration for exercising an Option, including the method of payment. In the case of an Incentive Stock</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83" w:name="page84"/>
    <w:bookmarkEnd w:id="83"/>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Option, the Administrator will determine the acceptable form of consideration at the time of grant. Such consideration may consist entirely of: (1) cash;</w:t>
      </w:r>
    </w:p>
    <w:p>
      <w:pPr>
        <w:spacing w:after="0" w:line="35" w:lineRule="exact"/>
        <w:rPr>
          <w:sz w:val="20"/>
          <w:szCs w:val="20"/>
          <w:color w:val="auto"/>
        </w:rPr>
      </w:pPr>
    </w:p>
    <w:p>
      <w:pPr>
        <w:ind w:left="360" w:right="399" w:firstLine="3"/>
        <w:spacing w:after="0" w:line="290" w:lineRule="auto"/>
        <w:tabs>
          <w:tab w:leader="none" w:pos="552" w:val="left"/>
        </w:tabs>
        <w:numPr>
          <w:ilvl w:val="0"/>
          <w:numId w:val="100"/>
        </w:numPr>
        <w:rPr>
          <w:rFonts w:ascii="Arial" w:cs="Arial" w:eastAsia="Arial" w:hAnsi="Arial"/>
          <w:sz w:val="12"/>
          <w:szCs w:val="12"/>
          <w:color w:val="auto"/>
        </w:rPr>
      </w:pPr>
      <w:r>
        <w:rPr>
          <w:rFonts w:ascii="Arial" w:cs="Arial" w:eastAsia="Arial" w:hAnsi="Arial"/>
          <w:sz w:val="12"/>
          <w:szCs w:val="12"/>
          <w:color w:val="auto"/>
        </w:rPr>
        <w:t>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26" w:lineRule="exact"/>
        <w:rPr>
          <w:rFonts w:ascii="Arial" w:cs="Arial" w:eastAsia="Arial" w:hAnsi="Arial"/>
          <w:sz w:val="12"/>
          <w:szCs w:val="12"/>
          <w:color w:val="auto"/>
        </w:rPr>
      </w:pPr>
    </w:p>
    <w:p>
      <w:pPr>
        <w:ind w:left="1400" w:hanging="291"/>
        <w:spacing w:after="0"/>
        <w:tabs>
          <w:tab w:leader="none" w:pos="1400" w:val="left"/>
        </w:tabs>
        <w:numPr>
          <w:ilvl w:val="1"/>
          <w:numId w:val="100"/>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99" w:firstLine="1080"/>
        <w:spacing w:after="0" w:line="250" w:lineRule="auto"/>
        <w:tabs>
          <w:tab w:leader="none" w:pos="1700" w:val="left"/>
        </w:tabs>
        <w:numPr>
          <w:ilvl w:val="2"/>
          <w:numId w:val="100"/>
        </w:numPr>
        <w:rPr>
          <w:rFonts w:ascii="Arial" w:cs="Arial" w:eastAsia="Arial" w:hAnsi="Arial"/>
          <w:sz w:val="14"/>
          <w:szCs w:val="14"/>
          <w:color w:val="auto"/>
        </w:rPr>
      </w:pPr>
      <w:r>
        <w:rPr>
          <w:rFonts w:ascii="Arial" w:cs="Arial" w:eastAsia="Arial" w:hAnsi="Arial"/>
          <w:sz w:val="14"/>
          <w:szCs w:val="14"/>
          <w:u w:val="single" w:color="auto"/>
          <w:color w:val="auto"/>
        </w:rPr>
        <w:t>Procedure for Exercise; Rights as a Stockholder</w:t>
      </w:r>
      <w:r>
        <w:rPr>
          <w:rFonts w:ascii="Arial" w:cs="Arial" w:eastAsia="Arial" w:hAnsi="Arial"/>
          <w:sz w:val="14"/>
          <w:szCs w:val="14"/>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46" w:lineRule="exact"/>
        <w:rPr>
          <w:sz w:val="20"/>
          <w:szCs w:val="20"/>
          <w:color w:val="auto"/>
        </w:rPr>
      </w:pPr>
    </w:p>
    <w:p>
      <w:pPr>
        <w:ind w:left="360" w:right="399" w:firstLine="1077"/>
        <w:spacing w:after="0" w:line="289" w:lineRule="auto"/>
        <w:rPr>
          <w:sz w:val="20"/>
          <w:szCs w:val="20"/>
          <w:color w:val="auto"/>
        </w:rPr>
      </w:pPr>
      <w:r>
        <w:rPr>
          <w:rFonts w:ascii="Arial" w:cs="Arial" w:eastAsia="Arial" w:hAnsi="Arial"/>
          <w:sz w:val="12"/>
          <w:szCs w:val="12"/>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28" w:lineRule="exact"/>
        <w:rPr>
          <w:sz w:val="20"/>
          <w:szCs w:val="20"/>
          <w:color w:val="auto"/>
        </w:rPr>
      </w:pPr>
    </w:p>
    <w:p>
      <w:pPr>
        <w:ind w:left="360" w:right="559" w:firstLine="1077"/>
        <w:spacing w:after="0" w:line="259" w:lineRule="auto"/>
        <w:rPr>
          <w:sz w:val="20"/>
          <w:szCs w:val="20"/>
          <w:color w:val="auto"/>
        </w:rPr>
      </w:pPr>
      <w:r>
        <w:rPr>
          <w:rFonts w:ascii="Arial" w:cs="Arial" w:eastAsia="Arial" w:hAnsi="Arial"/>
          <w:sz w:val="14"/>
          <w:szCs w:val="14"/>
          <w:color w:val="auto"/>
        </w:rPr>
        <w:t>Exercising an Option in any manner will decrease the number of Shares thereafter available, both for purposes of the Plan and for sale under the Option, by the number of Shares as to which the Option is exercised.</w:t>
      </w:r>
    </w:p>
    <w:p>
      <w:pPr>
        <w:spacing w:after="0" w:line="140" w:lineRule="exact"/>
        <w:rPr>
          <w:sz w:val="20"/>
          <w:szCs w:val="20"/>
          <w:color w:val="auto"/>
        </w:rPr>
      </w:pPr>
    </w:p>
    <w:p>
      <w:pPr>
        <w:ind w:left="360" w:right="399" w:firstLine="1080"/>
        <w:spacing w:after="0" w:line="291" w:lineRule="auto"/>
        <w:tabs>
          <w:tab w:leader="none" w:pos="1737"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Termination of Relationship as a Service Provider</w:t>
      </w:r>
      <w:r>
        <w:rPr>
          <w:rFonts w:ascii="Arial" w:cs="Arial" w:eastAsia="Arial" w:hAnsi="Arial"/>
          <w:sz w:val="12"/>
          <w:szCs w:val="12"/>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22" w:lineRule="exact"/>
        <w:rPr>
          <w:rFonts w:ascii="Arial" w:cs="Arial" w:eastAsia="Arial" w:hAnsi="Arial"/>
          <w:sz w:val="12"/>
          <w:szCs w:val="12"/>
          <w:color w:val="auto"/>
        </w:rPr>
      </w:pPr>
    </w:p>
    <w:p>
      <w:pPr>
        <w:ind w:left="360" w:right="519" w:firstLine="1080"/>
        <w:spacing w:after="0" w:line="294" w:lineRule="auto"/>
        <w:tabs>
          <w:tab w:leader="none" w:pos="1775"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Disability of Participant</w:t>
      </w:r>
      <w:r>
        <w:rPr>
          <w:rFonts w:ascii="Arial" w:cs="Arial" w:eastAsia="Arial" w:hAnsi="Arial"/>
          <w:sz w:val="12"/>
          <w:szCs w:val="12"/>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84" w:name="page85"/>
    <w:bookmarkEnd w:id="84"/>
    <w:p>
      <w:pPr>
        <w:ind w:left="360" w:right="53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Plan. If after termination the Participant does not exercise his or her Option within the time specified herein, the Option will terminate, and the Shares covered by such Option will revert to the Plan.</w:t>
      </w:r>
    </w:p>
    <w:p>
      <w:pPr>
        <w:spacing w:after="0" w:line="140" w:lineRule="exact"/>
        <w:rPr>
          <w:sz w:val="20"/>
          <w:szCs w:val="20"/>
          <w:color w:val="auto"/>
        </w:rPr>
      </w:pPr>
    </w:p>
    <w:p>
      <w:pPr>
        <w:ind w:left="360" w:right="419" w:firstLine="1080"/>
        <w:spacing w:after="0" w:line="288" w:lineRule="auto"/>
        <w:tabs>
          <w:tab w:leader="none" w:pos="1767" w:val="left"/>
        </w:tabs>
        <w:numPr>
          <w:ilvl w:val="2"/>
          <w:numId w:val="102"/>
        </w:numPr>
        <w:rPr>
          <w:rFonts w:ascii="Arial" w:cs="Arial" w:eastAsia="Arial" w:hAnsi="Arial"/>
          <w:sz w:val="12"/>
          <w:szCs w:val="12"/>
          <w:color w:val="auto"/>
        </w:rPr>
      </w:pPr>
      <w:r>
        <w:rPr>
          <w:rFonts w:ascii="Arial" w:cs="Arial" w:eastAsia="Arial" w:hAnsi="Arial"/>
          <w:sz w:val="12"/>
          <w:szCs w:val="12"/>
          <w:u w:val="single" w:color="auto"/>
          <w:color w:val="auto"/>
        </w:rPr>
        <w:t>Death of Participant</w:t>
      </w:r>
      <w:r>
        <w:rPr>
          <w:rFonts w:ascii="Arial" w:cs="Arial" w:eastAsia="Arial" w:hAnsi="Arial"/>
          <w:sz w:val="12"/>
          <w:szCs w:val="12"/>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27" w:lineRule="exact"/>
        <w:rPr>
          <w:rFonts w:ascii="Arial" w:cs="Arial" w:eastAsia="Arial" w:hAnsi="Arial"/>
          <w:sz w:val="12"/>
          <w:szCs w:val="12"/>
          <w:color w:val="auto"/>
        </w:rPr>
      </w:pPr>
    </w:p>
    <w:p>
      <w:pPr>
        <w:ind w:left="1740" w:hanging="300"/>
        <w:spacing w:after="0"/>
        <w:tabs>
          <w:tab w:leader="none" w:pos="1740" w:val="left"/>
        </w:tabs>
        <w:numPr>
          <w:ilvl w:val="2"/>
          <w:numId w:val="102"/>
        </w:numPr>
        <w:rPr>
          <w:rFonts w:ascii="Arial" w:cs="Arial" w:eastAsia="Arial" w:hAnsi="Arial"/>
          <w:sz w:val="14"/>
          <w:szCs w:val="14"/>
          <w:color w:val="auto"/>
        </w:rPr>
      </w:pPr>
      <w:r>
        <w:rPr>
          <w:rFonts w:ascii="Arial" w:cs="Arial" w:eastAsia="Arial" w:hAnsi="Arial"/>
          <w:sz w:val="14"/>
          <w:szCs w:val="14"/>
          <w:u w:val="single" w:color="auto"/>
          <w:color w:val="auto"/>
        </w:rPr>
        <w:t>Tolling Expiration</w:t>
      </w:r>
      <w:r>
        <w:rPr>
          <w:rFonts w:ascii="Arial" w:cs="Arial" w:eastAsia="Arial" w:hAnsi="Arial"/>
          <w:sz w:val="14"/>
          <w:szCs w:val="14"/>
          <w:color w:val="auto"/>
        </w:rPr>
        <w:t>. A Participant’s Award Agreement may also provide that:</w:t>
      </w:r>
    </w:p>
    <w:p>
      <w:pPr>
        <w:spacing w:after="0" w:line="82" w:lineRule="exact"/>
        <w:rPr>
          <w:rFonts w:ascii="Arial" w:cs="Arial" w:eastAsia="Arial" w:hAnsi="Arial"/>
          <w:sz w:val="14"/>
          <w:szCs w:val="14"/>
          <w:color w:val="auto"/>
        </w:rPr>
      </w:pPr>
    </w:p>
    <w:p>
      <w:pPr>
        <w:ind w:left="360" w:right="439" w:firstLine="1494"/>
        <w:spacing w:after="0" w:line="247" w:lineRule="auto"/>
        <w:tabs>
          <w:tab w:leader="none" w:pos="2144" w:val="left"/>
        </w:tabs>
        <w:numPr>
          <w:ilvl w:val="3"/>
          <w:numId w:val="102"/>
        </w:numPr>
        <w:rPr>
          <w:rFonts w:ascii="Arial" w:cs="Arial" w:eastAsia="Arial" w:hAnsi="Arial"/>
          <w:sz w:val="14"/>
          <w:szCs w:val="14"/>
          <w:color w:val="auto"/>
        </w:rPr>
      </w:pPr>
      <w:r>
        <w:rPr>
          <w:rFonts w:ascii="Arial" w:cs="Arial" w:eastAsia="Arial" w:hAnsi="Arial"/>
          <w:sz w:val="14"/>
          <w:szCs w:val="14"/>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11"/>
          <w:szCs w:val="11"/>
          <w:color w:val="auto"/>
        </w:rPr>
        <w:t>th</w:t>
      </w:r>
      <w:r>
        <w:rPr>
          <w:rFonts w:ascii="Arial" w:cs="Arial" w:eastAsia="Arial" w:hAnsi="Arial"/>
          <w:sz w:val="14"/>
          <w:szCs w:val="14"/>
          <w:color w:val="auto"/>
        </w:rPr>
        <w:t>) day after the last date on which such exercise would result in liability under Section 16(b); or</w:t>
      </w:r>
    </w:p>
    <w:p>
      <w:pPr>
        <w:spacing w:after="0" w:line="149" w:lineRule="exact"/>
        <w:rPr>
          <w:rFonts w:ascii="Arial" w:cs="Arial" w:eastAsia="Arial" w:hAnsi="Arial"/>
          <w:sz w:val="14"/>
          <w:szCs w:val="14"/>
          <w:color w:val="auto"/>
        </w:rPr>
      </w:pPr>
    </w:p>
    <w:p>
      <w:pPr>
        <w:ind w:left="360" w:right="439" w:firstLine="1494"/>
        <w:spacing w:after="0" w:line="246" w:lineRule="auto"/>
        <w:tabs>
          <w:tab w:leader="none" w:pos="2144" w:val="left"/>
        </w:tabs>
        <w:numPr>
          <w:ilvl w:val="3"/>
          <w:numId w:val="102"/>
        </w:numPr>
        <w:rPr>
          <w:rFonts w:ascii="Arial" w:cs="Arial" w:eastAsia="Arial" w:hAnsi="Arial"/>
          <w:sz w:val="14"/>
          <w:szCs w:val="14"/>
          <w:color w:val="auto"/>
        </w:rPr>
      </w:pPr>
      <w:r>
        <w:rPr>
          <w:rFonts w:ascii="Arial" w:cs="Arial" w:eastAsia="Arial" w:hAnsi="Arial"/>
          <w:sz w:val="14"/>
          <w:szCs w:val="14"/>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49" w:lineRule="exact"/>
        <w:rPr>
          <w:rFonts w:ascii="Arial" w:cs="Arial" w:eastAsia="Arial" w:hAnsi="Arial"/>
          <w:sz w:val="14"/>
          <w:szCs w:val="14"/>
          <w:color w:val="auto"/>
        </w:rPr>
      </w:pPr>
    </w:p>
    <w:p>
      <w:pPr>
        <w:ind w:left="940" w:hanging="246"/>
        <w:spacing w:after="0"/>
        <w:tabs>
          <w:tab w:leader="none" w:pos="94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Restricted Stock</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59" w:firstLine="749"/>
        <w:spacing w:after="0" w:line="342" w:lineRule="auto"/>
        <w:tabs>
          <w:tab w:leader="none" w:pos="1391" w:val="left"/>
        </w:tabs>
        <w:numPr>
          <w:ilvl w:val="1"/>
          <w:numId w:val="103"/>
        </w:numPr>
        <w:rPr>
          <w:rFonts w:ascii="Arial" w:cs="Arial" w:eastAsia="Arial" w:hAnsi="Arial"/>
          <w:sz w:val="12"/>
          <w:szCs w:val="12"/>
          <w:color w:val="auto"/>
        </w:rPr>
      </w:pPr>
      <w:r>
        <w:rPr>
          <w:rFonts w:ascii="Arial" w:cs="Arial" w:eastAsia="Arial" w:hAnsi="Arial"/>
          <w:sz w:val="12"/>
          <w:szCs w:val="12"/>
          <w:u w:val="single" w:color="auto"/>
          <w:color w:val="auto"/>
        </w:rPr>
        <w:t>Grant of Restricted Stock</w:t>
      </w:r>
      <w:r>
        <w:rPr>
          <w:rFonts w:ascii="Arial" w:cs="Arial" w:eastAsia="Arial" w:hAnsi="Arial"/>
          <w:sz w:val="12"/>
          <w:szCs w:val="1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93" w:lineRule="exact"/>
        <w:rPr>
          <w:rFonts w:ascii="Arial" w:cs="Arial" w:eastAsia="Arial" w:hAnsi="Arial"/>
          <w:sz w:val="12"/>
          <w:szCs w:val="12"/>
          <w:color w:val="auto"/>
        </w:rPr>
      </w:pPr>
    </w:p>
    <w:p>
      <w:pPr>
        <w:jc w:val="both"/>
        <w:ind w:left="360" w:right="379" w:firstLine="749"/>
        <w:spacing w:after="0" w:line="312" w:lineRule="auto"/>
        <w:tabs>
          <w:tab w:leader="none" w:pos="1398" w:val="left"/>
        </w:tabs>
        <w:numPr>
          <w:ilvl w:val="1"/>
          <w:numId w:val="103"/>
        </w:numPr>
        <w:rPr>
          <w:rFonts w:ascii="Arial" w:cs="Arial" w:eastAsia="Arial" w:hAnsi="Arial"/>
          <w:sz w:val="12"/>
          <w:szCs w:val="12"/>
          <w:color w:val="auto"/>
        </w:rPr>
      </w:pPr>
      <w:r>
        <w:rPr>
          <w:rFonts w:ascii="Arial" w:cs="Arial" w:eastAsia="Arial" w:hAnsi="Arial"/>
          <w:sz w:val="12"/>
          <w:szCs w:val="12"/>
          <w:u w:val="single" w:color="auto"/>
          <w:color w:val="auto"/>
        </w:rPr>
        <w:t>Restricted Stock Agreement</w:t>
      </w:r>
      <w:r>
        <w:rPr>
          <w:rFonts w:ascii="Arial" w:cs="Arial" w:eastAsia="Arial" w:hAnsi="Arial"/>
          <w:sz w:val="12"/>
          <w:szCs w:val="12"/>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11" w:lineRule="exact"/>
        <w:rPr>
          <w:rFonts w:ascii="Arial" w:cs="Arial" w:eastAsia="Arial" w:hAnsi="Arial"/>
          <w:sz w:val="12"/>
          <w:szCs w:val="12"/>
          <w:color w:val="auto"/>
        </w:rPr>
      </w:pPr>
    </w:p>
    <w:p>
      <w:pPr>
        <w:ind w:left="360" w:right="1019" w:firstLine="749"/>
        <w:spacing w:after="0" w:line="342" w:lineRule="auto"/>
        <w:tabs>
          <w:tab w:leader="none" w:pos="1391" w:val="left"/>
        </w:tabs>
        <w:numPr>
          <w:ilvl w:val="1"/>
          <w:numId w:val="103"/>
        </w:numPr>
        <w:rPr>
          <w:rFonts w:ascii="Arial" w:cs="Arial" w:eastAsia="Arial" w:hAnsi="Arial"/>
          <w:sz w:val="12"/>
          <w:szCs w:val="12"/>
          <w:color w:val="auto"/>
        </w:rPr>
      </w:pPr>
      <w:r>
        <w:rPr>
          <w:rFonts w:ascii="Arial" w:cs="Arial" w:eastAsia="Arial" w:hAnsi="Arial"/>
          <w:sz w:val="12"/>
          <w:szCs w:val="12"/>
          <w:u w:val="single" w:color="auto"/>
          <w:color w:val="auto"/>
        </w:rPr>
        <w:t>Transferability</w:t>
      </w:r>
      <w:r>
        <w:rPr>
          <w:rFonts w:ascii="Arial" w:cs="Arial" w:eastAsia="Arial" w:hAnsi="Arial"/>
          <w:sz w:val="12"/>
          <w:szCs w:val="12"/>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93" w:lineRule="exact"/>
        <w:rPr>
          <w:rFonts w:ascii="Arial" w:cs="Arial" w:eastAsia="Arial" w:hAnsi="Arial"/>
          <w:sz w:val="12"/>
          <w:szCs w:val="12"/>
          <w:color w:val="auto"/>
        </w:rPr>
      </w:pPr>
    </w:p>
    <w:p>
      <w:pPr>
        <w:ind w:left="360" w:right="559" w:firstLine="749"/>
        <w:spacing w:after="0" w:line="259" w:lineRule="auto"/>
        <w:tabs>
          <w:tab w:leader="none" w:pos="1398" w:val="left"/>
        </w:tabs>
        <w:numPr>
          <w:ilvl w:val="1"/>
          <w:numId w:val="103"/>
        </w:numPr>
        <w:rPr>
          <w:rFonts w:ascii="Arial" w:cs="Arial" w:eastAsia="Arial" w:hAnsi="Arial"/>
          <w:sz w:val="14"/>
          <w:szCs w:val="14"/>
          <w:color w:val="auto"/>
        </w:rPr>
      </w:pPr>
      <w:r>
        <w:rPr>
          <w:rFonts w:ascii="Arial" w:cs="Arial" w:eastAsia="Arial" w:hAnsi="Arial"/>
          <w:sz w:val="14"/>
          <w:szCs w:val="14"/>
          <w:u w:val="single" w:color="auto"/>
          <w:color w:val="auto"/>
        </w:rPr>
        <w:t>Other Restrictions</w:t>
      </w:r>
      <w:r>
        <w:rPr>
          <w:rFonts w:ascii="Arial" w:cs="Arial" w:eastAsia="Arial" w:hAnsi="Arial"/>
          <w:sz w:val="14"/>
          <w:szCs w:val="14"/>
          <w:color w:val="auto"/>
        </w:rPr>
        <w:t>. The Administrator, in its sole discretion, may impose such other restrictions on Shares of Restricted Stock as it may deem advisable or appropriate.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85" w:name="page86"/>
    <w:bookmarkEnd w:id="85"/>
    <w:p>
      <w:pPr>
        <w:ind w:left="360" w:right="399" w:firstLine="749"/>
        <w:spacing w:after="0" w:line="312" w:lineRule="auto"/>
        <w:tabs>
          <w:tab w:leader="none" w:pos="1391" w:val="left"/>
        </w:tabs>
        <w:numPr>
          <w:ilvl w:val="1"/>
          <w:numId w:val="104"/>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Removal of Restrictions</w:t>
      </w:r>
      <w:r>
        <w:rPr>
          <w:rFonts w:ascii="Arial" w:cs="Arial" w:eastAsia="Arial" w:hAnsi="Arial"/>
          <w:sz w:val="12"/>
          <w:szCs w:val="12"/>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11" w:lineRule="exact"/>
        <w:rPr>
          <w:rFonts w:ascii="Arial" w:cs="Arial" w:eastAsia="Arial" w:hAnsi="Arial"/>
          <w:sz w:val="12"/>
          <w:szCs w:val="12"/>
          <w:color w:val="auto"/>
        </w:rPr>
      </w:pPr>
    </w:p>
    <w:p>
      <w:pPr>
        <w:ind w:left="360" w:right="379" w:firstLine="749"/>
        <w:spacing w:after="0" w:line="259" w:lineRule="auto"/>
        <w:tabs>
          <w:tab w:leader="none" w:pos="1376" w:val="left"/>
        </w:tabs>
        <w:numPr>
          <w:ilvl w:val="1"/>
          <w:numId w:val="104"/>
        </w:numPr>
        <w:rPr>
          <w:rFonts w:ascii="Arial" w:cs="Arial" w:eastAsia="Arial" w:hAnsi="Arial"/>
          <w:sz w:val="14"/>
          <w:szCs w:val="14"/>
          <w:color w:val="auto"/>
        </w:rPr>
      </w:pPr>
      <w:r>
        <w:rPr>
          <w:rFonts w:ascii="Arial" w:cs="Arial" w:eastAsia="Arial" w:hAnsi="Arial"/>
          <w:sz w:val="14"/>
          <w:szCs w:val="14"/>
          <w:u w:val="single" w:color="auto"/>
          <w:color w:val="auto"/>
        </w:rPr>
        <w:t>Voting Rights</w:t>
      </w:r>
      <w:r>
        <w:rPr>
          <w:rFonts w:ascii="Arial" w:cs="Arial" w:eastAsia="Arial" w:hAnsi="Arial"/>
          <w:sz w:val="14"/>
          <w:szCs w:val="14"/>
          <w:color w:val="auto"/>
        </w:rPr>
        <w:t>. During the Period of Restriction, Service Providers holding Shares of Restricted Stock granted hereunder may exercise full voting rights with respect to those Shares, unless the Administrator determines otherwise.</w:t>
      </w:r>
    </w:p>
    <w:p>
      <w:pPr>
        <w:spacing w:after="0" w:line="139" w:lineRule="exact"/>
        <w:rPr>
          <w:rFonts w:ascii="Arial" w:cs="Arial" w:eastAsia="Arial" w:hAnsi="Arial"/>
          <w:sz w:val="14"/>
          <w:szCs w:val="14"/>
          <w:color w:val="auto"/>
        </w:rPr>
      </w:pPr>
    </w:p>
    <w:p>
      <w:pPr>
        <w:ind w:left="360" w:right="599" w:firstLine="749"/>
        <w:spacing w:after="0" w:line="247" w:lineRule="auto"/>
        <w:tabs>
          <w:tab w:leader="none" w:pos="1398" w:val="left"/>
        </w:tabs>
        <w:numPr>
          <w:ilvl w:val="1"/>
          <w:numId w:val="104"/>
        </w:numPr>
        <w:rPr>
          <w:rFonts w:ascii="Arial" w:cs="Arial" w:eastAsia="Arial" w:hAnsi="Arial"/>
          <w:sz w:val="14"/>
          <w:szCs w:val="14"/>
          <w:color w:val="auto"/>
        </w:rPr>
      </w:pPr>
      <w:r>
        <w:rPr>
          <w:rFonts w:ascii="Arial" w:cs="Arial" w:eastAsia="Arial" w:hAnsi="Arial"/>
          <w:sz w:val="14"/>
          <w:szCs w:val="14"/>
          <w:u w:val="single" w:color="auto"/>
          <w:color w:val="auto"/>
        </w:rPr>
        <w:t>Dividends and Other Distributions</w:t>
      </w:r>
      <w:r>
        <w:rPr>
          <w:rFonts w:ascii="Arial" w:cs="Arial" w:eastAsia="Arial" w:hAnsi="Arial"/>
          <w:sz w:val="14"/>
          <w:szCs w:val="14"/>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49" w:lineRule="exact"/>
        <w:rPr>
          <w:rFonts w:ascii="Arial" w:cs="Arial" w:eastAsia="Arial" w:hAnsi="Arial"/>
          <w:sz w:val="14"/>
          <w:szCs w:val="14"/>
          <w:color w:val="auto"/>
        </w:rPr>
      </w:pPr>
    </w:p>
    <w:p>
      <w:pPr>
        <w:ind w:left="360" w:right="599" w:firstLine="749"/>
        <w:spacing w:after="0" w:line="259" w:lineRule="auto"/>
        <w:tabs>
          <w:tab w:leader="none" w:pos="1398" w:val="left"/>
        </w:tabs>
        <w:numPr>
          <w:ilvl w:val="1"/>
          <w:numId w:val="104"/>
        </w:numPr>
        <w:rPr>
          <w:rFonts w:ascii="Arial" w:cs="Arial" w:eastAsia="Arial" w:hAnsi="Arial"/>
          <w:sz w:val="14"/>
          <w:szCs w:val="14"/>
          <w:color w:val="auto"/>
        </w:rPr>
      </w:pPr>
      <w:r>
        <w:rPr>
          <w:rFonts w:ascii="Arial" w:cs="Arial" w:eastAsia="Arial" w:hAnsi="Arial"/>
          <w:sz w:val="14"/>
          <w:szCs w:val="14"/>
          <w:u w:val="single" w:color="auto"/>
          <w:color w:val="auto"/>
        </w:rPr>
        <w:t>Return of Restricted Stock to Company</w:t>
      </w:r>
      <w:r>
        <w:rPr>
          <w:rFonts w:ascii="Arial" w:cs="Arial" w:eastAsia="Arial" w:hAnsi="Arial"/>
          <w:sz w:val="14"/>
          <w:szCs w:val="14"/>
          <w:color w:val="auto"/>
        </w:rPr>
        <w:t>. On the date set forth in the Award Agreement, the Restricted Stock for which restrictions have not lapsed will revert to the Company and again will become available for grant under the Plan.</w:t>
      </w:r>
    </w:p>
    <w:p>
      <w:pPr>
        <w:spacing w:after="0" w:line="139" w:lineRule="exact"/>
        <w:rPr>
          <w:rFonts w:ascii="Arial" w:cs="Arial" w:eastAsia="Arial" w:hAnsi="Arial"/>
          <w:sz w:val="14"/>
          <w:szCs w:val="14"/>
          <w:color w:val="auto"/>
        </w:rPr>
      </w:pPr>
    </w:p>
    <w:p>
      <w:pPr>
        <w:ind w:left="940" w:hanging="246"/>
        <w:spacing w:after="0"/>
        <w:tabs>
          <w:tab w:leader="none" w:pos="94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Restricted Stock Units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679" w:firstLine="749"/>
        <w:spacing w:after="0" w:line="312" w:lineRule="auto"/>
        <w:tabs>
          <w:tab w:leader="none" w:pos="1391" w:val="left"/>
        </w:tabs>
        <w:numPr>
          <w:ilvl w:val="1"/>
          <w:numId w:val="105"/>
        </w:numPr>
        <w:rPr>
          <w:rFonts w:ascii="Arial" w:cs="Arial" w:eastAsia="Arial" w:hAnsi="Arial"/>
          <w:sz w:val="12"/>
          <w:szCs w:val="12"/>
          <w:color w:val="auto"/>
        </w:rPr>
      </w:pPr>
      <w:r>
        <w:rPr>
          <w:rFonts w:ascii="Arial" w:cs="Arial" w:eastAsia="Arial" w:hAnsi="Arial"/>
          <w:sz w:val="12"/>
          <w:szCs w:val="12"/>
          <w:u w:val="single" w:color="auto"/>
          <w:color w:val="auto"/>
        </w:rPr>
        <w:t>Grant</w:t>
      </w:r>
      <w:r>
        <w:rPr>
          <w:rFonts w:ascii="Arial" w:cs="Arial" w:eastAsia="Arial" w:hAnsi="Arial"/>
          <w:sz w:val="12"/>
          <w:szCs w:val="12"/>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11" w:lineRule="exact"/>
        <w:rPr>
          <w:rFonts w:ascii="Arial" w:cs="Arial" w:eastAsia="Arial" w:hAnsi="Arial"/>
          <w:sz w:val="12"/>
          <w:szCs w:val="12"/>
          <w:color w:val="auto"/>
        </w:rPr>
      </w:pPr>
    </w:p>
    <w:p>
      <w:pPr>
        <w:ind w:left="360" w:right="619" w:firstLine="749"/>
        <w:spacing w:after="0" w:line="302" w:lineRule="auto"/>
        <w:tabs>
          <w:tab w:leader="none" w:pos="1398" w:val="left"/>
        </w:tabs>
        <w:numPr>
          <w:ilvl w:val="1"/>
          <w:numId w:val="105"/>
        </w:numPr>
        <w:rPr>
          <w:rFonts w:ascii="Arial" w:cs="Arial" w:eastAsia="Arial" w:hAnsi="Arial"/>
          <w:sz w:val="12"/>
          <w:szCs w:val="12"/>
          <w:color w:val="auto"/>
        </w:rPr>
      </w:pPr>
      <w:r>
        <w:rPr>
          <w:rFonts w:ascii="Arial" w:cs="Arial" w:eastAsia="Arial" w:hAnsi="Arial"/>
          <w:sz w:val="12"/>
          <w:szCs w:val="12"/>
          <w:u w:val="single" w:color="auto"/>
          <w:color w:val="auto"/>
        </w:rPr>
        <w:t>Vesting Criteria and Other Terms</w:t>
      </w:r>
      <w:r>
        <w:rPr>
          <w:rFonts w:ascii="Arial" w:cs="Arial" w:eastAsia="Arial" w:hAnsi="Arial"/>
          <w:sz w:val="12"/>
          <w:szCs w:val="12"/>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7" w:lineRule="exact"/>
        <w:rPr>
          <w:rFonts w:ascii="Arial" w:cs="Arial" w:eastAsia="Arial" w:hAnsi="Arial"/>
          <w:sz w:val="12"/>
          <w:szCs w:val="12"/>
          <w:color w:val="auto"/>
        </w:rPr>
      </w:pPr>
    </w:p>
    <w:p>
      <w:pPr>
        <w:ind w:left="360" w:right="579" w:firstLine="749"/>
        <w:spacing w:after="0" w:line="250" w:lineRule="auto"/>
        <w:tabs>
          <w:tab w:leader="none" w:pos="1391"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Earning Restricted Stock Units</w:t>
      </w:r>
      <w:r>
        <w:rPr>
          <w:rFonts w:ascii="Arial" w:cs="Arial" w:eastAsia="Arial" w:hAnsi="Arial"/>
          <w:sz w:val="14"/>
          <w:szCs w:val="14"/>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46" w:lineRule="exact"/>
        <w:rPr>
          <w:rFonts w:ascii="Arial" w:cs="Arial" w:eastAsia="Arial" w:hAnsi="Arial"/>
          <w:sz w:val="14"/>
          <w:szCs w:val="14"/>
          <w:color w:val="auto"/>
        </w:rPr>
      </w:pPr>
    </w:p>
    <w:p>
      <w:pPr>
        <w:ind w:left="360" w:right="379" w:firstLine="749"/>
        <w:spacing w:after="0" w:line="250" w:lineRule="auto"/>
        <w:tabs>
          <w:tab w:leader="none" w:pos="1398"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46" w:lineRule="exact"/>
        <w:rPr>
          <w:rFonts w:ascii="Arial" w:cs="Arial" w:eastAsia="Arial" w:hAnsi="Arial"/>
          <w:sz w:val="14"/>
          <w:szCs w:val="14"/>
          <w:color w:val="auto"/>
        </w:rPr>
      </w:pPr>
    </w:p>
    <w:p>
      <w:pPr>
        <w:ind w:left="1400" w:hanging="291"/>
        <w:spacing w:after="0"/>
        <w:tabs>
          <w:tab w:leader="none" w:pos="1400" w:val="left"/>
        </w:tabs>
        <w:numPr>
          <w:ilvl w:val="1"/>
          <w:numId w:val="105"/>
        </w:numPr>
        <w:rPr>
          <w:rFonts w:ascii="Arial" w:cs="Arial" w:eastAsia="Arial" w:hAnsi="Arial"/>
          <w:sz w:val="12"/>
          <w:szCs w:val="12"/>
          <w:color w:val="auto"/>
        </w:rPr>
      </w:pPr>
      <w:r>
        <w:rPr>
          <w:rFonts w:ascii="Arial" w:cs="Arial" w:eastAsia="Arial" w:hAnsi="Arial"/>
          <w:sz w:val="12"/>
          <w:szCs w:val="12"/>
          <w:u w:val="single" w:color="auto"/>
          <w:color w:val="auto"/>
        </w:rPr>
        <w:t>Cancellation</w:t>
      </w:r>
      <w:r>
        <w:rPr>
          <w:rFonts w:ascii="Arial" w:cs="Arial" w:eastAsia="Arial" w:hAnsi="Arial"/>
          <w:sz w:val="12"/>
          <w:szCs w:val="12"/>
          <w:color w:val="auto"/>
        </w:rPr>
        <w:t>. On the date set forth in the Award Agreement, all unearned Restricted Stock Units will be forfeited to the Company.</w:t>
      </w:r>
    </w:p>
    <w:p>
      <w:pPr>
        <w:spacing w:after="0" w:line="186" w:lineRule="exact"/>
        <w:rPr>
          <w:rFonts w:ascii="Arial" w:cs="Arial" w:eastAsia="Arial" w:hAnsi="Arial"/>
          <w:sz w:val="12"/>
          <w:szCs w:val="12"/>
          <w:color w:val="auto"/>
        </w:rPr>
      </w:pPr>
    </w:p>
    <w:p>
      <w:pPr>
        <w:ind w:left="940" w:hanging="246"/>
        <w:spacing w:after="0"/>
        <w:tabs>
          <w:tab w:leader="none" w:pos="940"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Stock Appreciation Rights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559" w:firstLine="749"/>
        <w:spacing w:after="0" w:line="342" w:lineRule="auto"/>
        <w:tabs>
          <w:tab w:leader="none" w:pos="1391" w:val="left"/>
        </w:tabs>
        <w:numPr>
          <w:ilvl w:val="1"/>
          <w:numId w:val="105"/>
        </w:numPr>
        <w:rPr>
          <w:rFonts w:ascii="Arial" w:cs="Arial" w:eastAsia="Arial" w:hAnsi="Arial"/>
          <w:sz w:val="12"/>
          <w:szCs w:val="12"/>
          <w:color w:val="auto"/>
        </w:rPr>
      </w:pPr>
      <w:r>
        <w:rPr>
          <w:rFonts w:ascii="Arial" w:cs="Arial" w:eastAsia="Arial" w:hAnsi="Arial"/>
          <w:sz w:val="12"/>
          <w:szCs w:val="12"/>
          <w:u w:val="single" w:color="auto"/>
          <w:color w:val="auto"/>
        </w:rPr>
        <w:t>Grant of Stock Appreciation Rights</w:t>
      </w:r>
      <w:r>
        <w:rPr>
          <w:rFonts w:ascii="Arial" w:cs="Arial" w:eastAsia="Arial" w:hAnsi="Arial"/>
          <w:sz w:val="12"/>
          <w:szCs w:val="12"/>
          <w:color w:val="auto"/>
        </w:rPr>
        <w:t>. Subject to the terms and conditions of the Plan, a Stock Appreciation Right may be granted to Service Providers at any time and from time to time as will be determined by the Administrator, in its sole discretion.</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86" w:name="page87"/>
    <w:bookmarkEnd w:id="86"/>
    <w:p>
      <w:pPr>
        <w:ind w:left="360" w:right="379" w:firstLine="749"/>
        <w:spacing w:after="0" w:line="259" w:lineRule="auto"/>
        <w:tabs>
          <w:tab w:leader="none" w:pos="1398"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Number of Shares</w:t>
      </w:r>
      <w:r>
        <w:rPr>
          <w:rFonts w:ascii="Arial" w:cs="Arial" w:eastAsia="Arial" w:hAnsi="Arial"/>
          <w:sz w:val="14"/>
          <w:szCs w:val="14"/>
          <w:color w:val="auto"/>
        </w:rPr>
        <w:t>. The Administrator will have complete discretion to determine the number of Stock Appreciation Rights granted to any Service Provider.</w:t>
      </w:r>
    </w:p>
    <w:p>
      <w:pPr>
        <w:spacing w:after="0" w:line="139" w:lineRule="exact"/>
        <w:rPr>
          <w:rFonts w:ascii="Arial" w:cs="Arial" w:eastAsia="Arial" w:hAnsi="Arial"/>
          <w:sz w:val="14"/>
          <w:szCs w:val="14"/>
          <w:color w:val="auto"/>
        </w:rPr>
      </w:pPr>
    </w:p>
    <w:p>
      <w:pPr>
        <w:ind w:left="360" w:right="419" w:firstLine="749"/>
        <w:spacing w:after="0" w:line="247" w:lineRule="auto"/>
        <w:tabs>
          <w:tab w:leader="none" w:pos="1391"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Exercise Price and Other Terms</w:t>
      </w:r>
      <w:r>
        <w:rPr>
          <w:rFonts w:ascii="Arial" w:cs="Arial" w:eastAsia="Arial" w:hAnsi="Arial"/>
          <w:sz w:val="14"/>
          <w:szCs w:val="14"/>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49" w:lineRule="exact"/>
        <w:rPr>
          <w:rFonts w:ascii="Arial" w:cs="Arial" w:eastAsia="Arial" w:hAnsi="Arial"/>
          <w:sz w:val="14"/>
          <w:szCs w:val="14"/>
          <w:color w:val="auto"/>
        </w:rPr>
      </w:pPr>
    </w:p>
    <w:p>
      <w:pPr>
        <w:ind w:left="360" w:right="719" w:firstLine="749"/>
        <w:spacing w:after="0" w:line="250" w:lineRule="auto"/>
        <w:tabs>
          <w:tab w:leader="none" w:pos="1398"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Stock Appreciation Right Agreement</w:t>
      </w:r>
      <w:r>
        <w:rPr>
          <w:rFonts w:ascii="Arial" w:cs="Arial" w:eastAsia="Arial" w:hAnsi="Arial"/>
          <w:sz w:val="14"/>
          <w:szCs w:val="14"/>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46" w:lineRule="exact"/>
        <w:rPr>
          <w:rFonts w:ascii="Arial" w:cs="Arial" w:eastAsia="Arial" w:hAnsi="Arial"/>
          <w:sz w:val="14"/>
          <w:szCs w:val="14"/>
          <w:color w:val="auto"/>
        </w:rPr>
      </w:pPr>
    </w:p>
    <w:p>
      <w:pPr>
        <w:ind w:left="360" w:right="419" w:firstLine="749"/>
        <w:spacing w:after="0" w:line="250" w:lineRule="auto"/>
        <w:tabs>
          <w:tab w:leader="none" w:pos="1391"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Expiration of Stock Appreciation Rights</w:t>
      </w:r>
      <w:r>
        <w:rPr>
          <w:rFonts w:ascii="Arial" w:cs="Arial" w:eastAsia="Arial" w:hAnsi="Arial"/>
          <w:sz w:val="14"/>
          <w:szCs w:val="14"/>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46" w:lineRule="exact"/>
        <w:rPr>
          <w:rFonts w:ascii="Arial" w:cs="Arial" w:eastAsia="Arial" w:hAnsi="Arial"/>
          <w:sz w:val="14"/>
          <w:szCs w:val="14"/>
          <w:color w:val="auto"/>
        </w:rPr>
      </w:pPr>
    </w:p>
    <w:p>
      <w:pPr>
        <w:ind w:left="360" w:right="459" w:firstLine="749"/>
        <w:spacing w:after="0" w:line="259" w:lineRule="auto"/>
        <w:tabs>
          <w:tab w:leader="none" w:pos="1376"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Payment of Stock Appreciation Right Amount</w:t>
      </w:r>
      <w:r>
        <w:rPr>
          <w:rFonts w:ascii="Arial" w:cs="Arial" w:eastAsia="Arial" w:hAnsi="Arial"/>
          <w:sz w:val="14"/>
          <w:szCs w:val="14"/>
          <w:color w:val="auto"/>
        </w:rPr>
        <w:t>. Upon exercise of a Stock Appreciation Right, a Participant will be entitled to receive payment from the Company in an amount determined by multiplying:</w:t>
      </w:r>
    </w:p>
    <w:p>
      <w:pPr>
        <w:spacing w:after="0" w:line="58" w:lineRule="exact"/>
        <w:rPr>
          <w:rFonts w:ascii="Arial" w:cs="Arial" w:eastAsia="Arial" w:hAnsi="Arial"/>
          <w:sz w:val="14"/>
          <w:szCs w:val="14"/>
          <w:color w:val="auto"/>
        </w:rPr>
      </w:pPr>
    </w:p>
    <w:p>
      <w:pPr>
        <w:ind w:left="1700" w:hanging="260"/>
        <w:spacing w:after="0"/>
        <w:tabs>
          <w:tab w:leader="none" w:pos="170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The difference between the Fair Market Value of a Share on the date of exercise over the exercise price; times</w:t>
      </w:r>
    </w:p>
    <w:p>
      <w:pPr>
        <w:spacing w:after="0" w:line="163" w:lineRule="exact"/>
        <w:rPr>
          <w:rFonts w:ascii="Arial" w:cs="Arial" w:eastAsia="Arial" w:hAnsi="Arial"/>
          <w:sz w:val="14"/>
          <w:szCs w:val="14"/>
          <w:color w:val="auto"/>
        </w:rPr>
      </w:pPr>
    </w:p>
    <w:p>
      <w:pPr>
        <w:ind w:left="1740" w:hanging="300"/>
        <w:spacing w:after="0"/>
        <w:tabs>
          <w:tab w:leader="none" w:pos="1740" w:val="left"/>
        </w:tabs>
        <w:numPr>
          <w:ilvl w:val="1"/>
          <w:numId w:val="106"/>
        </w:numPr>
        <w:rPr>
          <w:rFonts w:ascii="Arial" w:cs="Arial" w:eastAsia="Arial" w:hAnsi="Arial"/>
          <w:sz w:val="14"/>
          <w:szCs w:val="14"/>
          <w:color w:val="auto"/>
        </w:rPr>
      </w:pPr>
      <w:r>
        <w:rPr>
          <w:rFonts w:ascii="Arial" w:cs="Arial" w:eastAsia="Arial" w:hAnsi="Arial"/>
          <w:sz w:val="14"/>
          <w:szCs w:val="14"/>
          <w:color w:val="auto"/>
        </w:rPr>
        <w:t>The number of Shares with respect to which the Stock Appreciation Right is exercised.</w:t>
      </w:r>
    </w:p>
    <w:p>
      <w:pPr>
        <w:spacing w:after="0" w:line="164" w:lineRule="exact"/>
        <w:rPr>
          <w:sz w:val="20"/>
          <w:szCs w:val="20"/>
          <w:color w:val="auto"/>
        </w:rPr>
      </w:pPr>
    </w:p>
    <w:p>
      <w:pPr>
        <w:ind w:left="360" w:right="559" w:firstLine="331"/>
        <w:spacing w:after="0" w:line="259" w:lineRule="auto"/>
        <w:rPr>
          <w:sz w:val="20"/>
          <w:szCs w:val="20"/>
          <w:color w:val="auto"/>
        </w:rPr>
      </w:pPr>
      <w:r>
        <w:rPr>
          <w:rFonts w:ascii="Arial" w:cs="Arial" w:eastAsia="Arial" w:hAnsi="Arial"/>
          <w:sz w:val="14"/>
          <w:szCs w:val="14"/>
          <w:color w:val="auto"/>
        </w:rPr>
        <w:t>At the discretion of the Administrator, the payment upon Stock Appreciation Right exercise may be in cash, in Shares of equivalent value, or in some combination thereof.</w:t>
      </w:r>
    </w:p>
    <w:p>
      <w:pPr>
        <w:spacing w:after="0" w:line="140" w:lineRule="exact"/>
        <w:rPr>
          <w:sz w:val="20"/>
          <w:szCs w:val="20"/>
          <w:color w:val="auto"/>
        </w:rPr>
      </w:pPr>
    </w:p>
    <w:p>
      <w:pPr>
        <w:ind w:left="1000" w:hanging="306"/>
        <w:spacing w:after="0"/>
        <w:tabs>
          <w:tab w:leader="none" w:pos="1000"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Performance Units and Performance Shares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jc w:val="both"/>
        <w:ind w:left="360" w:right="419" w:firstLine="749"/>
        <w:spacing w:after="0" w:line="250" w:lineRule="auto"/>
        <w:tabs>
          <w:tab w:leader="none" w:pos="1391" w:val="left"/>
        </w:tabs>
        <w:numPr>
          <w:ilvl w:val="1"/>
          <w:numId w:val="107"/>
        </w:numPr>
        <w:rPr>
          <w:rFonts w:ascii="Arial" w:cs="Arial" w:eastAsia="Arial" w:hAnsi="Arial"/>
          <w:sz w:val="14"/>
          <w:szCs w:val="14"/>
          <w:color w:val="auto"/>
        </w:rPr>
      </w:pPr>
      <w:r>
        <w:rPr>
          <w:rFonts w:ascii="Arial" w:cs="Arial" w:eastAsia="Arial" w:hAnsi="Arial"/>
          <w:sz w:val="14"/>
          <w:szCs w:val="14"/>
          <w:u w:val="single" w:color="auto"/>
          <w:color w:val="auto"/>
        </w:rPr>
        <w:t>Grant of Performance Units/Shares</w:t>
      </w:r>
      <w:r>
        <w:rPr>
          <w:rFonts w:ascii="Arial" w:cs="Arial" w:eastAsia="Arial" w:hAnsi="Arial"/>
          <w:sz w:val="14"/>
          <w:szCs w:val="14"/>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46" w:lineRule="exact"/>
        <w:rPr>
          <w:rFonts w:ascii="Arial" w:cs="Arial" w:eastAsia="Arial" w:hAnsi="Arial"/>
          <w:sz w:val="14"/>
          <w:szCs w:val="14"/>
          <w:color w:val="auto"/>
        </w:rPr>
      </w:pPr>
    </w:p>
    <w:p>
      <w:pPr>
        <w:ind w:left="360" w:right="539" w:firstLine="749"/>
        <w:spacing w:after="0" w:line="342" w:lineRule="auto"/>
        <w:tabs>
          <w:tab w:leader="none" w:pos="1398" w:val="left"/>
        </w:tabs>
        <w:numPr>
          <w:ilvl w:val="1"/>
          <w:numId w:val="107"/>
        </w:numPr>
        <w:rPr>
          <w:rFonts w:ascii="Arial" w:cs="Arial" w:eastAsia="Arial" w:hAnsi="Arial"/>
          <w:sz w:val="12"/>
          <w:szCs w:val="12"/>
          <w:color w:val="auto"/>
        </w:rPr>
      </w:pPr>
      <w:r>
        <w:rPr>
          <w:rFonts w:ascii="Arial" w:cs="Arial" w:eastAsia="Arial" w:hAnsi="Arial"/>
          <w:sz w:val="12"/>
          <w:szCs w:val="12"/>
          <w:u w:val="single" w:color="auto"/>
          <w:color w:val="auto"/>
        </w:rPr>
        <w:t>Value of Performance Units/Shares</w:t>
      </w:r>
      <w:r>
        <w:rPr>
          <w:rFonts w:ascii="Arial" w:cs="Arial" w:eastAsia="Arial" w:hAnsi="Arial"/>
          <w:sz w:val="12"/>
          <w:szCs w:val="1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93" w:lineRule="exact"/>
        <w:rPr>
          <w:rFonts w:ascii="Arial" w:cs="Arial" w:eastAsia="Arial" w:hAnsi="Arial"/>
          <w:sz w:val="12"/>
          <w:szCs w:val="12"/>
          <w:color w:val="auto"/>
        </w:rPr>
      </w:pPr>
    </w:p>
    <w:p>
      <w:pPr>
        <w:ind w:left="360" w:right="379" w:firstLine="749"/>
        <w:spacing w:after="0" w:line="292" w:lineRule="auto"/>
        <w:tabs>
          <w:tab w:leader="none" w:pos="1391" w:val="left"/>
        </w:tabs>
        <w:numPr>
          <w:ilvl w:val="1"/>
          <w:numId w:val="107"/>
        </w:numPr>
        <w:rPr>
          <w:rFonts w:ascii="Arial" w:cs="Arial" w:eastAsia="Arial" w:hAnsi="Arial"/>
          <w:sz w:val="12"/>
          <w:szCs w:val="12"/>
          <w:color w:val="auto"/>
        </w:rPr>
      </w:pPr>
      <w:r>
        <w:rPr>
          <w:rFonts w:ascii="Arial" w:cs="Arial" w:eastAsia="Arial" w:hAnsi="Arial"/>
          <w:sz w:val="12"/>
          <w:szCs w:val="12"/>
          <w:u w:val="single" w:color="auto"/>
          <w:color w:val="auto"/>
        </w:rPr>
        <w:t>Performance Objectives and Other Terms</w:t>
      </w:r>
      <w:r>
        <w:rPr>
          <w:rFonts w:ascii="Arial" w:cs="Arial" w:eastAsia="Arial" w:hAnsi="Arial"/>
          <w:sz w:val="12"/>
          <w:szCs w:val="12"/>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2"/>
          <w:szCs w:val="12"/>
          <w:u w:val="single" w:color="auto"/>
          <w:color w:val="auto"/>
        </w:rPr>
        <w:t>Performance Period</w:t>
      </w:r>
      <w:r>
        <w:rPr>
          <w:rFonts w:ascii="Arial" w:cs="Arial" w:eastAsia="Arial" w:hAnsi="Arial"/>
          <w:sz w:val="12"/>
          <w:szCs w:val="12"/>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86" w:lineRule="exact"/>
        <w:rPr>
          <w:rFonts w:ascii="Arial" w:cs="Arial" w:eastAsia="Arial" w:hAnsi="Arial"/>
          <w:sz w:val="12"/>
          <w:szCs w:val="12"/>
          <w:color w:val="auto"/>
        </w:rPr>
      </w:pPr>
    </w:p>
    <w:p>
      <w:pPr>
        <w:ind w:left="360" w:right="559" w:firstLine="749"/>
        <w:spacing w:after="0" w:line="259" w:lineRule="auto"/>
        <w:tabs>
          <w:tab w:leader="none" w:pos="1398" w:val="left"/>
        </w:tabs>
        <w:numPr>
          <w:ilvl w:val="1"/>
          <w:numId w:val="107"/>
        </w:numPr>
        <w:rPr>
          <w:rFonts w:ascii="Arial" w:cs="Arial" w:eastAsia="Arial" w:hAnsi="Arial"/>
          <w:sz w:val="14"/>
          <w:szCs w:val="14"/>
          <w:color w:val="auto"/>
        </w:rPr>
      </w:pPr>
      <w:r>
        <w:rPr>
          <w:rFonts w:ascii="Arial" w:cs="Arial" w:eastAsia="Arial" w:hAnsi="Arial"/>
          <w:sz w:val="14"/>
          <w:szCs w:val="14"/>
          <w:u w:val="single" w:color="auto"/>
          <w:color w:val="auto"/>
        </w:rPr>
        <w:t>Earning of Performance Units/Shares</w:t>
      </w:r>
      <w:r>
        <w:rPr>
          <w:rFonts w:ascii="Arial" w:cs="Arial" w:eastAsia="Arial" w:hAnsi="Arial"/>
          <w:sz w:val="14"/>
          <w:szCs w:val="14"/>
          <w:color w:val="auto"/>
        </w:rPr>
        <w:t>. After the applicable Performance Period has ended, the holder of Performance Units/Shares will be entitled to receive a payout of the number of Performance Units/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87" w:name="page88"/>
    <w:bookmarkEnd w:id="87"/>
    <w:p>
      <w:pPr>
        <w:ind w:left="360" w:right="61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11" w:lineRule="exact"/>
        <w:rPr>
          <w:sz w:val="20"/>
          <w:szCs w:val="20"/>
          <w:color w:val="auto"/>
        </w:rPr>
      </w:pPr>
    </w:p>
    <w:p>
      <w:pPr>
        <w:ind w:left="360" w:right="399" w:firstLine="749"/>
        <w:spacing w:after="0" w:line="247" w:lineRule="auto"/>
        <w:tabs>
          <w:tab w:leader="none" w:pos="1391" w:val="left"/>
        </w:tabs>
        <w:numPr>
          <w:ilvl w:val="1"/>
          <w:numId w:val="108"/>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 of Performance Units/Shares</w:t>
      </w:r>
      <w:r>
        <w:rPr>
          <w:rFonts w:ascii="Arial" w:cs="Arial" w:eastAsia="Arial" w:hAnsi="Arial"/>
          <w:sz w:val="14"/>
          <w:szCs w:val="14"/>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49" w:lineRule="exact"/>
        <w:rPr>
          <w:rFonts w:ascii="Arial" w:cs="Arial" w:eastAsia="Arial" w:hAnsi="Arial"/>
          <w:sz w:val="14"/>
          <w:szCs w:val="14"/>
          <w:color w:val="auto"/>
        </w:rPr>
      </w:pPr>
    </w:p>
    <w:p>
      <w:pPr>
        <w:ind w:left="360" w:right="699" w:firstLine="749"/>
        <w:spacing w:after="0" w:line="259" w:lineRule="auto"/>
        <w:tabs>
          <w:tab w:leader="none" w:pos="1376" w:val="left"/>
        </w:tabs>
        <w:numPr>
          <w:ilvl w:val="1"/>
          <w:numId w:val="108"/>
        </w:numPr>
        <w:rPr>
          <w:rFonts w:ascii="Arial" w:cs="Arial" w:eastAsia="Arial" w:hAnsi="Arial"/>
          <w:sz w:val="14"/>
          <w:szCs w:val="14"/>
          <w:color w:val="auto"/>
        </w:rPr>
      </w:pPr>
      <w:r>
        <w:rPr>
          <w:rFonts w:ascii="Arial" w:cs="Arial" w:eastAsia="Arial" w:hAnsi="Arial"/>
          <w:sz w:val="14"/>
          <w:szCs w:val="14"/>
          <w:u w:val="single" w:color="auto"/>
          <w:color w:val="auto"/>
        </w:rPr>
        <w:t>Cancellation of Performance Units/Shares</w:t>
      </w:r>
      <w:r>
        <w:rPr>
          <w:rFonts w:ascii="Arial" w:cs="Arial" w:eastAsia="Arial" w:hAnsi="Arial"/>
          <w:sz w:val="14"/>
          <w:szCs w:val="14"/>
          <w:color w:val="auto"/>
        </w:rPr>
        <w:t>. On the date set forth in the Award Agreement, all unearned or unvested Performance Units/Shares will be forfeited to the Company, and again will be available for grant under the Plan.</w:t>
      </w:r>
    </w:p>
    <w:p>
      <w:pPr>
        <w:spacing w:after="0" w:line="139" w:lineRule="exact"/>
        <w:rPr>
          <w:rFonts w:ascii="Arial" w:cs="Arial" w:eastAsia="Arial" w:hAnsi="Arial"/>
          <w:sz w:val="14"/>
          <w:szCs w:val="14"/>
          <w:color w:val="auto"/>
        </w:rPr>
      </w:pPr>
    </w:p>
    <w:p>
      <w:pPr>
        <w:ind w:left="360" w:right="459" w:firstLine="334"/>
        <w:spacing w:after="0" w:line="297" w:lineRule="auto"/>
        <w:tabs>
          <w:tab w:leader="none" w:pos="990"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Outside Director Limitations</w:t>
      </w:r>
      <w:r>
        <w:rPr>
          <w:rFonts w:ascii="Arial" w:cs="Arial" w:eastAsia="Arial" w:hAnsi="Arial"/>
          <w:sz w:val="12"/>
          <w:szCs w:val="12"/>
          <w:color w:val="auto"/>
        </w:rPr>
        <w:t>. No Outside Director may be paid, issued, or granted, in any Fiscal Year, equity awards (including any Awards issued under this Plan) with an aggregate value (the value of which will be based on their grant date fair value determined in accordance with U.S. generally accepted accounting principles) that, in the aggregate, exceed $750,000, increased to $1,000,000 in connection with his or her initial service. Any Awards or other compensation paid or provided to an individual for his or her services as an Employee, or for his or her services as a Consultant (other than as an Outside Director), will not count for purposes of the limitation under this Section 11.</w:t>
      </w:r>
    </w:p>
    <w:p>
      <w:pPr>
        <w:spacing w:after="0" w:line="120" w:lineRule="exact"/>
        <w:rPr>
          <w:rFonts w:ascii="Arial" w:cs="Arial" w:eastAsia="Arial" w:hAnsi="Arial"/>
          <w:sz w:val="12"/>
          <w:szCs w:val="12"/>
          <w:color w:val="auto"/>
        </w:rPr>
      </w:pPr>
    </w:p>
    <w:p>
      <w:pPr>
        <w:ind w:left="360" w:right="539" w:firstLine="334"/>
        <w:spacing w:after="0" w:line="288" w:lineRule="auto"/>
        <w:tabs>
          <w:tab w:leader="none" w:pos="995"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Leaves of Absence/Transfer Between Locations</w:t>
      </w:r>
      <w:r>
        <w:rPr>
          <w:rFonts w:ascii="Arial" w:cs="Arial" w:eastAsia="Arial" w:hAnsi="Arial"/>
          <w:sz w:val="12"/>
          <w:szCs w:val="12"/>
          <w:color w:val="auto"/>
        </w:rPr>
        <w:t>. Unless the Administrator provides otherwise and subject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ind w:left="360" w:right="459"/>
        <w:spacing w:after="0" w:line="242" w:lineRule="auto"/>
        <w:rPr>
          <w:rFonts w:ascii="Arial" w:cs="Arial" w:eastAsia="Arial" w:hAnsi="Arial"/>
          <w:sz w:val="12"/>
          <w:szCs w:val="12"/>
          <w:color w:val="auto"/>
        </w:rPr>
      </w:pPr>
      <w:r>
        <w:rPr>
          <w:rFonts w:ascii="Arial" w:cs="Arial" w:eastAsia="Arial" w:hAnsi="Arial"/>
          <w:sz w:val="14"/>
          <w:szCs w:val="14"/>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52" w:lineRule="exact"/>
        <w:rPr>
          <w:rFonts w:ascii="Arial" w:cs="Arial" w:eastAsia="Arial" w:hAnsi="Arial"/>
          <w:sz w:val="12"/>
          <w:szCs w:val="12"/>
          <w:color w:val="auto"/>
        </w:rPr>
      </w:pPr>
    </w:p>
    <w:p>
      <w:pPr>
        <w:ind w:left="360" w:right="479" w:firstLine="334"/>
        <w:spacing w:after="0" w:line="247" w:lineRule="auto"/>
        <w:tabs>
          <w:tab w:leader="none" w:pos="995"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Transferability of Awards</w:t>
      </w:r>
      <w:r>
        <w:rPr>
          <w:rFonts w:ascii="Arial" w:cs="Arial" w:eastAsia="Arial" w:hAnsi="Arial"/>
          <w:sz w:val="14"/>
          <w:szCs w:val="14"/>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49" w:lineRule="exact"/>
        <w:rPr>
          <w:rFonts w:ascii="Arial" w:cs="Arial" w:eastAsia="Arial" w:hAnsi="Arial"/>
          <w:sz w:val="14"/>
          <w:szCs w:val="14"/>
          <w:color w:val="auto"/>
        </w:rPr>
      </w:pPr>
    </w:p>
    <w:p>
      <w:pPr>
        <w:ind w:left="1000" w:hanging="306"/>
        <w:spacing w:after="0"/>
        <w:tabs>
          <w:tab w:leader="none" w:pos="1000" w:val="left"/>
        </w:tabs>
        <w:numPr>
          <w:ilvl w:val="0"/>
          <w:numId w:val="109"/>
        </w:numPr>
        <w:rPr>
          <w:rFonts w:ascii="Arial" w:cs="Arial" w:eastAsia="Arial" w:hAnsi="Arial"/>
          <w:sz w:val="14"/>
          <w:szCs w:val="14"/>
          <w:color w:val="auto"/>
        </w:rPr>
      </w:pPr>
      <w:r>
        <w:rPr>
          <w:rFonts w:ascii="Arial" w:cs="Arial" w:eastAsia="Arial" w:hAnsi="Arial"/>
          <w:sz w:val="14"/>
          <w:szCs w:val="14"/>
          <w:u w:val="single" w:color="auto"/>
          <w:color w:val="auto"/>
        </w:rPr>
        <w:t>Adjustments; Dissolution or Liquidation; Merger or Change in Control</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399" w:firstLine="749"/>
        <w:spacing w:after="0" w:line="294" w:lineRule="auto"/>
        <w:tabs>
          <w:tab w:leader="none" w:pos="1391" w:val="left"/>
        </w:tabs>
        <w:numPr>
          <w:ilvl w:val="1"/>
          <w:numId w:val="109"/>
        </w:numPr>
        <w:rPr>
          <w:rFonts w:ascii="Arial" w:cs="Arial" w:eastAsia="Arial" w:hAnsi="Arial"/>
          <w:sz w:val="12"/>
          <w:szCs w:val="12"/>
          <w:color w:val="auto"/>
        </w:rPr>
      </w:pPr>
      <w:r>
        <w:rPr>
          <w:rFonts w:ascii="Arial" w:cs="Arial" w:eastAsia="Arial" w:hAnsi="Arial"/>
          <w:sz w:val="12"/>
          <w:szCs w:val="12"/>
          <w:u w:val="single" w:color="auto"/>
          <w:color w:val="auto"/>
        </w:rPr>
        <w:t>Adjustments</w:t>
      </w:r>
      <w:r>
        <w:rPr>
          <w:rFonts w:ascii="Arial" w:cs="Arial" w:eastAsia="Arial" w:hAnsi="Arial"/>
          <w:sz w:val="12"/>
          <w:szCs w:val="12"/>
          <w:color w:val="auto"/>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22" w:lineRule="exact"/>
        <w:rPr>
          <w:rFonts w:ascii="Arial" w:cs="Arial" w:eastAsia="Arial" w:hAnsi="Arial"/>
          <w:sz w:val="12"/>
          <w:szCs w:val="12"/>
          <w:color w:val="auto"/>
        </w:rPr>
      </w:pPr>
    </w:p>
    <w:p>
      <w:pPr>
        <w:ind w:left="360" w:right="419" w:firstLine="749"/>
        <w:spacing w:after="0" w:line="259" w:lineRule="auto"/>
        <w:tabs>
          <w:tab w:leader="none" w:pos="1398" w:val="left"/>
        </w:tabs>
        <w:numPr>
          <w:ilvl w:val="1"/>
          <w:numId w:val="109"/>
        </w:numPr>
        <w:rPr>
          <w:rFonts w:ascii="Arial" w:cs="Arial" w:eastAsia="Arial" w:hAnsi="Arial"/>
          <w:sz w:val="14"/>
          <w:szCs w:val="14"/>
          <w:color w:val="auto"/>
        </w:rPr>
      </w:pPr>
      <w:r>
        <w:rPr>
          <w:rFonts w:ascii="Arial" w:cs="Arial" w:eastAsia="Arial" w:hAnsi="Arial"/>
          <w:sz w:val="14"/>
          <w:szCs w:val="14"/>
          <w:u w:val="single" w:color="auto"/>
          <w:color w:val="auto"/>
        </w:rPr>
        <w:t>Dissolution or Liquidation</w:t>
      </w:r>
      <w:r>
        <w:rPr>
          <w:rFonts w:ascii="Arial" w:cs="Arial" w:eastAsia="Arial" w:hAnsi="Arial"/>
          <w:sz w:val="14"/>
          <w:szCs w:val="14"/>
          <w:color w:val="auto"/>
        </w:rPr>
        <w:t>. In the event of the proposed dissolution or liquidation of the Company, the Administrator will notify each Participant as soon as practicable prior to the effective date of such</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88" w:name="page89"/>
    <w:bookmarkEnd w:id="88"/>
    <w:p>
      <w:pPr>
        <w:ind w:left="360" w:right="81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proposed transaction. To the extent it has not been previously exercised, an Award will terminate immediately prior to the consummation of such proposed action.</w:t>
      </w:r>
    </w:p>
    <w:p>
      <w:pPr>
        <w:spacing w:after="0" w:line="140" w:lineRule="exact"/>
        <w:rPr>
          <w:sz w:val="20"/>
          <w:szCs w:val="20"/>
          <w:color w:val="auto"/>
        </w:rPr>
      </w:pPr>
    </w:p>
    <w:p>
      <w:pPr>
        <w:ind w:left="360" w:right="439" w:firstLine="749"/>
        <w:spacing w:after="0" w:line="285" w:lineRule="auto"/>
        <w:tabs>
          <w:tab w:leader="none" w:pos="1391" w:val="left"/>
        </w:tabs>
        <w:numPr>
          <w:ilvl w:val="1"/>
          <w:numId w:val="110"/>
        </w:numPr>
        <w:rPr>
          <w:rFonts w:ascii="Arial" w:cs="Arial" w:eastAsia="Arial" w:hAnsi="Arial"/>
          <w:sz w:val="12"/>
          <w:szCs w:val="12"/>
          <w:color w:val="auto"/>
        </w:rPr>
      </w:pPr>
      <w:r>
        <w:rPr>
          <w:rFonts w:ascii="Arial" w:cs="Arial" w:eastAsia="Arial" w:hAnsi="Arial"/>
          <w:sz w:val="12"/>
          <w:szCs w:val="12"/>
          <w:u w:val="single" w:color="auto"/>
          <w:color w:val="auto"/>
        </w:rPr>
        <w:t>Change in Control</w:t>
      </w:r>
      <w:r>
        <w:rPr>
          <w:rFonts w:ascii="Arial" w:cs="Arial" w:eastAsia="Arial" w:hAnsi="Arial"/>
          <w:sz w:val="12"/>
          <w:szCs w:val="12"/>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2" w:lineRule="exact"/>
        <w:rPr>
          <w:rFonts w:ascii="Arial" w:cs="Arial" w:eastAsia="Arial" w:hAnsi="Arial"/>
          <w:sz w:val="12"/>
          <w:szCs w:val="12"/>
          <w:color w:val="auto"/>
        </w:rPr>
      </w:pPr>
    </w:p>
    <w:p>
      <w:pPr>
        <w:ind w:left="360" w:right="419" w:firstLine="3"/>
        <w:spacing w:after="0" w:line="287" w:lineRule="auto"/>
        <w:tabs>
          <w:tab w:leader="none" w:pos="597" w:val="left"/>
        </w:tabs>
        <w:numPr>
          <w:ilvl w:val="0"/>
          <w:numId w:val="111"/>
        </w:numPr>
        <w:rPr>
          <w:rFonts w:ascii="Arial" w:cs="Arial" w:eastAsia="Arial" w:hAnsi="Arial"/>
          <w:sz w:val="12"/>
          <w:szCs w:val="12"/>
          <w:color w:val="auto"/>
        </w:rPr>
      </w:pPr>
      <w:r>
        <w:rPr>
          <w:rFonts w:ascii="Arial" w:cs="Arial" w:eastAsia="Arial" w:hAnsi="Arial"/>
          <w:sz w:val="12"/>
          <w:szCs w:val="12"/>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14(c), the Administrator will not be required to treat all Awards or Participants, all Awards held by a Participant, or all Awards of the same type, similarly in the transaction.</w:t>
      </w:r>
    </w:p>
    <w:p>
      <w:pPr>
        <w:spacing w:after="0" w:line="129" w:lineRule="exact"/>
        <w:rPr>
          <w:sz w:val="20"/>
          <w:szCs w:val="20"/>
          <w:color w:val="auto"/>
        </w:rPr>
      </w:pPr>
    </w:p>
    <w:p>
      <w:pPr>
        <w:ind w:left="360" w:right="419" w:firstLine="745"/>
        <w:spacing w:after="0" w:line="289" w:lineRule="auto"/>
        <w:rPr>
          <w:sz w:val="20"/>
          <w:szCs w:val="20"/>
          <w:color w:val="auto"/>
        </w:rPr>
      </w:pPr>
      <w:r>
        <w:rPr>
          <w:rFonts w:ascii="Arial" w:cs="Arial" w:eastAsia="Arial" w:hAnsi="Arial"/>
          <w:sz w:val="12"/>
          <w:szCs w:val="12"/>
          <w:color w:val="auto"/>
        </w:rPr>
        <w:t>In the event that the successor corporation does not assume or substitute for the Award (or portion thereof), the Participant will fully vest in and have the right to exercise such outstanding Option and Stock Appreciation Right not so assumed or substituted for, including Shares as to which such Award would not otherwise be vested or exercisable, all restrictions on such Restricted Stock and Restricted Stock Units not so assumed or substituted for will lapse, and, with respect to such Awards 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such Option or Stock Appreciation Right not so assumed or substituted for will be exercisable for a period of time determined by the Administrator in its sole discretion, and the Option or Stock Appreciation Right will terminate upon the expiration of such period.</w:t>
      </w:r>
    </w:p>
    <w:p>
      <w:pPr>
        <w:spacing w:after="0" w:line="291" w:lineRule="exact"/>
        <w:rPr>
          <w:sz w:val="20"/>
          <w:szCs w:val="20"/>
          <w:color w:val="auto"/>
        </w:rPr>
      </w:pPr>
    </w:p>
    <w:p>
      <w:pPr>
        <w:ind w:left="360" w:right="439" w:firstLine="745"/>
        <w:spacing w:after="0" w:line="289" w:lineRule="auto"/>
        <w:rPr>
          <w:sz w:val="20"/>
          <w:szCs w:val="20"/>
          <w:color w:val="auto"/>
        </w:rPr>
      </w:pPr>
      <w:r>
        <w:rPr>
          <w:rFonts w:ascii="Arial" w:cs="Arial" w:eastAsia="Arial" w:hAnsi="Arial"/>
          <w:sz w:val="12"/>
          <w:szCs w:val="12"/>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28" w:lineRule="exact"/>
        <w:rPr>
          <w:sz w:val="20"/>
          <w:szCs w:val="20"/>
          <w:color w:val="auto"/>
        </w:rPr>
      </w:pPr>
    </w:p>
    <w:p>
      <w:pPr>
        <w:ind w:left="360" w:right="699" w:firstLine="745"/>
        <w:spacing w:after="0" w:line="259" w:lineRule="auto"/>
        <w:rPr>
          <w:sz w:val="20"/>
          <w:szCs w:val="20"/>
          <w:color w:val="auto"/>
        </w:rPr>
      </w:pPr>
      <w:r>
        <w:rPr>
          <w:rFonts w:ascii="Arial" w:cs="Arial" w:eastAsia="Arial" w:hAnsi="Arial"/>
          <w:sz w:val="14"/>
          <w:szCs w:val="14"/>
          <w:color w:val="auto"/>
        </w:rPr>
        <w:t>Notwithstanding anything in this Section 14(c) to the contrary, and unless otherwise provided in an Award Agreement, an Award that vests, is earned or paid-out upon the satisfaction of one or more performance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40" w:right="1440" w:bottom="1440" w:gutter="0" w:footer="0" w:header="0"/>
        </w:sectPr>
      </w:pPr>
    </w:p>
    <w:bookmarkStart w:id="89" w:name="page90"/>
    <w:bookmarkEnd w:id="89"/>
    <w:p>
      <w:pPr>
        <w:ind w:left="360" w:right="43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46" w:lineRule="exact"/>
        <w:rPr>
          <w:sz w:val="20"/>
          <w:szCs w:val="20"/>
          <w:color w:val="auto"/>
        </w:rPr>
      </w:pPr>
    </w:p>
    <w:p>
      <w:pPr>
        <w:jc w:val="both"/>
        <w:ind w:left="360" w:right="479" w:firstLine="745"/>
        <w:spacing w:after="0" w:line="302" w:lineRule="auto"/>
        <w:rPr>
          <w:sz w:val="20"/>
          <w:szCs w:val="20"/>
          <w:color w:val="auto"/>
        </w:rPr>
      </w:pPr>
      <w:r>
        <w:rPr>
          <w:rFonts w:ascii="Arial" w:cs="Arial" w:eastAsia="Arial" w:hAnsi="Arial"/>
          <w:sz w:val="12"/>
          <w:szCs w:val="12"/>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17" w:lineRule="exact"/>
        <w:rPr>
          <w:sz w:val="20"/>
          <w:szCs w:val="20"/>
          <w:color w:val="auto"/>
        </w:rPr>
      </w:pPr>
    </w:p>
    <w:p>
      <w:pPr>
        <w:ind w:left="360" w:right="439" w:firstLine="749"/>
        <w:spacing w:after="0" w:line="294" w:lineRule="auto"/>
        <w:tabs>
          <w:tab w:leader="none" w:pos="1398" w:val="left"/>
        </w:tabs>
        <w:numPr>
          <w:ilvl w:val="1"/>
          <w:numId w:val="112"/>
        </w:numPr>
        <w:rPr>
          <w:rFonts w:ascii="Arial" w:cs="Arial" w:eastAsia="Arial" w:hAnsi="Arial"/>
          <w:sz w:val="12"/>
          <w:szCs w:val="12"/>
          <w:color w:val="auto"/>
        </w:rPr>
      </w:pPr>
      <w:r>
        <w:rPr>
          <w:rFonts w:ascii="Arial" w:cs="Arial" w:eastAsia="Arial" w:hAnsi="Arial"/>
          <w:sz w:val="12"/>
          <w:szCs w:val="12"/>
          <w:u w:val="single" w:color="auto"/>
          <w:color w:val="auto"/>
        </w:rPr>
        <w:t>Outside Director Awards</w:t>
      </w:r>
      <w:r>
        <w:rPr>
          <w:rFonts w:ascii="Arial" w:cs="Arial" w:eastAsia="Arial" w:hAnsi="Arial"/>
          <w:sz w:val="12"/>
          <w:szCs w:val="12"/>
          <w:color w:val="auto"/>
        </w:rPr>
        <w:t>. In the event of a Change in Control, with respect to Awards granted to an Outside Director,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22" w:lineRule="exact"/>
        <w:rPr>
          <w:rFonts w:ascii="Arial" w:cs="Arial" w:eastAsia="Arial" w:hAnsi="Arial"/>
          <w:sz w:val="12"/>
          <w:szCs w:val="12"/>
          <w:color w:val="auto"/>
        </w:rPr>
      </w:pPr>
    </w:p>
    <w:p>
      <w:pPr>
        <w:ind w:left="1000" w:hanging="306"/>
        <w:spacing w:after="0"/>
        <w:tabs>
          <w:tab w:leader="none" w:pos="1000" w:val="left"/>
        </w:tabs>
        <w:numPr>
          <w:ilvl w:val="0"/>
          <w:numId w:val="113"/>
        </w:numPr>
        <w:rPr>
          <w:rFonts w:ascii="Arial" w:cs="Arial" w:eastAsia="Arial" w:hAnsi="Arial"/>
          <w:sz w:val="14"/>
          <w:szCs w:val="14"/>
          <w:color w:val="auto"/>
        </w:rPr>
      </w:pPr>
      <w:r>
        <w:rPr>
          <w:rFonts w:ascii="Arial" w:cs="Arial" w:eastAsia="Arial" w:hAnsi="Arial"/>
          <w:sz w:val="14"/>
          <w:szCs w:val="14"/>
          <w:u w:val="single" w:color="auto"/>
          <w:color w:val="auto"/>
        </w:rPr>
        <w:t>Tax</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jc w:val="both"/>
        <w:ind w:left="360" w:right="419" w:firstLine="749"/>
        <w:spacing w:after="0" w:line="302" w:lineRule="auto"/>
        <w:tabs>
          <w:tab w:leader="none" w:pos="1391" w:val="left"/>
        </w:tabs>
        <w:numPr>
          <w:ilvl w:val="1"/>
          <w:numId w:val="113"/>
        </w:numPr>
        <w:rPr>
          <w:rFonts w:ascii="Arial" w:cs="Arial" w:eastAsia="Arial" w:hAnsi="Arial"/>
          <w:sz w:val="12"/>
          <w:szCs w:val="12"/>
          <w:color w:val="auto"/>
        </w:rPr>
      </w:pPr>
      <w:r>
        <w:rPr>
          <w:rFonts w:ascii="Arial" w:cs="Arial" w:eastAsia="Arial" w:hAnsi="Arial"/>
          <w:sz w:val="12"/>
          <w:szCs w:val="12"/>
          <w:u w:val="single" w:color="auto"/>
          <w:color w:val="auto"/>
        </w:rPr>
        <w:t>Withholding Requirements</w:t>
      </w:r>
      <w:r>
        <w:rPr>
          <w:rFonts w:ascii="Arial" w:cs="Arial" w:eastAsia="Arial" w:hAnsi="Arial"/>
          <w:sz w:val="12"/>
          <w:szCs w:val="12"/>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spacing w:after="0" w:line="117" w:lineRule="exact"/>
        <w:rPr>
          <w:rFonts w:ascii="Arial" w:cs="Arial" w:eastAsia="Arial" w:hAnsi="Arial"/>
          <w:sz w:val="12"/>
          <w:szCs w:val="12"/>
          <w:color w:val="auto"/>
        </w:rPr>
      </w:pPr>
    </w:p>
    <w:p>
      <w:pPr>
        <w:ind w:left="360" w:right="439" w:firstLine="749"/>
        <w:spacing w:after="0" w:line="289" w:lineRule="auto"/>
        <w:tabs>
          <w:tab w:leader="none" w:pos="1398" w:val="left"/>
        </w:tabs>
        <w:numPr>
          <w:ilvl w:val="1"/>
          <w:numId w:val="113"/>
        </w:numPr>
        <w:rPr>
          <w:rFonts w:ascii="Arial" w:cs="Arial" w:eastAsia="Arial" w:hAnsi="Arial"/>
          <w:sz w:val="12"/>
          <w:szCs w:val="12"/>
          <w:color w:val="auto"/>
        </w:rPr>
      </w:pPr>
      <w:r>
        <w:rPr>
          <w:rFonts w:ascii="Arial" w:cs="Arial" w:eastAsia="Arial" w:hAnsi="Arial"/>
          <w:sz w:val="12"/>
          <w:szCs w:val="12"/>
          <w:u w:val="single" w:color="auto"/>
          <w:color w:val="auto"/>
        </w:rPr>
        <w:t>Withholding Arrangements</w:t>
      </w:r>
      <w:r>
        <w:rPr>
          <w:rFonts w:ascii="Arial" w:cs="Arial" w:eastAsia="Arial" w:hAnsi="Arial"/>
          <w:sz w:val="12"/>
          <w:szCs w:val="12"/>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any combination of the foregoing methods of payment. The fair market value of the Shares to be withheld or delivered will be determined as of the date that the taxes are required to be withheld.</w:t>
      </w:r>
    </w:p>
    <w:p>
      <w:pPr>
        <w:spacing w:after="0" w:line="124" w:lineRule="exact"/>
        <w:rPr>
          <w:rFonts w:ascii="Arial" w:cs="Arial" w:eastAsia="Arial" w:hAnsi="Arial"/>
          <w:sz w:val="12"/>
          <w:szCs w:val="12"/>
          <w:color w:val="auto"/>
        </w:rPr>
      </w:pPr>
    </w:p>
    <w:p>
      <w:pPr>
        <w:ind w:left="360" w:right="399" w:firstLine="749"/>
        <w:spacing w:after="0" w:line="245" w:lineRule="auto"/>
        <w:tabs>
          <w:tab w:leader="none" w:pos="1391" w:val="left"/>
        </w:tabs>
        <w:numPr>
          <w:ilvl w:val="1"/>
          <w:numId w:val="113"/>
        </w:numPr>
        <w:rPr>
          <w:rFonts w:ascii="Arial" w:cs="Arial" w:eastAsia="Arial" w:hAnsi="Arial"/>
          <w:sz w:val="14"/>
          <w:szCs w:val="14"/>
          <w:color w:val="auto"/>
        </w:rPr>
      </w:pPr>
      <w:r>
        <w:rPr>
          <w:rFonts w:ascii="Arial" w:cs="Arial" w:eastAsia="Arial" w:hAnsi="Arial"/>
          <w:sz w:val="14"/>
          <w:szCs w:val="14"/>
          <w:u w:val="single" w:color="auto"/>
          <w:color w:val="auto"/>
        </w:rPr>
        <w:t>Compliance With Section 409A</w:t>
      </w:r>
      <w:r>
        <w:rPr>
          <w:rFonts w:ascii="Arial" w:cs="Arial" w:eastAsia="Arial" w:hAnsi="Arial"/>
          <w:sz w:val="14"/>
          <w:szCs w:val="14"/>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0" w:right="1440" w:bottom="1440" w:gutter="0" w:footer="0" w:header="0"/>
        </w:sectPr>
      </w:pPr>
    </w:p>
    <w:bookmarkStart w:id="90" w:name="page91"/>
    <w:bookmarkEnd w:id="90"/>
    <w:p>
      <w:pPr>
        <w:ind w:left="360" w:right="399"/>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obligation under the terms of this Plan to reimburse, indemnify, or hold harmless a Participant for any taxes, interest or penalties imposed, or other costs incurred, as a result of Section 409A.</w:t>
      </w:r>
    </w:p>
    <w:p>
      <w:pPr>
        <w:spacing w:after="0" w:line="149" w:lineRule="exact"/>
        <w:rPr>
          <w:sz w:val="20"/>
          <w:szCs w:val="20"/>
          <w:color w:val="auto"/>
        </w:rPr>
      </w:pPr>
    </w:p>
    <w:p>
      <w:pPr>
        <w:jc w:val="both"/>
        <w:ind w:left="360" w:right="419" w:firstLine="334"/>
        <w:spacing w:after="0" w:line="312" w:lineRule="auto"/>
        <w:tabs>
          <w:tab w:leader="none" w:pos="995" w:val="left"/>
        </w:tabs>
        <w:numPr>
          <w:ilvl w:val="1"/>
          <w:numId w:val="114"/>
        </w:numPr>
        <w:rPr>
          <w:rFonts w:ascii="Arial" w:cs="Arial" w:eastAsia="Arial" w:hAnsi="Arial"/>
          <w:sz w:val="12"/>
          <w:szCs w:val="12"/>
          <w:color w:val="auto"/>
        </w:rPr>
      </w:pPr>
      <w:r>
        <w:rPr>
          <w:rFonts w:ascii="Arial" w:cs="Arial" w:eastAsia="Arial" w:hAnsi="Arial"/>
          <w:sz w:val="12"/>
          <w:szCs w:val="12"/>
          <w:u w:val="single" w:color="auto"/>
          <w:color w:val="auto"/>
        </w:rPr>
        <w:t>No Effect on Employment or Service</w:t>
      </w:r>
      <w:r>
        <w:rPr>
          <w:rFonts w:ascii="Arial" w:cs="Arial" w:eastAsia="Arial" w:hAnsi="Arial"/>
          <w:sz w:val="12"/>
          <w:szCs w:val="12"/>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11" w:lineRule="exact"/>
        <w:rPr>
          <w:rFonts w:ascii="Arial" w:cs="Arial" w:eastAsia="Arial" w:hAnsi="Arial"/>
          <w:sz w:val="12"/>
          <w:szCs w:val="12"/>
          <w:color w:val="auto"/>
        </w:rPr>
      </w:pPr>
    </w:p>
    <w:p>
      <w:pPr>
        <w:ind w:left="360" w:right="399" w:firstLine="334"/>
        <w:spacing w:after="0" w:line="250" w:lineRule="auto"/>
        <w:tabs>
          <w:tab w:leader="none" w:pos="995"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Date of Grant</w:t>
      </w:r>
      <w:r>
        <w:rPr>
          <w:rFonts w:ascii="Arial" w:cs="Arial" w:eastAsia="Arial" w:hAnsi="Arial"/>
          <w:sz w:val="14"/>
          <w:szCs w:val="14"/>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46" w:lineRule="exact"/>
        <w:rPr>
          <w:rFonts w:ascii="Arial" w:cs="Arial" w:eastAsia="Arial" w:hAnsi="Arial"/>
          <w:sz w:val="14"/>
          <w:szCs w:val="14"/>
          <w:color w:val="auto"/>
        </w:rPr>
      </w:pPr>
    </w:p>
    <w:p>
      <w:pPr>
        <w:ind w:left="1000" w:hanging="306"/>
        <w:spacing w:after="0"/>
        <w:tabs>
          <w:tab w:leader="none" w:pos="1000" w:val="left"/>
        </w:tabs>
        <w:numPr>
          <w:ilvl w:val="1"/>
          <w:numId w:val="114"/>
        </w:numPr>
        <w:rPr>
          <w:rFonts w:ascii="Arial" w:cs="Arial" w:eastAsia="Arial" w:hAnsi="Arial"/>
          <w:sz w:val="12"/>
          <w:szCs w:val="12"/>
          <w:color w:val="auto"/>
        </w:rPr>
      </w:pPr>
      <w:r>
        <w:rPr>
          <w:rFonts w:ascii="Arial" w:cs="Arial" w:eastAsia="Arial" w:hAnsi="Arial"/>
          <w:sz w:val="12"/>
          <w:szCs w:val="12"/>
          <w:u w:val="single" w:color="auto"/>
          <w:color w:val="auto"/>
        </w:rPr>
        <w:t>Term of Plan</w:t>
      </w:r>
      <w:r>
        <w:rPr>
          <w:rFonts w:ascii="Arial" w:cs="Arial" w:eastAsia="Arial" w:hAnsi="Arial"/>
          <w:sz w:val="12"/>
          <w:szCs w:val="12"/>
          <w:color w:val="auto"/>
        </w:rPr>
        <w:t>. Subject to Section 23 of the Plan, the Plan will become effective upon the later to occur of (i) its adoption by the Board,</w:t>
      </w:r>
    </w:p>
    <w:p>
      <w:pPr>
        <w:spacing w:after="0" w:line="34" w:lineRule="exact"/>
        <w:rPr>
          <w:rFonts w:ascii="Arial" w:cs="Arial" w:eastAsia="Arial" w:hAnsi="Arial"/>
          <w:sz w:val="12"/>
          <w:szCs w:val="12"/>
          <w:color w:val="auto"/>
        </w:rPr>
      </w:pPr>
    </w:p>
    <w:p>
      <w:pPr>
        <w:jc w:val="both"/>
        <w:ind w:left="360" w:right="379" w:firstLine="3"/>
        <w:spacing w:after="0" w:line="243" w:lineRule="auto"/>
        <w:tabs>
          <w:tab w:leader="none" w:pos="55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approval by the Company’s stockholders or (iii) the Effective Date. It will continue in effect until terminated earlier under Section 19 of the Plan, but no Incentive Stock Options may be granted after 10 years from the date the Plan is adopted by the Board and Section 3(b) will operate only until the 10</w:t>
      </w:r>
      <w:r>
        <w:rPr>
          <w:rFonts w:ascii="Arial" w:cs="Arial" w:eastAsia="Arial" w:hAnsi="Arial"/>
          <w:sz w:val="11"/>
          <w:szCs w:val="11"/>
          <w:color w:val="auto"/>
        </w:rPr>
        <w:t>th</w:t>
      </w:r>
      <w:r>
        <w:rPr>
          <w:rFonts w:ascii="Arial" w:cs="Arial" w:eastAsia="Arial" w:hAnsi="Arial"/>
          <w:sz w:val="14"/>
          <w:szCs w:val="14"/>
          <w:color w:val="auto"/>
        </w:rPr>
        <w:t xml:space="preserve"> anniversary of the date the Plan is adopted by the Board.</w:t>
      </w:r>
    </w:p>
    <w:p>
      <w:pPr>
        <w:spacing w:after="0" w:line="150" w:lineRule="exact"/>
        <w:rPr>
          <w:rFonts w:ascii="Arial" w:cs="Arial" w:eastAsia="Arial" w:hAnsi="Arial"/>
          <w:sz w:val="14"/>
          <w:szCs w:val="14"/>
          <w:color w:val="auto"/>
        </w:rPr>
      </w:pPr>
    </w:p>
    <w:p>
      <w:pPr>
        <w:ind w:left="1000" w:hanging="306"/>
        <w:spacing w:after="0"/>
        <w:tabs>
          <w:tab w:leader="none" w:pos="1000" w:val="left"/>
        </w:tabs>
        <w:numPr>
          <w:ilvl w:val="1"/>
          <w:numId w:val="115"/>
        </w:numPr>
        <w:rPr>
          <w:rFonts w:ascii="Arial" w:cs="Arial" w:eastAsia="Arial" w:hAnsi="Arial"/>
          <w:sz w:val="14"/>
          <w:szCs w:val="14"/>
          <w:color w:val="auto"/>
        </w:rPr>
      </w:pPr>
      <w:r>
        <w:rPr>
          <w:rFonts w:ascii="Arial" w:cs="Arial" w:eastAsia="Arial" w:hAnsi="Arial"/>
          <w:sz w:val="14"/>
          <w:szCs w:val="14"/>
          <w:u w:val="single" w:color="auto"/>
          <w:color w:val="auto"/>
        </w:rPr>
        <w:t>Amendment and Termination of the Plan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2"/>
          <w:numId w:val="115"/>
        </w:numPr>
        <w:rPr>
          <w:rFonts w:ascii="Arial" w:cs="Arial" w:eastAsia="Arial" w:hAnsi="Arial"/>
          <w:sz w:val="14"/>
          <w:szCs w:val="14"/>
          <w:color w:val="auto"/>
        </w:rPr>
      </w:pPr>
      <w:r>
        <w:rPr>
          <w:rFonts w:ascii="Arial" w:cs="Arial" w:eastAsia="Arial" w:hAnsi="Arial"/>
          <w:sz w:val="14"/>
          <w:szCs w:val="14"/>
          <w:u w:val="single" w:color="auto"/>
          <w:color w:val="auto"/>
        </w:rPr>
        <w:t>Amendment and Termination</w:t>
      </w:r>
      <w:r>
        <w:rPr>
          <w:rFonts w:ascii="Arial" w:cs="Arial" w:eastAsia="Arial" w:hAnsi="Arial"/>
          <w:sz w:val="14"/>
          <w:szCs w:val="14"/>
          <w:color w:val="auto"/>
        </w:rPr>
        <w:t>. The Administrator may at any time amend, alter, suspend or terminate the Plan.</w:t>
      </w:r>
    </w:p>
    <w:p>
      <w:pPr>
        <w:spacing w:after="0" w:line="163" w:lineRule="exact"/>
        <w:rPr>
          <w:rFonts w:ascii="Arial" w:cs="Arial" w:eastAsia="Arial" w:hAnsi="Arial"/>
          <w:sz w:val="14"/>
          <w:szCs w:val="14"/>
          <w:color w:val="auto"/>
        </w:rPr>
      </w:pPr>
    </w:p>
    <w:p>
      <w:pPr>
        <w:ind w:left="360" w:right="459" w:firstLine="749"/>
        <w:spacing w:after="0" w:line="259" w:lineRule="auto"/>
        <w:tabs>
          <w:tab w:leader="none" w:pos="1398" w:val="left"/>
        </w:tabs>
        <w:numPr>
          <w:ilvl w:val="2"/>
          <w:numId w:val="115"/>
        </w:numPr>
        <w:rPr>
          <w:rFonts w:ascii="Arial" w:cs="Arial" w:eastAsia="Arial" w:hAnsi="Arial"/>
          <w:sz w:val="14"/>
          <w:szCs w:val="14"/>
          <w:color w:val="auto"/>
        </w:rPr>
      </w:pPr>
      <w:r>
        <w:rPr>
          <w:rFonts w:ascii="Arial" w:cs="Arial" w:eastAsia="Arial" w:hAnsi="Arial"/>
          <w:sz w:val="14"/>
          <w:szCs w:val="14"/>
          <w:u w:val="single" w:color="auto"/>
          <w:color w:val="auto"/>
        </w:rPr>
        <w:t>Stockholder Approval</w:t>
      </w:r>
      <w:r>
        <w:rPr>
          <w:rFonts w:ascii="Arial" w:cs="Arial" w:eastAsia="Arial" w:hAnsi="Arial"/>
          <w:sz w:val="14"/>
          <w:szCs w:val="14"/>
          <w:color w:val="auto"/>
        </w:rPr>
        <w:t>. The Company will obtain stockholder approval of any Plan amendment to the extent necessary and desirable to comply with Applicable Laws.</w:t>
      </w:r>
    </w:p>
    <w:p>
      <w:pPr>
        <w:spacing w:after="0" w:line="139" w:lineRule="exact"/>
        <w:rPr>
          <w:rFonts w:ascii="Arial" w:cs="Arial" w:eastAsia="Arial" w:hAnsi="Arial"/>
          <w:sz w:val="14"/>
          <w:szCs w:val="14"/>
          <w:color w:val="auto"/>
        </w:rPr>
      </w:pPr>
    </w:p>
    <w:p>
      <w:pPr>
        <w:ind w:left="360" w:right="639" w:firstLine="749"/>
        <w:spacing w:after="0" w:line="302" w:lineRule="auto"/>
        <w:tabs>
          <w:tab w:leader="none" w:pos="1391" w:val="left"/>
        </w:tabs>
        <w:numPr>
          <w:ilvl w:val="2"/>
          <w:numId w:val="115"/>
        </w:numPr>
        <w:rPr>
          <w:rFonts w:ascii="Arial" w:cs="Arial" w:eastAsia="Arial" w:hAnsi="Arial"/>
          <w:sz w:val="12"/>
          <w:szCs w:val="12"/>
          <w:color w:val="auto"/>
        </w:rPr>
      </w:pPr>
      <w:r>
        <w:rPr>
          <w:rFonts w:ascii="Arial" w:cs="Arial" w:eastAsia="Arial" w:hAnsi="Arial"/>
          <w:sz w:val="12"/>
          <w:szCs w:val="12"/>
          <w:u w:val="single" w:color="auto"/>
          <w:color w:val="auto"/>
        </w:rPr>
        <w:t>Effect of Amendment or Termination</w:t>
      </w:r>
      <w:r>
        <w:rPr>
          <w:rFonts w:ascii="Arial" w:cs="Arial" w:eastAsia="Arial" w:hAnsi="Arial"/>
          <w:sz w:val="12"/>
          <w:szCs w:val="12"/>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7" w:lineRule="exact"/>
        <w:rPr>
          <w:rFonts w:ascii="Arial" w:cs="Arial" w:eastAsia="Arial" w:hAnsi="Arial"/>
          <w:sz w:val="12"/>
          <w:szCs w:val="12"/>
          <w:color w:val="auto"/>
        </w:rPr>
      </w:pPr>
    </w:p>
    <w:p>
      <w:pPr>
        <w:ind w:left="1000" w:hanging="306"/>
        <w:spacing w:after="0"/>
        <w:tabs>
          <w:tab w:leader="none" w:pos="1000" w:val="left"/>
        </w:tabs>
        <w:numPr>
          <w:ilvl w:val="1"/>
          <w:numId w:val="115"/>
        </w:numPr>
        <w:rPr>
          <w:rFonts w:ascii="Arial" w:cs="Arial" w:eastAsia="Arial" w:hAnsi="Arial"/>
          <w:sz w:val="14"/>
          <w:szCs w:val="14"/>
          <w:color w:val="auto"/>
        </w:rPr>
      </w:pPr>
      <w:r>
        <w:rPr>
          <w:rFonts w:ascii="Arial" w:cs="Arial" w:eastAsia="Arial" w:hAnsi="Arial"/>
          <w:sz w:val="14"/>
          <w:szCs w:val="14"/>
          <w:u w:val="single" w:color="auto"/>
          <w:color w:val="auto"/>
        </w:rPr>
        <w:t>Conditions Upon Issuance of Shares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39" w:firstLine="749"/>
        <w:spacing w:after="0" w:line="250" w:lineRule="auto"/>
        <w:tabs>
          <w:tab w:leader="none" w:pos="1391" w:val="left"/>
        </w:tabs>
        <w:numPr>
          <w:ilvl w:val="2"/>
          <w:numId w:val="115"/>
        </w:numPr>
        <w:rPr>
          <w:rFonts w:ascii="Arial" w:cs="Arial" w:eastAsia="Arial" w:hAnsi="Arial"/>
          <w:sz w:val="14"/>
          <w:szCs w:val="14"/>
          <w:color w:val="auto"/>
        </w:rPr>
      </w:pPr>
      <w:r>
        <w:rPr>
          <w:rFonts w:ascii="Arial" w:cs="Arial" w:eastAsia="Arial" w:hAnsi="Arial"/>
          <w:sz w:val="14"/>
          <w:szCs w:val="14"/>
          <w:u w:val="single" w:color="auto"/>
          <w:color w:val="auto"/>
        </w:rPr>
        <w:t>Legal Compliance</w:t>
      </w:r>
      <w:r>
        <w:rPr>
          <w:rFonts w:ascii="Arial" w:cs="Arial" w:eastAsia="Arial" w:hAnsi="Arial"/>
          <w:sz w:val="14"/>
          <w:szCs w:val="14"/>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46" w:lineRule="exact"/>
        <w:rPr>
          <w:rFonts w:ascii="Arial" w:cs="Arial" w:eastAsia="Arial" w:hAnsi="Arial"/>
          <w:sz w:val="14"/>
          <w:szCs w:val="14"/>
          <w:color w:val="auto"/>
        </w:rPr>
      </w:pPr>
    </w:p>
    <w:p>
      <w:pPr>
        <w:ind w:left="360" w:right="459" w:firstLine="749"/>
        <w:spacing w:after="0" w:line="312" w:lineRule="auto"/>
        <w:tabs>
          <w:tab w:leader="none" w:pos="1398" w:val="left"/>
        </w:tabs>
        <w:numPr>
          <w:ilvl w:val="2"/>
          <w:numId w:val="115"/>
        </w:numPr>
        <w:rPr>
          <w:rFonts w:ascii="Arial" w:cs="Arial" w:eastAsia="Arial" w:hAnsi="Arial"/>
          <w:sz w:val="12"/>
          <w:szCs w:val="12"/>
          <w:color w:val="auto"/>
        </w:rPr>
      </w:pPr>
      <w:r>
        <w:rPr>
          <w:rFonts w:ascii="Arial" w:cs="Arial" w:eastAsia="Arial" w:hAnsi="Arial"/>
          <w:sz w:val="12"/>
          <w:szCs w:val="12"/>
          <w:u w:val="single" w:color="auto"/>
          <w:color w:val="auto"/>
        </w:rPr>
        <w:t>Investment Representations</w:t>
      </w:r>
      <w:r>
        <w:rPr>
          <w:rFonts w:ascii="Arial" w:cs="Arial" w:eastAsia="Arial" w:hAnsi="Arial"/>
          <w:sz w:val="12"/>
          <w:szCs w:val="12"/>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11" w:lineRule="exact"/>
        <w:rPr>
          <w:rFonts w:ascii="Arial" w:cs="Arial" w:eastAsia="Arial" w:hAnsi="Arial"/>
          <w:sz w:val="12"/>
          <w:szCs w:val="12"/>
          <w:color w:val="auto"/>
        </w:rPr>
      </w:pPr>
    </w:p>
    <w:p>
      <w:pPr>
        <w:ind w:left="360" w:right="399" w:firstLine="334"/>
        <w:spacing w:after="0" w:line="302" w:lineRule="auto"/>
        <w:tabs>
          <w:tab w:leader="none" w:pos="995" w:val="left"/>
        </w:tabs>
        <w:numPr>
          <w:ilvl w:val="1"/>
          <w:numId w:val="115"/>
        </w:numPr>
        <w:rPr>
          <w:rFonts w:ascii="Arial" w:cs="Arial" w:eastAsia="Arial" w:hAnsi="Arial"/>
          <w:sz w:val="12"/>
          <w:szCs w:val="12"/>
          <w:color w:val="auto"/>
        </w:rPr>
      </w:pPr>
      <w:r>
        <w:rPr>
          <w:rFonts w:ascii="Arial" w:cs="Arial" w:eastAsia="Arial" w:hAnsi="Arial"/>
          <w:sz w:val="12"/>
          <w:szCs w:val="12"/>
          <w:u w:val="single" w:color="auto"/>
          <w:color w:val="auto"/>
        </w:rPr>
        <w:t>Inability to Obtain Authority</w:t>
      </w:r>
      <w:r>
        <w:rPr>
          <w:rFonts w:ascii="Arial" w:cs="Arial" w:eastAsia="Arial" w:hAnsi="Arial"/>
          <w:sz w:val="12"/>
          <w:szCs w:val="12"/>
          <w:color w:val="auto"/>
        </w:rPr>
        <w:t>.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240" w:right="1440" w:bottom="1440" w:gutter="0" w:footer="0" w:header="0"/>
        </w:sectPr>
      </w:pPr>
    </w:p>
    <w:bookmarkStart w:id="91" w:name="page92"/>
    <w:bookmarkEnd w:id="91"/>
    <w:p>
      <w:pPr>
        <w:ind w:left="360" w:right="39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46" w:lineRule="exact"/>
        <w:rPr>
          <w:sz w:val="20"/>
          <w:szCs w:val="20"/>
          <w:color w:val="auto"/>
        </w:rPr>
      </w:pPr>
    </w:p>
    <w:p>
      <w:pPr>
        <w:ind w:left="1000" w:hanging="306"/>
        <w:spacing w:after="0"/>
        <w:tabs>
          <w:tab w:leader="none" w:pos="1000"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Forfeiture Events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39" w:firstLine="749"/>
        <w:spacing w:after="0" w:line="291" w:lineRule="auto"/>
        <w:tabs>
          <w:tab w:leader="none" w:pos="1383" w:val="left"/>
        </w:tabs>
        <w:numPr>
          <w:ilvl w:val="1"/>
          <w:numId w:val="116"/>
        </w:numPr>
        <w:rPr>
          <w:rFonts w:ascii="Arial" w:cs="Arial" w:eastAsia="Arial" w:hAnsi="Arial"/>
          <w:sz w:val="12"/>
          <w:szCs w:val="12"/>
          <w:color w:val="auto"/>
        </w:rPr>
      </w:pPr>
      <w:r>
        <w:rPr>
          <w:rFonts w:ascii="Arial" w:cs="Arial" w:eastAsia="Arial" w:hAnsi="Arial"/>
          <w:sz w:val="12"/>
          <w:szCs w:val="12"/>
          <w:color w:val="auto"/>
        </w:rPr>
        <w:t>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22" w:lineRule="exact"/>
        <w:rPr>
          <w:rFonts w:ascii="Arial" w:cs="Arial" w:eastAsia="Arial" w:hAnsi="Arial"/>
          <w:sz w:val="12"/>
          <w:szCs w:val="12"/>
          <w:color w:val="auto"/>
        </w:rPr>
      </w:pPr>
    </w:p>
    <w:p>
      <w:pPr>
        <w:ind w:left="360" w:right="419" w:firstLine="749"/>
        <w:spacing w:after="0" w:line="297" w:lineRule="auto"/>
        <w:tabs>
          <w:tab w:leader="none" w:pos="1396"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20" w:lineRule="exact"/>
        <w:rPr>
          <w:rFonts w:ascii="Arial" w:cs="Arial" w:eastAsia="Arial" w:hAnsi="Arial"/>
          <w:sz w:val="12"/>
          <w:szCs w:val="12"/>
          <w:color w:val="auto"/>
        </w:rPr>
      </w:pPr>
    </w:p>
    <w:p>
      <w:pPr>
        <w:ind w:left="360" w:right="399" w:firstLine="334"/>
        <w:spacing w:after="0" w:line="342" w:lineRule="auto"/>
        <w:tabs>
          <w:tab w:leader="none" w:pos="995"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Stockholder Approval</w:t>
      </w:r>
      <w:r>
        <w:rPr>
          <w:rFonts w:ascii="Arial" w:cs="Arial" w:eastAsia="Arial" w:hAnsi="Arial"/>
          <w:sz w:val="12"/>
          <w:szCs w:val="1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94" w:lineRule="exact"/>
        <w:rPr>
          <w:sz w:val="20"/>
          <w:szCs w:val="20"/>
          <w:color w:val="auto"/>
        </w:rPr>
      </w:pPr>
    </w:p>
    <w:p>
      <w:pPr>
        <w:ind w:left="3840"/>
        <w:spacing w:after="0"/>
        <w:tabs>
          <w:tab w:leader="none" w:pos="4440" w:val="left"/>
          <w:tab w:leader="none" w:pos="50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240" w:right="1440" w:bottom="1440" w:gutter="0" w:footer="0" w:header="0"/>
        </w:sectPr>
      </w:pPr>
    </w:p>
    <w:bookmarkStart w:id="92" w:name="page93"/>
    <w:bookmarkEnd w:id="92"/>
    <w:p>
      <w:pPr>
        <w:jc w:val="right"/>
        <w:ind w:right="379"/>
        <w:spacing w:after="0"/>
        <w:rPr>
          <w:sz w:val="20"/>
          <w:szCs w:val="20"/>
          <w:color w:val="auto"/>
        </w:rPr>
      </w:pPr>
      <w:r>
        <w:rPr>
          <w:rFonts w:ascii="Arial" w:cs="Arial" w:eastAsia="Arial" w:hAnsi="Arial"/>
          <w:sz w:val="14"/>
          <w:szCs w:val="14"/>
          <w:b w:val="1"/>
          <w:bCs w:val="1"/>
          <w:color w:val="auto"/>
        </w:rPr>
        <w:t>EXHIBIT 10.9</w:t>
      </w:r>
    </w:p>
    <w:p>
      <w:pPr>
        <w:spacing w:after="0" w:line="326"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QUANTUMSCAPE CORPORATION</w:t>
      </w:r>
    </w:p>
    <w:p>
      <w:pPr>
        <w:spacing w:after="0" w:line="14" w:lineRule="exact"/>
        <w:rPr>
          <w:sz w:val="20"/>
          <w:szCs w:val="20"/>
          <w:color w:val="auto"/>
        </w:rPr>
      </w:pPr>
    </w:p>
    <w:p>
      <w:pPr>
        <w:ind w:left="3480"/>
        <w:spacing w:after="0"/>
        <w:rPr>
          <w:sz w:val="20"/>
          <w:szCs w:val="20"/>
          <w:color w:val="auto"/>
        </w:rPr>
      </w:pPr>
      <w:r>
        <w:rPr>
          <w:rFonts w:ascii="Arial" w:cs="Arial" w:eastAsia="Arial" w:hAnsi="Arial"/>
          <w:sz w:val="14"/>
          <w:szCs w:val="14"/>
          <w:b w:val="1"/>
          <w:bCs w:val="1"/>
          <w:color w:val="auto"/>
        </w:rPr>
        <w:t>2020 EQUITY INCENTIVE PLAN</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STOCK OPTION AGREEMENT</w:t>
      </w:r>
    </w:p>
    <w:p>
      <w:pPr>
        <w:spacing w:after="0" w:line="154" w:lineRule="exact"/>
        <w:rPr>
          <w:sz w:val="20"/>
          <w:szCs w:val="20"/>
          <w:color w:val="auto"/>
        </w:rPr>
      </w:pPr>
    </w:p>
    <w:p>
      <w:pPr>
        <w:ind w:left="360" w:right="459" w:firstLine="331"/>
        <w:spacing w:after="0" w:line="312" w:lineRule="auto"/>
        <w:rPr>
          <w:sz w:val="20"/>
          <w:szCs w:val="20"/>
          <w:color w:val="auto"/>
        </w:rPr>
      </w:pPr>
      <w:r>
        <w:rPr>
          <w:rFonts w:ascii="Arial" w:cs="Arial" w:eastAsia="Arial" w:hAnsi="Arial"/>
          <w:sz w:val="12"/>
          <w:szCs w:val="12"/>
          <w:color w:val="auto"/>
        </w:rPr>
        <w:t xml:space="preserve">Unless otherwise defined herein, the terms defined in the QuantumScape Corporation 2020 Equity Incentive Plan (the “Plan”) will have the same defined meanings in this Stock Option Agreement which includes the Notice of Stock Option Grant, the Terms and Conditions of Stock Option Grant,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and all appendices and exhibits attached thereto (all together, the “Option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NOTICE OF STOCK OPTION GRANT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Participant:</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Address:</w:t>
      </w:r>
    </w:p>
    <w:p>
      <w:pPr>
        <w:spacing w:after="0" w:line="154" w:lineRule="exact"/>
        <w:rPr>
          <w:sz w:val="20"/>
          <w:szCs w:val="20"/>
          <w:color w:val="auto"/>
        </w:rPr>
      </w:pPr>
    </w:p>
    <w:p>
      <w:pPr>
        <w:ind w:left="360" w:right="499" w:firstLine="331"/>
        <w:spacing w:after="0" w:line="259" w:lineRule="auto"/>
        <w:rPr>
          <w:sz w:val="20"/>
          <w:szCs w:val="20"/>
          <w:color w:val="auto"/>
        </w:rPr>
      </w:pPr>
      <w:r>
        <w:rPr>
          <w:rFonts w:ascii="Arial" w:cs="Arial" w:eastAsia="Arial" w:hAnsi="Arial"/>
          <w:sz w:val="14"/>
          <w:szCs w:val="14"/>
          <w:color w:val="auto"/>
        </w:rPr>
        <w:t>The undersigned Participant has been granted an Option to purchase Common Stock of QuantumScape Corporation (the “Company”), subject to the terms and conditions of the Plan and this Option Agreement, as follows: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900" w:type="dxa"/>
            <w:vAlign w:val="bottom"/>
            <w:gridSpan w:val="2"/>
          </w:tcPr>
          <w:p>
            <w:pPr>
              <w:spacing w:after="0"/>
              <w:rPr>
                <w:sz w:val="20"/>
                <w:szCs w:val="20"/>
                <w:color w:val="auto"/>
              </w:rPr>
            </w:pPr>
            <w:r>
              <w:rPr>
                <w:rFonts w:ascii="Arial" w:cs="Arial" w:eastAsia="Arial" w:hAnsi="Arial"/>
                <w:sz w:val="14"/>
                <w:szCs w:val="14"/>
                <w:color w:val="auto"/>
              </w:rPr>
              <w:t>Grant Number:</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Date of Grant:</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Vesting Commencement Date:</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Number of Shares Granted:</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Exercise Price per Share:</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Total Exercise Price:</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Type of Option:</w:t>
            </w:r>
          </w:p>
        </w:tc>
        <w:tc>
          <w:tcPr>
            <w:tcW w:w="3260" w:type="dxa"/>
            <w:vAlign w:val="bottom"/>
          </w:tcPr>
          <w:p>
            <w:pPr>
              <w:ind w:left="1240"/>
              <w:spacing w:after="0"/>
              <w:rPr>
                <w:sz w:val="20"/>
                <w:szCs w:val="20"/>
                <w:color w:val="auto"/>
              </w:rPr>
            </w:pPr>
            <w:r>
              <w:rPr>
                <w:rFonts w:ascii="Arial" w:cs="Arial" w:eastAsia="Arial" w:hAnsi="Arial"/>
                <w:sz w:val="14"/>
                <w:szCs w:val="14"/>
                <w:color w:val="auto"/>
              </w:rPr>
              <w:t>___ Incentive Stock Option</w:t>
            </w:r>
          </w:p>
        </w:tc>
      </w:tr>
      <w:tr>
        <w:trPr>
          <w:trHeight w:val="325"/>
        </w:trPr>
        <w:tc>
          <w:tcPr>
            <w:tcW w:w="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60" w:type="dxa"/>
            <w:vAlign w:val="bottom"/>
          </w:tcPr>
          <w:p>
            <w:pPr>
              <w:ind w:left="1240"/>
              <w:spacing w:after="0"/>
              <w:rPr>
                <w:sz w:val="20"/>
                <w:szCs w:val="20"/>
                <w:color w:val="auto"/>
              </w:rPr>
            </w:pPr>
            <w:r>
              <w:rPr>
                <w:rFonts w:ascii="Arial" w:cs="Arial" w:eastAsia="Arial" w:hAnsi="Arial"/>
                <w:sz w:val="14"/>
                <w:szCs w:val="14"/>
                <w:color w:val="auto"/>
              </w:rPr>
              <w:t>___ Nonstatutory Stock Option</w:t>
            </w:r>
          </w:p>
        </w:tc>
      </w:tr>
      <w:tr>
        <w:trPr>
          <w:trHeight w:val="325"/>
        </w:trPr>
        <w:tc>
          <w:tcPr>
            <w:tcW w:w="2900" w:type="dxa"/>
            <w:vAlign w:val="bottom"/>
            <w:gridSpan w:val="2"/>
          </w:tcPr>
          <w:p>
            <w:pPr>
              <w:spacing w:after="0"/>
              <w:rPr>
                <w:sz w:val="20"/>
                <w:szCs w:val="20"/>
                <w:color w:val="auto"/>
              </w:rPr>
            </w:pPr>
            <w:r>
              <w:rPr>
                <w:rFonts w:ascii="Arial" w:cs="Arial" w:eastAsia="Arial" w:hAnsi="Arial"/>
                <w:sz w:val="14"/>
                <w:szCs w:val="14"/>
                <w:color w:val="auto"/>
              </w:rPr>
              <w:t>Term/Expiration Date:</w:t>
            </w:r>
          </w:p>
        </w:tc>
        <w:tc>
          <w:tcPr>
            <w:tcW w:w="3260" w:type="dxa"/>
            <w:vAlign w:val="bottom"/>
          </w:tcPr>
          <w:p>
            <w:pPr>
              <w:ind w:left="1240"/>
              <w:spacing w:after="0"/>
              <w:rPr>
                <w:sz w:val="20"/>
                <w:szCs w:val="20"/>
                <w:color w:val="auto"/>
              </w:rPr>
            </w:pPr>
            <w:r>
              <w:rPr>
                <w:rFonts w:ascii="Arial" w:cs="Arial" w:eastAsia="Arial" w:hAnsi="Arial"/>
                <w:sz w:val="14"/>
                <w:szCs w:val="14"/>
                <w:color w:val="auto"/>
                <w:w w:val="85"/>
              </w:rPr>
              <w:t>______________________________</w:t>
            </w:r>
          </w:p>
        </w:tc>
      </w:tr>
      <w:tr>
        <w:trPr>
          <w:trHeight w:val="295"/>
        </w:trPr>
        <w:tc>
          <w:tcPr>
            <w:tcW w:w="2900" w:type="dxa"/>
            <w:vAlign w:val="bottom"/>
            <w:gridSpan w:val="2"/>
          </w:tcPr>
          <w:p>
            <w:pPr>
              <w:spacing w:after="0"/>
              <w:rPr>
                <w:sz w:val="20"/>
                <w:szCs w:val="20"/>
                <w:color w:val="auto"/>
              </w:rPr>
            </w:pPr>
            <w:r>
              <w:rPr>
                <w:rFonts w:ascii="Arial" w:cs="Arial" w:eastAsia="Arial" w:hAnsi="Arial"/>
                <w:sz w:val="14"/>
                <w:szCs w:val="14"/>
                <w:color w:val="auto"/>
              </w:rPr>
              <w:t>Vesting Schedule:</w:t>
            </w:r>
          </w:p>
        </w:tc>
        <w:tc>
          <w:tcPr>
            <w:tcW w:w="3260" w:type="dxa"/>
            <w:vAlign w:val="bottom"/>
          </w:tcPr>
          <w:p>
            <w:pPr>
              <w:spacing w:after="0"/>
              <w:rPr>
                <w:sz w:val="24"/>
                <w:szCs w:val="24"/>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172" w:lineRule="exact"/>
        <w:rPr>
          <w:sz w:val="20"/>
          <w:szCs w:val="20"/>
          <w:color w:val="auto"/>
        </w:rPr>
      </w:pPr>
    </w:p>
    <w:p>
      <w:pPr>
        <w:ind w:left="360" w:right="879" w:firstLine="331"/>
        <w:spacing w:after="0" w:line="259" w:lineRule="auto"/>
        <w:rPr>
          <w:sz w:val="20"/>
          <w:szCs w:val="20"/>
          <w:color w:val="auto"/>
        </w:rPr>
      </w:pPr>
      <w:r>
        <w:rPr>
          <w:rFonts w:ascii="Arial" w:cs="Arial" w:eastAsia="Arial" w:hAnsi="Arial"/>
          <w:sz w:val="14"/>
          <w:szCs w:val="14"/>
          <w:color w:val="auto"/>
        </w:rPr>
        <w:t>Subject to any accelerated vesting as set forth below or in the Plan, this Option will be scheduled to vest in accordance with the following schedule:</w:t>
      </w:r>
    </w:p>
    <w:p>
      <w:pPr>
        <w:spacing w:after="0" w:line="140" w:lineRule="exact"/>
        <w:rPr>
          <w:sz w:val="20"/>
          <w:szCs w:val="20"/>
          <w:color w:val="auto"/>
        </w:rPr>
      </w:pPr>
    </w:p>
    <w:p>
      <w:pPr>
        <w:ind w:left="360" w:right="459" w:firstLine="331"/>
        <w:spacing w:after="0" w:line="247" w:lineRule="auto"/>
        <w:rPr>
          <w:sz w:val="20"/>
          <w:szCs w:val="20"/>
          <w:color w:val="auto"/>
        </w:rPr>
      </w:pPr>
      <w:r>
        <w:rPr>
          <w:rFonts w:ascii="Arial" w:cs="Arial" w:eastAsia="Arial" w:hAnsi="Arial"/>
          <w:sz w:val="14"/>
          <w:szCs w:val="14"/>
          <w:color w:val="auto"/>
        </w:rPr>
        <w:t>[Twenty-five percent (25%) of the Shares subject to the Option will be scheduled to vest on the one (1) year anniversary of the Vesting Commencement Date, and one forty-eighth (1/48</w:t>
      </w:r>
      <w:r>
        <w:rPr>
          <w:rFonts w:ascii="Arial" w:cs="Arial" w:eastAsia="Arial" w:hAnsi="Arial"/>
          <w:sz w:val="11"/>
          <w:szCs w:val="11"/>
          <w:color w:val="auto"/>
        </w:rPr>
        <w:t>th</w:t>
      </w:r>
      <w:r>
        <w:rPr>
          <w:rFonts w:ascii="Arial" w:cs="Arial" w:eastAsia="Arial" w:hAnsi="Arial"/>
          <w:sz w:val="14"/>
          <w:szCs w:val="14"/>
          <w:color w:val="auto"/>
        </w:rPr>
        <w:t>) of the Shares subject to the Option will be scheduled to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9019"/>
          </w:cols>
          <w:pgMar w:left="1440" w:top="127" w:right="1440" w:bottom="1440" w:gutter="0" w:footer="0" w:header="0"/>
        </w:sectPr>
      </w:pPr>
    </w:p>
    <w:bookmarkStart w:id="93" w:name="page94"/>
    <w:bookmarkEnd w:id="93"/>
    <w:p>
      <w:pPr>
        <w:ind w:left="360" w:right="379" w:firstLine="331"/>
        <w:spacing w:after="0" w:line="24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Notwithstanding the foregoing, the vesting of the Option shall be subject to any vesting acceleration provisions applicable to the Option contained in any employment or service agreement, offer letter, change in control severance agreement, change of control severance policy, or any other agreement that, prior to and effective as of the date of this Option Agreement, has been entered into between Participant and the Company or any parent or subsidiary corporation of the Company (such agreement, a “Separate Agreement”) to the extent not otherwise duplicative of the vesting terms described above.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4"/>
          <w:szCs w:val="14"/>
          <w:u w:val="single" w:color="auto"/>
          <w:color w:val="auto"/>
        </w:rPr>
        <w:t>Termination Period</w:t>
      </w:r>
      <w:r>
        <w:rPr>
          <w:rFonts w:ascii="Arial" w:cs="Arial" w:eastAsia="Arial" w:hAnsi="Arial"/>
          <w:sz w:val="14"/>
          <w:szCs w:val="14"/>
          <w:color w:val="auto"/>
        </w:rPr>
        <w:t>:</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In the event of cessation of Participant’s status as a Service Provider, this Option will be exercisable, to the extent vested, for a period of three</w:t>
      </w:r>
    </w:p>
    <w:p>
      <w:pPr>
        <w:spacing w:after="0" w:line="35" w:lineRule="exact"/>
        <w:rPr>
          <w:sz w:val="20"/>
          <w:szCs w:val="20"/>
          <w:color w:val="auto"/>
        </w:rPr>
      </w:pPr>
    </w:p>
    <w:p>
      <w:pPr>
        <w:ind w:left="360" w:right="379" w:firstLine="3"/>
        <w:spacing w:after="0" w:line="242" w:lineRule="auto"/>
        <w:tabs>
          <w:tab w:leader="none" w:pos="552" w:val="left"/>
        </w:tabs>
        <w:numPr>
          <w:ilvl w:val="0"/>
          <w:numId w:val="117"/>
        </w:numPr>
        <w:rPr>
          <w:rFonts w:ascii="Arial" w:cs="Arial" w:eastAsia="Arial" w:hAnsi="Arial"/>
          <w:sz w:val="14"/>
          <w:szCs w:val="14"/>
          <w:color w:val="auto"/>
        </w:rPr>
      </w:pPr>
      <w:r>
        <w:rPr>
          <w:rFonts w:ascii="Arial" w:cs="Arial" w:eastAsia="Arial" w:hAnsi="Arial"/>
          <w:sz w:val="14"/>
          <w:szCs w:val="14"/>
          <w:color w:val="auto"/>
        </w:rPr>
        <w:t>months after Participant ceases to be a Service Provider, unless such termination is due to Participant’s death or Disability, in which case this Option will be exercisable, to the extent vested, for a period of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52" w:lineRule="exact"/>
        <w:rPr>
          <w:sz w:val="20"/>
          <w:szCs w:val="20"/>
          <w:color w:val="auto"/>
        </w:rPr>
      </w:pPr>
    </w:p>
    <w:p>
      <w:pPr>
        <w:ind w:left="360" w:right="419" w:firstLine="331"/>
        <w:spacing w:after="0" w:line="292" w:lineRule="auto"/>
        <w:rPr>
          <w:sz w:val="20"/>
          <w:szCs w:val="20"/>
          <w:color w:val="auto"/>
        </w:rPr>
      </w:pPr>
      <w:r>
        <w:rPr>
          <w:rFonts w:ascii="Arial" w:cs="Arial" w:eastAsia="Arial" w:hAnsi="Arial"/>
          <w:sz w:val="12"/>
          <w:szCs w:val="12"/>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ectPr>
          <w:pgSz w:w="11900" w:h="16838" w:orient="portrait"/>
          <w:cols w:equalWidth="0" w:num="1">
            <w:col w:w="9019"/>
          </w:cols>
          <w:pgMar w:left="1440" w:top="240" w:right="1440" w:bottom="1440" w:gutter="0" w:footer="0" w:header="0"/>
        </w:sectPr>
      </w:pPr>
    </w:p>
    <w:p>
      <w:pPr>
        <w:spacing w:after="0" w:line="144"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125730</wp:posOffset>
            </wp:positionV>
            <wp:extent cx="232029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2320290" cy="6350"/>
                    </a:xfrm>
                    <a:prstGeom prst="rect">
                      <a:avLst/>
                    </a:prstGeom>
                    <a:noFill/>
                  </pic:spPr>
                </pic:pic>
              </a:graphicData>
            </a:graphic>
          </wp:anchor>
        </w:drawing>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111125</wp:posOffset>
            </wp:positionV>
            <wp:extent cx="232029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2320290" cy="635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Print Name</w:t>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111125</wp:posOffset>
            </wp:positionV>
            <wp:extent cx="232029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2320290" cy="635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226695</wp:posOffset>
            </wp:positionV>
            <wp:extent cx="232029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232029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QUANTUMSCAPE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210121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210121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111125</wp:posOffset>
            </wp:positionV>
            <wp:extent cx="210121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164" w:lineRule="exact"/>
        <w:rPr>
          <w:sz w:val="20"/>
          <w:szCs w:val="20"/>
          <w:color w:val="auto"/>
        </w:rPr>
      </w:pPr>
    </w:p>
    <w:p>
      <w:pPr>
        <w:jc w:val="center"/>
        <w:ind w:right="3839"/>
        <w:spacing w:after="0"/>
        <w:rPr>
          <w:sz w:val="20"/>
          <w:szCs w:val="20"/>
          <w:color w:val="auto"/>
        </w:rPr>
      </w:pPr>
      <w:r>
        <w:rPr>
          <w:rFonts w:ascii="Arial" w:cs="Arial" w:eastAsia="Arial" w:hAnsi="Arial"/>
          <w:sz w:val="12"/>
          <w:szCs w:val="12"/>
          <w:color w:val="auto"/>
        </w:rPr>
        <w:t>Title</w:t>
      </w:r>
    </w:p>
    <w:p>
      <w:pPr>
        <w:spacing w:after="0" w:line="385" w:lineRule="exact"/>
        <w:rPr>
          <w:sz w:val="20"/>
          <w:szCs w:val="20"/>
          <w:color w:val="auto"/>
        </w:rPr>
      </w:pPr>
    </w:p>
    <w:p>
      <w:pPr>
        <w:sectPr>
          <w:pgSz w:w="11900" w:h="16838" w:orient="portrait"/>
          <w:cols w:equalWidth="0" w:num="2">
            <w:col w:w="4220" w:space="720"/>
            <w:col w:w="4079"/>
          </w:cols>
          <w:pgMar w:left="1440" w:top="240" w:right="1440"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ectPr>
          <w:pgSz w:w="11900" w:h="16838" w:orient="portrait"/>
          <w:cols w:equalWidth="0" w:num="1">
            <w:col w:w="9019"/>
          </w:cols>
          <w:pgMar w:left="1440" w:top="240" w:right="1440"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TERMS AND CONDITIONS OF STOCK OPTION GRANT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w:t>
      </w:r>
      <w:r>
        <w:rPr>
          <w:rFonts w:ascii="Arial" w:cs="Arial" w:eastAsia="Arial" w:hAnsi="Arial"/>
          <w:sz w:val="14"/>
          <w:szCs w:val="14"/>
          <w:u w:val="single" w:color="auto"/>
          <w:color w:val="auto"/>
        </w:rPr>
        <w:t>Grant of Option</w:t>
      </w:r>
      <w:r>
        <w:rPr>
          <w:rFonts w:ascii="Arial" w:cs="Arial" w:eastAsia="Arial" w:hAnsi="Arial"/>
          <w:sz w:val="14"/>
          <w:szCs w:val="14"/>
          <w:color w:val="auto"/>
        </w:rPr>
        <w:t>.</w:t>
      </w:r>
    </w:p>
    <w:p>
      <w:pPr>
        <w:spacing w:after="0" w:line="83" w:lineRule="exact"/>
        <w:rPr>
          <w:sz w:val="20"/>
          <w:szCs w:val="20"/>
          <w:color w:val="auto"/>
        </w:rPr>
      </w:pPr>
    </w:p>
    <w:p>
      <w:pPr>
        <w:ind w:left="360" w:right="399" w:firstLine="745"/>
        <w:spacing w:after="0" w:line="297" w:lineRule="auto"/>
        <w:rPr>
          <w:sz w:val="20"/>
          <w:szCs w:val="20"/>
          <w:color w:val="auto"/>
        </w:rPr>
      </w:pPr>
      <w:r>
        <w:rPr>
          <w:rFonts w:ascii="Arial" w:cs="Arial" w:eastAsia="Arial" w:hAnsi="Arial"/>
          <w:sz w:val="12"/>
          <w:szCs w:val="12"/>
          <w:color w:val="auto"/>
        </w:rPr>
        <w:t>(a)The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w:t>
      </w:r>
    </w:p>
    <w:p>
      <w:pPr>
        <w:spacing w:after="0" w:line="39" w:lineRule="exact"/>
        <w:rPr>
          <w:sz w:val="20"/>
          <w:szCs w:val="20"/>
          <w:color w:val="auto"/>
        </w:rPr>
      </w:pPr>
    </w:p>
    <w:p>
      <w:pPr>
        <w:ind w:left="360" w:right="399" w:firstLine="745"/>
        <w:spacing w:after="0" w:line="292" w:lineRule="auto"/>
        <w:rPr>
          <w:sz w:val="20"/>
          <w:szCs w:val="20"/>
          <w:color w:val="auto"/>
        </w:rPr>
      </w:pPr>
      <w:r>
        <w:rPr>
          <w:rFonts w:ascii="Arial" w:cs="Arial" w:eastAsia="Arial" w:hAnsi="Arial"/>
          <w:sz w:val="12"/>
          <w:szCs w:val="12"/>
          <w:color w:val="auto"/>
        </w:rPr>
        <w:t>(b)For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43"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(c)For non-U.S. taxpayers, the Option will be designated as an NSO.</w:t>
      </w:r>
    </w:p>
    <w:p>
      <w:pPr>
        <w:spacing w:after="0" w:line="83" w:lineRule="exact"/>
        <w:rPr>
          <w:sz w:val="20"/>
          <w:szCs w:val="20"/>
          <w:color w:val="auto"/>
        </w:rPr>
      </w:pPr>
    </w:p>
    <w:p>
      <w:pPr>
        <w:ind w:left="360" w:right="519" w:firstLine="331"/>
        <w:spacing w:after="0" w:line="247" w:lineRule="auto"/>
        <w:rPr>
          <w:sz w:val="20"/>
          <w:szCs w:val="20"/>
          <w:color w:val="auto"/>
        </w:rPr>
      </w:pPr>
      <w:r>
        <w:rPr>
          <w:rFonts w:ascii="Arial" w:cs="Arial" w:eastAsia="Arial" w:hAnsi="Arial"/>
          <w:sz w:val="14"/>
          <w:szCs w:val="14"/>
          <w:color w:val="auto"/>
        </w:rPr>
        <w:t>2.</w:t>
      </w:r>
      <w:r>
        <w:rPr>
          <w:rFonts w:ascii="Arial" w:cs="Arial" w:eastAsia="Arial" w:hAnsi="Arial"/>
          <w:sz w:val="14"/>
          <w:szCs w:val="14"/>
          <w:u w:val="single" w:color="auto"/>
          <w:color w:val="auto"/>
        </w:rPr>
        <w:t>Vesting Schedule</w:t>
      </w:r>
      <w:r>
        <w:rPr>
          <w:rFonts w:ascii="Arial" w:cs="Arial" w:eastAsia="Arial" w:hAnsi="Arial"/>
          <w:sz w:val="14"/>
          <w:szCs w:val="14"/>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68" w:lineRule="exact"/>
        <w:rPr>
          <w:sz w:val="20"/>
          <w:szCs w:val="20"/>
          <w:color w:val="auto"/>
        </w:rPr>
      </w:pPr>
    </w:p>
    <w:p>
      <w:pPr>
        <w:ind w:left="360" w:right="519" w:firstLine="331"/>
        <w:spacing w:after="0" w:line="250" w:lineRule="auto"/>
        <w:rPr>
          <w:sz w:val="20"/>
          <w:szCs w:val="20"/>
          <w:color w:val="auto"/>
        </w:rPr>
      </w:pPr>
      <w:r>
        <w:rPr>
          <w:rFonts w:ascii="Arial" w:cs="Arial" w:eastAsia="Arial" w:hAnsi="Arial"/>
          <w:sz w:val="14"/>
          <w:szCs w:val="14"/>
          <w:color w:val="auto"/>
        </w:rPr>
        <w:t>3.</w:t>
      </w:r>
      <w:r>
        <w:rPr>
          <w:rFonts w:ascii="Arial" w:cs="Arial" w:eastAsia="Arial" w:hAnsi="Arial"/>
          <w:sz w:val="14"/>
          <w:szCs w:val="14"/>
          <w:u w:val="single" w:color="auto"/>
          <w:color w:val="auto"/>
        </w:rPr>
        <w:t>Administrator Discretion</w:t>
      </w:r>
      <w:r>
        <w:rPr>
          <w:rFonts w:ascii="Arial" w:cs="Arial" w:eastAsia="Arial" w:hAnsi="Arial"/>
          <w:sz w:val="14"/>
          <w:szCs w:val="14"/>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6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4.</w:t>
      </w: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83" w:lineRule="exact"/>
        <w:rPr>
          <w:sz w:val="20"/>
          <w:szCs w:val="20"/>
          <w:color w:val="auto"/>
        </w:rPr>
      </w:pPr>
    </w:p>
    <w:p>
      <w:pPr>
        <w:jc w:val="both"/>
        <w:ind w:left="360" w:right="479" w:firstLine="745"/>
        <w:spacing w:after="0" w:line="250" w:lineRule="auto"/>
        <w:rPr>
          <w:sz w:val="20"/>
          <w:szCs w:val="20"/>
          <w:color w:val="auto"/>
        </w:rPr>
      </w:pPr>
      <w:r>
        <w:rPr>
          <w:rFonts w:ascii="Arial" w:cs="Arial" w:eastAsia="Arial" w:hAnsi="Arial"/>
          <w:sz w:val="14"/>
          <w:szCs w:val="14"/>
          <w:color w:val="auto"/>
        </w:rPr>
        <w:t>(a)</w:t>
      </w:r>
      <w:r>
        <w:rPr>
          <w:rFonts w:ascii="Arial" w:cs="Arial" w:eastAsia="Arial" w:hAnsi="Arial"/>
          <w:sz w:val="14"/>
          <w:szCs w:val="14"/>
          <w:u w:val="single" w:color="auto"/>
          <w:color w:val="auto"/>
        </w:rPr>
        <w:t>Right to Exercise</w:t>
      </w:r>
      <w:r>
        <w:rPr>
          <w:rFonts w:ascii="Arial" w:cs="Arial" w:eastAsia="Arial" w:hAnsi="Arial"/>
          <w:sz w:val="14"/>
          <w:szCs w:val="14"/>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ectPr>
          <w:pgSz w:w="11900" w:h="16838" w:orient="portrait"/>
          <w:cols w:equalWidth="0" w:num="1">
            <w:col w:w="9019"/>
          </w:cols>
          <w:pgMar w:left="1440" w:top="238" w:right="1440" w:bottom="1440" w:gutter="0" w:footer="0" w:header="0"/>
        </w:sectPr>
      </w:pPr>
    </w:p>
    <w:bookmarkStart w:id="95" w:name="page96"/>
    <w:bookmarkEnd w:id="95"/>
    <w:p>
      <w:pPr>
        <w:ind w:left="360" w:right="399" w:firstLine="745"/>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(b)</w:t>
      </w:r>
      <w:r>
        <w:rPr>
          <w:rFonts w:ascii="Arial" w:cs="Arial" w:eastAsia="Arial" w:hAnsi="Arial"/>
          <w:sz w:val="12"/>
          <w:szCs w:val="12"/>
          <w:u w:val="single" w:color="auto"/>
          <w:color w:val="auto"/>
        </w:rPr>
        <w:t>Method of Exercise</w:t>
      </w:r>
      <w:r>
        <w:rPr>
          <w:rFonts w:ascii="Arial" w:cs="Arial" w:eastAsia="Arial" w:hAnsi="Arial"/>
          <w:sz w:val="12"/>
          <w:szCs w:val="12"/>
          <w:color w:val="auto"/>
        </w:rPr>
        <w:t xml:space="preserve">. This Option is exercisable by delivery of an exercise notice (the “Exercise Notice”) in the form attached as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B</w:t>
      </w:r>
      <w:r>
        <w:rPr>
          <w:rFonts w:ascii="Arial" w:cs="Arial" w:eastAsia="Arial" w:hAnsi="Arial"/>
          <w:sz w:val="12"/>
          <w:szCs w:val="12"/>
          <w:color w:val="auto"/>
        </w:rPr>
        <w:t xml:space="preserve"> to the Notice of Grant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6(a)). This Option will be deemed to be exercised upon receipt by the Company of such fully executed Exercise Notice accompanied by the aggregate Exercise Price, together with any applicable Tax Obligations.</w:t>
      </w:r>
    </w:p>
    <w:p>
      <w:pPr>
        <w:spacing w:after="0" w:line="43" w:lineRule="exact"/>
        <w:rPr>
          <w:sz w:val="20"/>
          <w:szCs w:val="20"/>
          <w:color w:val="auto"/>
        </w:rPr>
      </w:pPr>
    </w:p>
    <w:p>
      <w:pPr>
        <w:ind w:left="360" w:right="779" w:firstLine="334"/>
        <w:spacing w:after="0" w:line="259" w:lineRule="auto"/>
        <w:tabs>
          <w:tab w:leader="none" w:pos="826"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Method of Payment</w:t>
      </w:r>
      <w:r>
        <w:rPr>
          <w:rFonts w:ascii="Arial" w:cs="Arial" w:eastAsia="Arial" w:hAnsi="Arial"/>
          <w:sz w:val="14"/>
          <w:szCs w:val="14"/>
          <w:color w:val="auto"/>
        </w:rPr>
        <w:t>. Payment of the aggregate Exercise Price will be by any of the following, or a combination thereof, at the election of Participant:</w:t>
      </w:r>
    </w:p>
    <w:p>
      <w:pPr>
        <w:spacing w:after="0" w:line="58" w:lineRule="exact"/>
        <w:rPr>
          <w:rFonts w:ascii="Arial" w:cs="Arial" w:eastAsia="Arial" w:hAnsi="Arial"/>
          <w:sz w:val="14"/>
          <w:szCs w:val="14"/>
          <w:color w:val="auto"/>
        </w:rPr>
      </w:pPr>
    </w:p>
    <w:p>
      <w:pPr>
        <w:ind w:left="1300" w:hanging="191"/>
        <w:spacing w:after="0"/>
        <w:tabs>
          <w:tab w:leader="none" w:pos="130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cash;</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18"/>
        </w:numPr>
        <w:rPr>
          <w:rFonts w:ascii="Arial" w:cs="Arial" w:eastAsia="Arial" w:hAnsi="Arial"/>
          <w:sz w:val="14"/>
          <w:szCs w:val="14"/>
          <w:color w:val="auto"/>
        </w:rPr>
      </w:pPr>
      <w:r>
        <w:rPr>
          <w:rFonts w:ascii="Arial" w:cs="Arial" w:eastAsia="Arial" w:hAnsi="Arial"/>
          <w:sz w:val="14"/>
          <w:szCs w:val="14"/>
          <w:color w:val="auto"/>
        </w:rPr>
        <w:t>check;</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18"/>
        </w:numPr>
        <w:rPr>
          <w:rFonts w:ascii="Arial" w:cs="Arial" w:eastAsia="Arial" w:hAnsi="Arial"/>
          <w:sz w:val="12"/>
          <w:szCs w:val="12"/>
          <w:color w:val="auto"/>
        </w:rPr>
      </w:pPr>
      <w:r>
        <w:rPr>
          <w:rFonts w:ascii="Arial" w:cs="Arial" w:eastAsia="Arial" w:hAnsi="Arial"/>
          <w:sz w:val="12"/>
          <w:szCs w:val="12"/>
          <w:color w:val="auto"/>
        </w:rPr>
        <w:t>consideration received by the Company under a formal cashless exercise program adopted by the Company in connection with the</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Plan; or</w:t>
      </w:r>
    </w:p>
    <w:p>
      <w:pPr>
        <w:spacing w:after="0" w:line="72" w:lineRule="exact"/>
        <w:rPr>
          <w:rFonts w:ascii="Arial" w:cs="Arial" w:eastAsia="Arial" w:hAnsi="Arial"/>
          <w:sz w:val="12"/>
          <w:szCs w:val="12"/>
          <w:color w:val="auto"/>
        </w:rPr>
      </w:pPr>
    </w:p>
    <w:p>
      <w:pPr>
        <w:ind w:left="360" w:right="579" w:firstLine="749"/>
        <w:spacing w:after="0" w:line="312" w:lineRule="auto"/>
        <w:tabs>
          <w:tab w:leader="none" w:pos="1297" w:val="left"/>
        </w:tabs>
        <w:numPr>
          <w:ilvl w:val="1"/>
          <w:numId w:val="118"/>
        </w:numPr>
        <w:rPr>
          <w:rFonts w:ascii="Arial" w:cs="Arial" w:eastAsia="Arial" w:hAnsi="Arial"/>
          <w:sz w:val="12"/>
          <w:szCs w:val="12"/>
          <w:color w:val="auto"/>
        </w:rPr>
      </w:pPr>
      <w:r>
        <w:rPr>
          <w:rFonts w:ascii="Arial" w:cs="Arial" w:eastAsia="Arial" w:hAnsi="Arial"/>
          <w:sz w:val="12"/>
          <w:szCs w:val="12"/>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30" w:lineRule="exact"/>
        <w:rPr>
          <w:rFonts w:ascii="Arial" w:cs="Arial" w:eastAsia="Arial" w:hAnsi="Arial"/>
          <w:sz w:val="12"/>
          <w:szCs w:val="12"/>
          <w:color w:val="auto"/>
        </w:rPr>
      </w:pPr>
    </w:p>
    <w:p>
      <w:pPr>
        <w:ind w:left="820" w:hanging="126"/>
        <w:spacing w:after="0"/>
        <w:tabs>
          <w:tab w:leader="none" w:pos="820"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Tax Obligations</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360" w:right="399" w:firstLine="749"/>
        <w:spacing w:after="0" w:line="287" w:lineRule="auto"/>
        <w:tabs>
          <w:tab w:leader="none" w:pos="1289" w:val="left"/>
        </w:tabs>
        <w:numPr>
          <w:ilvl w:val="1"/>
          <w:numId w:val="118"/>
        </w:numPr>
        <w:rPr>
          <w:rFonts w:ascii="Arial" w:cs="Arial" w:eastAsia="Arial" w:hAnsi="Arial"/>
          <w:sz w:val="12"/>
          <w:szCs w:val="12"/>
          <w:color w:val="auto"/>
        </w:rPr>
      </w:pPr>
      <w:r>
        <w:rPr>
          <w:rFonts w:ascii="Arial" w:cs="Arial" w:eastAsia="Arial" w:hAnsi="Arial"/>
          <w:sz w:val="12"/>
          <w:szCs w:val="12"/>
          <w:u w:val="single" w:color="auto"/>
          <w:color w:val="auto"/>
        </w:rPr>
        <w:t>Responsibility for Taxes</w:t>
      </w:r>
      <w:r>
        <w:rPr>
          <w:rFonts w:ascii="Arial" w:cs="Arial" w:eastAsia="Arial" w:hAnsi="Arial"/>
          <w:sz w:val="12"/>
          <w:szCs w:val="12"/>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w:t>
      </w:r>
    </w:p>
    <w:p>
      <w:pPr>
        <w:spacing w:after="0" w:line="77" w:lineRule="exact"/>
        <w:rPr>
          <w:rFonts w:ascii="Arial" w:cs="Arial" w:eastAsia="Arial" w:hAnsi="Arial"/>
          <w:sz w:val="12"/>
          <w:szCs w:val="12"/>
          <w:color w:val="auto"/>
        </w:rPr>
      </w:pPr>
    </w:p>
    <w:p>
      <w:pPr>
        <w:ind w:left="4480" w:hanging="89"/>
        <w:spacing w:after="0"/>
        <w:tabs>
          <w:tab w:leader="none" w:pos="4480" w:val="left"/>
        </w:tabs>
        <w:numPr>
          <w:ilvl w:val="2"/>
          <w:numId w:val="118"/>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9019"/>
          </w:cols>
          <w:pgMar w:left="1440" w:top="240" w:right="1440" w:bottom="1440" w:gutter="0" w:footer="0" w:header="0"/>
        </w:sectPr>
      </w:pPr>
    </w:p>
    <w:bookmarkStart w:id="96" w:name="page97"/>
    <w:bookmarkEnd w:id="96"/>
    <w:p>
      <w:pPr>
        <w:ind w:left="360" w:right="49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41" w:lineRule="exact"/>
        <w:rPr>
          <w:sz w:val="20"/>
          <w:szCs w:val="20"/>
          <w:color w:val="auto"/>
        </w:rPr>
      </w:pPr>
    </w:p>
    <w:p>
      <w:pPr>
        <w:ind w:left="360" w:right="379" w:firstLine="749"/>
        <w:spacing w:after="0" w:line="285" w:lineRule="auto"/>
        <w:tabs>
          <w:tab w:leader="none" w:pos="1297" w:val="left"/>
        </w:tabs>
        <w:numPr>
          <w:ilvl w:val="0"/>
          <w:numId w:val="119"/>
        </w:numPr>
        <w:rPr>
          <w:rFonts w:ascii="Arial" w:cs="Arial" w:eastAsia="Arial" w:hAnsi="Arial"/>
          <w:sz w:val="12"/>
          <w:szCs w:val="12"/>
          <w:color w:val="auto"/>
        </w:rPr>
      </w:pPr>
      <w:r>
        <w:rPr>
          <w:rFonts w:ascii="Arial" w:cs="Arial" w:eastAsia="Arial" w:hAnsi="Arial"/>
          <w:sz w:val="12"/>
          <w:szCs w:val="12"/>
          <w:u w:val="single" w:color="auto"/>
          <w:color w:val="auto"/>
        </w:rPr>
        <w:t>Tax Withholding</w:t>
      </w:r>
      <w:r>
        <w:rPr>
          <w:rFonts w:ascii="Arial" w:cs="Arial" w:eastAsia="Arial" w:hAnsi="Arial"/>
          <w:sz w:val="12"/>
          <w:szCs w:val="12"/>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53" w:lineRule="exact"/>
        <w:rPr>
          <w:rFonts w:ascii="Arial" w:cs="Arial" w:eastAsia="Arial" w:hAnsi="Arial"/>
          <w:sz w:val="12"/>
          <w:szCs w:val="12"/>
          <w:color w:val="auto"/>
        </w:rPr>
      </w:pPr>
    </w:p>
    <w:p>
      <w:pPr>
        <w:ind w:left="360" w:right="419" w:firstLine="749"/>
        <w:spacing w:after="0" w:line="302" w:lineRule="auto"/>
        <w:tabs>
          <w:tab w:leader="none" w:pos="1289" w:val="left"/>
        </w:tabs>
        <w:numPr>
          <w:ilvl w:val="0"/>
          <w:numId w:val="119"/>
        </w:numPr>
        <w:rPr>
          <w:rFonts w:ascii="Arial" w:cs="Arial" w:eastAsia="Arial" w:hAnsi="Arial"/>
          <w:sz w:val="12"/>
          <w:szCs w:val="12"/>
          <w:color w:val="auto"/>
        </w:rPr>
      </w:pPr>
      <w:r>
        <w:rPr>
          <w:rFonts w:ascii="Arial" w:cs="Arial" w:eastAsia="Arial" w:hAnsi="Arial"/>
          <w:sz w:val="12"/>
          <w:szCs w:val="12"/>
          <w:u w:val="single" w:color="auto"/>
          <w:color w:val="auto"/>
        </w:rPr>
        <w:t>Notice of Disqualifying Disposition of ISO Shares</w:t>
      </w:r>
      <w:r>
        <w:rPr>
          <w:rFonts w:ascii="Arial" w:cs="Arial" w:eastAsia="Arial" w:hAnsi="Arial"/>
          <w:sz w:val="12"/>
          <w:szCs w:val="12"/>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immediately will notify the Company in writing of such disposition. Participant agrees that Participant may be subject to income tax withholding by the Company on the compensation income recognized by Participant.</w:t>
      </w:r>
    </w:p>
    <w:p>
      <w:pPr>
        <w:spacing w:after="0" w:line="66" w:lineRule="exact"/>
        <w:rPr>
          <w:rFonts w:ascii="Arial" w:cs="Arial" w:eastAsia="Arial" w:hAnsi="Arial"/>
          <w:sz w:val="12"/>
          <w:szCs w:val="12"/>
          <w:color w:val="auto"/>
        </w:rPr>
      </w:pPr>
    </w:p>
    <w:p>
      <w:pPr>
        <w:ind w:left="4480" w:hanging="89"/>
        <w:spacing w:after="0"/>
        <w:tabs>
          <w:tab w:leader="none" w:pos="448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9019"/>
          </w:cols>
          <w:pgMar w:left="1440" w:top="240" w:right="1440" w:bottom="1440" w:gutter="0" w:footer="0" w:header="0"/>
        </w:sectPr>
      </w:pPr>
    </w:p>
    <w:bookmarkStart w:id="97" w:name="page98"/>
    <w:bookmarkEnd w:id="97"/>
    <w:p>
      <w:pPr>
        <w:ind w:left="360" w:right="399" w:firstLine="749"/>
        <w:spacing w:after="0" w:line="288" w:lineRule="auto"/>
        <w:tabs>
          <w:tab w:leader="none" w:pos="1297" w:val="left"/>
        </w:tabs>
        <w:numPr>
          <w:ilvl w:val="1"/>
          <w:numId w:val="120"/>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Section 409A</w:t>
      </w:r>
      <w:r>
        <w:rPr>
          <w:rFonts w:ascii="Arial" w:cs="Arial" w:eastAsia="Arial" w:hAnsi="Arial"/>
          <w:sz w:val="12"/>
          <w:szCs w:val="12"/>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45" w:lineRule="exact"/>
        <w:rPr>
          <w:rFonts w:ascii="Arial" w:cs="Arial" w:eastAsia="Arial" w:hAnsi="Arial"/>
          <w:sz w:val="12"/>
          <w:szCs w:val="12"/>
          <w:color w:val="auto"/>
        </w:rPr>
      </w:pPr>
    </w:p>
    <w:p>
      <w:pPr>
        <w:ind w:left="360" w:right="419" w:firstLine="334"/>
        <w:spacing w:after="0" w:line="297" w:lineRule="auto"/>
        <w:tabs>
          <w:tab w:leader="none" w:pos="826"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9" w:lineRule="exact"/>
        <w:rPr>
          <w:rFonts w:ascii="Arial" w:cs="Arial" w:eastAsia="Arial" w:hAnsi="Arial"/>
          <w:sz w:val="12"/>
          <w:szCs w:val="12"/>
          <w:color w:val="auto"/>
        </w:rPr>
      </w:pPr>
    </w:p>
    <w:p>
      <w:pPr>
        <w:ind w:left="360" w:right="379" w:firstLine="334"/>
        <w:spacing w:after="0" w:line="289" w:lineRule="auto"/>
        <w:tabs>
          <w:tab w:leader="none" w:pos="826" w:val="left"/>
        </w:tabs>
        <w:numPr>
          <w:ilvl w:val="0"/>
          <w:numId w:val="121"/>
        </w:numPr>
        <w:rPr>
          <w:rFonts w:ascii="Arial" w:cs="Arial" w:eastAsia="Arial" w:hAnsi="Arial"/>
          <w:sz w:val="12"/>
          <w:szCs w:val="12"/>
          <w:color w:val="auto"/>
        </w:rPr>
      </w:pPr>
      <w:r>
        <w:rPr>
          <w:rFonts w:ascii="Arial" w:cs="Arial" w:eastAsia="Arial" w:hAnsi="Arial"/>
          <w:sz w:val="12"/>
          <w:szCs w:val="12"/>
          <w:u w:val="single" w:color="auto"/>
          <w:color w:val="auto"/>
        </w:rPr>
        <w:t>No Guarantee of Continued Service</w:t>
      </w:r>
      <w:r>
        <w:rPr>
          <w:rFonts w:ascii="Arial" w:cs="Arial" w:eastAsia="Arial" w:hAnsi="Arial"/>
          <w:sz w:val="12"/>
          <w:szCs w:val="12"/>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39" w:lineRule="exact"/>
        <w:rPr>
          <w:rFonts w:ascii="Arial" w:cs="Arial" w:eastAsia="Arial" w:hAnsi="Arial"/>
          <w:sz w:val="12"/>
          <w:szCs w:val="12"/>
          <w:color w:val="auto"/>
        </w:rPr>
      </w:pPr>
    </w:p>
    <w:p>
      <w:pPr>
        <w:ind w:left="4480" w:hanging="89"/>
        <w:spacing w:after="0"/>
        <w:tabs>
          <w:tab w:leader="none" w:pos="4480" w:val="left"/>
        </w:tabs>
        <w:numPr>
          <w:ilvl w:val="2"/>
          <w:numId w:val="121"/>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9019"/>
          </w:cols>
          <w:pgMar w:left="1440" w:top="240" w:right="1440" w:bottom="1440" w:gutter="0" w:footer="0" w:header="0"/>
        </w:sectPr>
      </w:pPr>
    </w:p>
    <w:bookmarkStart w:id="98" w:name="page99"/>
    <w:bookmarkEnd w:id="98"/>
    <w:p>
      <w:pPr>
        <w:ind w:left="820" w:hanging="126"/>
        <w:spacing w:after="0"/>
        <w:tabs>
          <w:tab w:leader="none" w:pos="820"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Nature of Grant</w:t>
      </w:r>
      <w:r>
        <w:rPr>
          <w:rFonts w:ascii="Arial" w:cs="Arial" w:eastAsia="Arial" w:hAnsi="Arial"/>
          <w:sz w:val="14"/>
          <w:szCs w:val="14"/>
          <w:color w:val="auto"/>
        </w:rPr>
        <w:t>. In accepting the Option, Participant acknowledges, understands and agrees that:</w:t>
      </w:r>
    </w:p>
    <w:p>
      <w:pPr>
        <w:spacing w:after="0" w:line="82" w:lineRule="exact"/>
        <w:rPr>
          <w:rFonts w:ascii="Arial" w:cs="Arial" w:eastAsia="Arial" w:hAnsi="Arial"/>
          <w:sz w:val="14"/>
          <w:szCs w:val="14"/>
          <w:color w:val="auto"/>
        </w:rPr>
      </w:pPr>
    </w:p>
    <w:p>
      <w:pPr>
        <w:ind w:left="360" w:right="499" w:firstLine="749"/>
        <w:spacing w:after="0" w:line="259" w:lineRule="auto"/>
        <w:tabs>
          <w:tab w:leader="none" w:pos="1289" w:val="left"/>
        </w:tabs>
        <w:numPr>
          <w:ilvl w:val="1"/>
          <w:numId w:val="122"/>
        </w:numPr>
        <w:rPr>
          <w:rFonts w:ascii="Arial" w:cs="Arial" w:eastAsia="Arial" w:hAnsi="Arial"/>
          <w:sz w:val="14"/>
          <w:szCs w:val="14"/>
          <w:color w:val="auto"/>
        </w:rPr>
      </w:pPr>
      <w:r>
        <w:rPr>
          <w:rFonts w:ascii="Arial" w:cs="Arial" w:eastAsia="Arial" w:hAnsi="Arial"/>
          <w:sz w:val="14"/>
          <w:szCs w:val="14"/>
          <w:color w:val="auto"/>
        </w:rPr>
        <w:t>the grant of the Option is voluntary and occasional and does not create any contractual or other right to receive future grants of equity awards, or benefits in lieu of equity awards, even if equity awards have been granted in the past;</w:t>
      </w:r>
    </w:p>
    <w:p>
      <w:pPr>
        <w:spacing w:after="0" w:line="58" w:lineRule="exact"/>
        <w:rPr>
          <w:rFonts w:ascii="Arial" w:cs="Arial" w:eastAsia="Arial" w:hAnsi="Arial"/>
          <w:sz w:val="14"/>
          <w:szCs w:val="14"/>
          <w:color w:val="auto"/>
        </w:rPr>
      </w:pPr>
    </w:p>
    <w:p>
      <w:pPr>
        <w:ind w:left="1300" w:hanging="191"/>
        <w:spacing w:after="0"/>
        <w:tabs>
          <w:tab w:leader="none" w:pos="130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all decisions with respect to future option or other grants, if any, will be at the sole discretion of the Administrator;</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the Option and any Shares acquired under the Plan are not intended to replace any pension rights or compensation;</w:t>
      </w:r>
    </w:p>
    <w:p>
      <w:pPr>
        <w:spacing w:after="0" w:line="82" w:lineRule="exact"/>
        <w:rPr>
          <w:rFonts w:ascii="Arial" w:cs="Arial" w:eastAsia="Arial" w:hAnsi="Arial"/>
          <w:sz w:val="14"/>
          <w:szCs w:val="14"/>
          <w:color w:val="auto"/>
        </w:rPr>
      </w:pPr>
    </w:p>
    <w:p>
      <w:pPr>
        <w:jc w:val="both"/>
        <w:ind w:left="360" w:right="439" w:firstLine="749"/>
        <w:spacing w:after="0" w:line="250" w:lineRule="auto"/>
        <w:tabs>
          <w:tab w:leader="none" w:pos="1289" w:val="left"/>
        </w:tabs>
        <w:numPr>
          <w:ilvl w:val="1"/>
          <w:numId w:val="122"/>
        </w:numPr>
        <w:rPr>
          <w:rFonts w:ascii="Arial" w:cs="Arial" w:eastAsia="Arial" w:hAnsi="Arial"/>
          <w:sz w:val="14"/>
          <w:szCs w:val="14"/>
          <w:color w:val="auto"/>
        </w:rPr>
      </w:pPr>
      <w:r>
        <w:rPr>
          <w:rFonts w:ascii="Arial" w:cs="Arial" w:eastAsia="Arial" w:hAnsi="Arial"/>
          <w:sz w:val="14"/>
          <w:szCs w:val="14"/>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5" w:lineRule="exact"/>
        <w:rPr>
          <w:rFonts w:ascii="Arial" w:cs="Arial" w:eastAsia="Arial" w:hAnsi="Arial"/>
          <w:sz w:val="14"/>
          <w:szCs w:val="14"/>
          <w:color w:val="auto"/>
        </w:rPr>
      </w:pPr>
    </w:p>
    <w:p>
      <w:pPr>
        <w:ind w:left="1280" w:hanging="171"/>
        <w:spacing w:after="0"/>
        <w:tabs>
          <w:tab w:leader="none" w:pos="128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the future value of the Shares underlying the Option is unknown, indeterminable, and cannot be predicted;</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if the underlying Shares do not increase in value, the Option will have no value;</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if Participant exercises the Option and acquires Shares, the value of such Shares may increase or decrease in value, even below the</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Exercise Price;</w:t>
      </w:r>
    </w:p>
    <w:p>
      <w:pPr>
        <w:spacing w:after="0" w:line="72" w:lineRule="exact"/>
        <w:rPr>
          <w:rFonts w:ascii="Arial" w:cs="Arial" w:eastAsia="Arial" w:hAnsi="Arial"/>
          <w:sz w:val="12"/>
          <w:szCs w:val="12"/>
          <w:color w:val="auto"/>
        </w:rPr>
      </w:pPr>
    </w:p>
    <w:p>
      <w:pPr>
        <w:ind w:left="360" w:right="379" w:firstLine="749"/>
        <w:spacing w:after="0" w:line="287" w:lineRule="auto"/>
        <w:tabs>
          <w:tab w:leader="none" w:pos="1267" w:val="left"/>
        </w:tabs>
        <w:numPr>
          <w:ilvl w:val="1"/>
          <w:numId w:val="122"/>
        </w:numPr>
        <w:rPr>
          <w:rFonts w:ascii="Arial" w:cs="Arial" w:eastAsia="Arial" w:hAnsi="Arial"/>
          <w:sz w:val="12"/>
          <w:szCs w:val="12"/>
          <w:color w:val="auto"/>
        </w:rPr>
      </w:pPr>
      <w:r>
        <w:rPr>
          <w:rFonts w:ascii="Arial" w:cs="Arial" w:eastAsia="Arial" w:hAnsi="Arial"/>
          <w:sz w:val="12"/>
          <w:szCs w:val="12"/>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2"/>
          <w:szCs w:val="12"/>
          <w:i w:val="1"/>
          <w:iCs w:val="1"/>
          <w:color w:val="auto"/>
        </w:rPr>
        <w:t>e.g</w:t>
      </w:r>
      <w:r>
        <w:rPr>
          <w:rFonts w:ascii="Arial" w:cs="Arial" w:eastAsia="Arial" w:hAnsi="Arial"/>
          <w:sz w:val="12"/>
          <w:szCs w:val="12"/>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status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77" w:lineRule="exact"/>
        <w:rPr>
          <w:rFonts w:ascii="Arial" w:cs="Arial" w:eastAsia="Arial" w:hAnsi="Arial"/>
          <w:sz w:val="12"/>
          <w:szCs w:val="12"/>
          <w:color w:val="auto"/>
        </w:rPr>
      </w:pPr>
    </w:p>
    <w:p>
      <w:pPr>
        <w:ind w:left="4480" w:hanging="89"/>
        <w:spacing w:after="0"/>
        <w:tabs>
          <w:tab w:leader="none" w:pos="4480" w:val="left"/>
        </w:tabs>
        <w:numPr>
          <w:ilvl w:val="2"/>
          <w:numId w:val="122"/>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9019"/>
          </w:cols>
          <w:pgMar w:left="1440" w:top="240" w:right="1440" w:bottom="1440" w:gutter="0" w:footer="0" w:header="0"/>
        </w:sectPr>
      </w:pPr>
    </w:p>
    <w:bookmarkStart w:id="99" w:name="page100"/>
    <w:bookmarkEnd w:id="99"/>
    <w:p>
      <w:pPr>
        <w:ind w:left="360" w:right="539" w:firstLine="749"/>
        <w:spacing w:after="0" w:line="312" w:lineRule="auto"/>
        <w:tabs>
          <w:tab w:leader="none" w:pos="1267" w:val="left"/>
        </w:tabs>
        <w:numPr>
          <w:ilvl w:val="1"/>
          <w:numId w:val="12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unless otherwise provided in the Plan or by the Administrator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30" w:lineRule="exact"/>
        <w:rPr>
          <w:rFonts w:ascii="Arial" w:cs="Arial" w:eastAsia="Arial" w:hAnsi="Arial"/>
          <w:sz w:val="12"/>
          <w:szCs w:val="12"/>
          <w:color w:val="auto"/>
        </w:rPr>
      </w:pPr>
    </w:p>
    <w:p>
      <w:pPr>
        <w:ind w:left="1300" w:hanging="191"/>
        <w:spacing w:after="0"/>
        <w:tabs>
          <w:tab w:leader="none" w:pos="130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the following provisions apply only if Participant is providing services outside the United States:</w:t>
      </w:r>
    </w:p>
    <w:p>
      <w:pPr>
        <w:spacing w:after="0" w:line="82" w:lineRule="exact"/>
        <w:rPr>
          <w:rFonts w:ascii="Arial" w:cs="Arial" w:eastAsia="Arial" w:hAnsi="Arial"/>
          <w:sz w:val="14"/>
          <w:szCs w:val="14"/>
          <w:color w:val="auto"/>
        </w:rPr>
      </w:pPr>
    </w:p>
    <w:p>
      <w:pPr>
        <w:ind w:left="1600" w:hanging="160"/>
        <w:spacing w:after="0"/>
        <w:tabs>
          <w:tab w:leader="none" w:pos="1600" w:val="left"/>
        </w:tabs>
        <w:numPr>
          <w:ilvl w:val="2"/>
          <w:numId w:val="123"/>
        </w:numPr>
        <w:rPr>
          <w:rFonts w:ascii="Arial" w:cs="Arial" w:eastAsia="Arial" w:hAnsi="Arial"/>
          <w:sz w:val="12"/>
          <w:szCs w:val="12"/>
          <w:color w:val="auto"/>
        </w:rPr>
      </w:pPr>
      <w:r>
        <w:rPr>
          <w:rFonts w:ascii="Arial" w:cs="Arial" w:eastAsia="Arial" w:hAnsi="Arial"/>
          <w:sz w:val="12"/>
          <w:szCs w:val="12"/>
          <w:color w:val="auto"/>
        </w:rPr>
        <w:t>the Option and the Shares subject to the Option are not part of normal or expected compensation or salary for any purpose;</w:t>
      </w:r>
    </w:p>
    <w:p>
      <w:pPr>
        <w:spacing w:after="0" w:line="105" w:lineRule="exact"/>
        <w:rPr>
          <w:rFonts w:ascii="Arial" w:cs="Arial" w:eastAsia="Arial" w:hAnsi="Arial"/>
          <w:sz w:val="12"/>
          <w:szCs w:val="12"/>
          <w:color w:val="auto"/>
        </w:rPr>
      </w:pPr>
    </w:p>
    <w:p>
      <w:pPr>
        <w:ind w:left="360" w:right="399" w:firstLine="1080"/>
        <w:spacing w:after="0" w:line="312" w:lineRule="auto"/>
        <w:tabs>
          <w:tab w:leader="none" w:pos="1636" w:val="left"/>
        </w:tabs>
        <w:numPr>
          <w:ilvl w:val="2"/>
          <w:numId w:val="123"/>
        </w:numPr>
        <w:rPr>
          <w:rFonts w:ascii="Arial" w:cs="Arial" w:eastAsia="Arial" w:hAnsi="Arial"/>
          <w:sz w:val="12"/>
          <w:szCs w:val="12"/>
          <w:color w:val="auto"/>
        </w:rPr>
      </w:pPr>
      <w:r>
        <w:rPr>
          <w:rFonts w:ascii="Arial" w:cs="Arial" w:eastAsia="Arial" w:hAnsi="Arial"/>
          <w:sz w:val="12"/>
          <w:szCs w:val="12"/>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30" w:lineRule="exact"/>
        <w:rPr>
          <w:rFonts w:ascii="Arial" w:cs="Arial" w:eastAsia="Arial" w:hAnsi="Arial"/>
          <w:sz w:val="12"/>
          <w:szCs w:val="12"/>
          <w:color w:val="auto"/>
        </w:rPr>
      </w:pPr>
    </w:p>
    <w:p>
      <w:pPr>
        <w:ind w:left="360" w:right="399" w:firstLine="1080"/>
        <w:spacing w:after="0" w:line="291" w:lineRule="auto"/>
        <w:tabs>
          <w:tab w:leader="none" w:pos="1673" w:val="left"/>
        </w:tabs>
        <w:numPr>
          <w:ilvl w:val="2"/>
          <w:numId w:val="123"/>
        </w:numPr>
        <w:rPr>
          <w:rFonts w:ascii="Arial" w:cs="Arial" w:eastAsia="Arial" w:hAnsi="Arial"/>
          <w:sz w:val="12"/>
          <w:szCs w:val="12"/>
          <w:color w:val="auto"/>
        </w:rPr>
      </w:pPr>
      <w:r>
        <w:rPr>
          <w:rFonts w:ascii="Arial" w:cs="Arial" w:eastAsia="Arial" w:hAnsi="Arial"/>
          <w:sz w:val="12"/>
          <w:szCs w:val="12"/>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41" w:lineRule="exact"/>
        <w:rPr>
          <w:rFonts w:ascii="Arial" w:cs="Arial" w:eastAsia="Arial" w:hAnsi="Arial"/>
          <w:sz w:val="12"/>
          <w:szCs w:val="12"/>
          <w:color w:val="auto"/>
        </w:rPr>
      </w:pPr>
    </w:p>
    <w:p>
      <w:pPr>
        <w:ind w:left="360" w:right="579" w:firstLine="334"/>
        <w:spacing w:after="0" w:line="247" w:lineRule="auto"/>
        <w:tabs>
          <w:tab w:leader="none" w:pos="894" w:val="left"/>
        </w:tabs>
        <w:numPr>
          <w:ilvl w:val="0"/>
          <w:numId w:val="124"/>
        </w:numPr>
        <w:rPr>
          <w:rFonts w:ascii="Arial" w:cs="Arial" w:eastAsia="Arial" w:hAnsi="Arial"/>
          <w:sz w:val="14"/>
          <w:szCs w:val="14"/>
          <w:color w:val="auto"/>
        </w:rPr>
      </w:pPr>
      <w:r>
        <w:rPr>
          <w:rFonts w:ascii="Arial" w:cs="Arial" w:eastAsia="Arial" w:hAnsi="Arial"/>
          <w:sz w:val="14"/>
          <w:szCs w:val="14"/>
          <w:u w:val="single" w:color="auto"/>
          <w:color w:val="auto"/>
        </w:rPr>
        <w:t>No Advice Regarding Grant</w:t>
      </w:r>
      <w:r>
        <w:rPr>
          <w:rFonts w:ascii="Arial" w:cs="Arial" w:eastAsia="Arial" w:hAnsi="Arial"/>
          <w:sz w:val="14"/>
          <w:szCs w:val="14"/>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67" w:lineRule="exact"/>
        <w:rPr>
          <w:rFonts w:ascii="Arial" w:cs="Arial" w:eastAsia="Arial" w:hAnsi="Arial"/>
          <w:sz w:val="14"/>
          <w:szCs w:val="14"/>
          <w:color w:val="auto"/>
        </w:rPr>
      </w:pPr>
    </w:p>
    <w:p>
      <w:pPr>
        <w:ind w:left="900" w:hanging="206"/>
        <w:spacing w:after="0"/>
        <w:tabs>
          <w:tab w:leader="none" w:pos="900" w:val="left"/>
        </w:tabs>
        <w:numPr>
          <w:ilvl w:val="0"/>
          <w:numId w:val="124"/>
        </w:numPr>
        <w:rPr>
          <w:rFonts w:ascii="Arial" w:cs="Arial" w:eastAsia="Arial" w:hAnsi="Arial"/>
          <w:sz w:val="11"/>
          <w:szCs w:val="11"/>
          <w:color w:val="auto"/>
        </w:rPr>
      </w:pPr>
      <w:r>
        <w:rPr>
          <w:rFonts w:ascii="Arial" w:cs="Arial" w:eastAsia="Arial" w:hAnsi="Arial"/>
          <w:sz w:val="11"/>
          <w:szCs w:val="11"/>
          <w:b w:val="1"/>
          <w:bCs w:val="1"/>
          <w:i w:val="1"/>
          <w:iCs w:val="1"/>
          <w:u w:val="single" w:color="auto"/>
          <w:color w:val="auto"/>
        </w:rPr>
        <w:t>Data Privacy</w:t>
      </w:r>
      <w:r>
        <w:rPr>
          <w:rFonts w:ascii="Arial" w:cs="Arial" w:eastAsia="Arial" w:hAnsi="Arial"/>
          <w:sz w:val="11"/>
          <w:szCs w:val="11"/>
          <w:color w:val="auto"/>
        </w:rPr>
        <w:t>.</w:t>
      </w:r>
      <w:r>
        <w:rPr>
          <w:rFonts w:ascii="Arial" w:cs="Arial" w:eastAsia="Arial" w:hAnsi="Arial"/>
          <w:sz w:val="11"/>
          <w:szCs w:val="11"/>
          <w:b w:val="1"/>
          <w:bCs w:val="1"/>
          <w:i w:val="1"/>
          <w:iCs w:val="1"/>
          <w:color w:val="auto"/>
        </w:rPr>
        <w:t xml:space="preserve"> Participant hereby explicitly and unambiguously consents to the collection, use and transfer, in electronic or other form, of</w:t>
      </w:r>
    </w:p>
    <w:p>
      <w:pPr>
        <w:spacing w:after="0" w:line="46" w:lineRule="exact"/>
        <w:rPr>
          <w:rFonts w:ascii="Arial" w:cs="Arial" w:eastAsia="Arial" w:hAnsi="Arial"/>
          <w:sz w:val="11"/>
          <w:szCs w:val="11"/>
          <w:color w:val="auto"/>
        </w:rPr>
      </w:pPr>
    </w:p>
    <w:p>
      <w:pPr>
        <w:ind w:left="360" w:right="439"/>
        <w:spacing w:after="0" w:line="243" w:lineRule="auto"/>
        <w:rPr>
          <w:rFonts w:ascii="Arial" w:cs="Arial" w:eastAsia="Arial" w:hAnsi="Arial"/>
          <w:sz w:val="11"/>
          <w:szCs w:val="11"/>
          <w:color w:val="auto"/>
        </w:rPr>
      </w:pPr>
      <w:r>
        <w:rPr>
          <w:rFonts w:ascii="Arial" w:cs="Arial" w:eastAsia="Arial" w:hAnsi="Arial"/>
          <w:sz w:val="14"/>
          <w:szCs w:val="14"/>
          <w:b w:val="1"/>
          <w:bCs w:val="1"/>
          <w:i w:val="1"/>
          <w:iCs w:val="1"/>
          <w:color w:val="auto"/>
        </w:rPr>
        <w:t>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69" w:lineRule="exact"/>
        <w:rPr>
          <w:sz w:val="20"/>
          <w:szCs w:val="20"/>
          <w:color w:val="auto"/>
        </w:rPr>
      </w:pPr>
    </w:p>
    <w:p>
      <w:pPr>
        <w:ind w:left="360" w:right="479" w:firstLine="331"/>
        <w:spacing w:after="0" w:line="246" w:lineRule="auto"/>
        <w:rPr>
          <w:sz w:val="20"/>
          <w:szCs w:val="20"/>
          <w:color w:val="auto"/>
        </w:rPr>
      </w:pPr>
      <w:r>
        <w:rPr>
          <w:rFonts w:ascii="Arial" w:cs="Arial" w:eastAsia="Arial" w:hAnsi="Arial"/>
          <w:sz w:val="14"/>
          <w:szCs w:val="14"/>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9019"/>
          </w:cols>
          <w:pgMar w:left="1440" w:top="240" w:right="1440" w:bottom="1440" w:gutter="0" w:footer="0" w:header="0"/>
        </w:sectPr>
      </w:pPr>
    </w:p>
    <w:bookmarkStart w:id="100" w:name="page101"/>
    <w:bookmarkEnd w:id="100"/>
    <w:p>
      <w:pPr>
        <w:ind w:left="360" w:right="379" w:firstLine="331"/>
        <w:spacing w:after="0" w:line="285" w:lineRule="auto"/>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55" w:lineRule="exact"/>
        <w:rPr>
          <w:sz w:val="20"/>
          <w:szCs w:val="20"/>
          <w:color w:val="auto"/>
        </w:rPr>
      </w:pPr>
    </w:p>
    <w:p>
      <w:pPr>
        <w:ind w:left="360" w:right="459" w:firstLine="334"/>
        <w:spacing w:after="0" w:line="342" w:lineRule="auto"/>
        <w:tabs>
          <w:tab w:leader="none" w:pos="894" w:val="left"/>
        </w:tabs>
        <w:numPr>
          <w:ilvl w:val="0"/>
          <w:numId w:val="125"/>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Option Agreement will be addressed to the Company at QuantumScape Corporation, 1730 Technology Drive, San Jose, CA 95110, or at such other address as the Company may hereafter designate in writing.</w:t>
      </w:r>
    </w:p>
    <w:p>
      <w:pPr>
        <w:spacing w:after="0" w:line="12" w:lineRule="exact"/>
        <w:rPr>
          <w:rFonts w:ascii="Arial" w:cs="Arial" w:eastAsia="Arial" w:hAnsi="Arial"/>
          <w:sz w:val="12"/>
          <w:szCs w:val="12"/>
          <w:color w:val="auto"/>
        </w:rPr>
      </w:pPr>
    </w:p>
    <w:p>
      <w:pPr>
        <w:ind w:left="360" w:right="459" w:firstLine="334"/>
        <w:spacing w:after="0" w:line="302" w:lineRule="auto"/>
        <w:tabs>
          <w:tab w:leader="none" w:pos="894" w:val="left"/>
        </w:tabs>
        <w:numPr>
          <w:ilvl w:val="0"/>
          <w:numId w:val="125"/>
        </w:numPr>
        <w:rPr>
          <w:rFonts w:ascii="Arial" w:cs="Arial" w:eastAsia="Arial" w:hAnsi="Arial"/>
          <w:sz w:val="12"/>
          <w:szCs w:val="12"/>
          <w:color w:val="auto"/>
        </w:rPr>
      </w:pPr>
      <w:r>
        <w:rPr>
          <w:rFonts w:ascii="Arial" w:cs="Arial" w:eastAsia="Arial" w:hAnsi="Arial"/>
          <w:sz w:val="12"/>
          <w:szCs w:val="12"/>
          <w:u w:val="single" w:color="auto"/>
          <w:color w:val="auto"/>
        </w:rPr>
        <w:t>Electronic Delivery and Acceptance</w:t>
      </w:r>
      <w:r>
        <w:rPr>
          <w:rFonts w:ascii="Arial" w:cs="Arial" w:eastAsia="Arial" w:hAnsi="Arial"/>
          <w:sz w:val="12"/>
          <w:szCs w:val="12"/>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6" w:lineRule="exact"/>
        <w:rPr>
          <w:rFonts w:ascii="Arial" w:cs="Arial" w:eastAsia="Arial" w:hAnsi="Arial"/>
          <w:sz w:val="12"/>
          <w:szCs w:val="12"/>
          <w:color w:val="auto"/>
        </w:rPr>
      </w:pPr>
    </w:p>
    <w:p>
      <w:pPr>
        <w:ind w:left="360" w:right="599" w:firstLine="334"/>
        <w:spacing w:after="0" w:line="259" w:lineRule="auto"/>
        <w:tabs>
          <w:tab w:leader="none" w:pos="894"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Option Agreement.</w:t>
      </w:r>
    </w:p>
    <w:p>
      <w:pPr>
        <w:spacing w:after="0" w:line="88" w:lineRule="exact"/>
        <w:rPr>
          <w:rFonts w:ascii="Arial" w:cs="Arial" w:eastAsia="Arial" w:hAnsi="Arial"/>
          <w:sz w:val="14"/>
          <w:szCs w:val="14"/>
          <w:color w:val="auto"/>
        </w:rPr>
      </w:pPr>
    </w:p>
    <w:p>
      <w:pPr>
        <w:ind w:left="4480" w:hanging="89"/>
        <w:spacing w:after="0"/>
        <w:tabs>
          <w:tab w:leader="none" w:pos="4480" w:val="left"/>
        </w:tabs>
        <w:numPr>
          <w:ilvl w:val="1"/>
          <w:numId w:val="125"/>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9019"/>
          </w:cols>
          <w:pgMar w:left="1440" w:top="240" w:right="1440" w:bottom="1440" w:gutter="0" w:footer="0" w:header="0"/>
        </w:sectPr>
      </w:pPr>
    </w:p>
    <w:bookmarkStart w:id="101" w:name="page102"/>
    <w:bookmarkEnd w:id="101"/>
    <w:p>
      <w:pPr>
        <w:ind w:left="360" w:right="539" w:firstLine="334"/>
        <w:spacing w:after="0" w:line="250" w:lineRule="auto"/>
        <w:tabs>
          <w:tab w:leader="none" w:pos="894"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Option Agreement Severable</w:t>
      </w:r>
      <w:r>
        <w:rPr>
          <w:rFonts w:ascii="Arial" w:cs="Arial" w:eastAsia="Arial" w:hAnsi="Arial"/>
          <w:sz w:val="14"/>
          <w:szCs w:val="14"/>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65" w:lineRule="exact"/>
        <w:rPr>
          <w:rFonts w:ascii="Arial" w:cs="Arial" w:eastAsia="Arial" w:hAnsi="Arial"/>
          <w:sz w:val="14"/>
          <w:szCs w:val="14"/>
          <w:color w:val="auto"/>
        </w:rPr>
      </w:pPr>
    </w:p>
    <w:p>
      <w:pPr>
        <w:ind w:left="360" w:right="379" w:firstLine="334"/>
        <w:spacing w:after="0" w:line="247" w:lineRule="auto"/>
        <w:tabs>
          <w:tab w:leader="none" w:pos="894"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67" w:lineRule="exact"/>
        <w:rPr>
          <w:rFonts w:ascii="Arial" w:cs="Arial" w:eastAsia="Arial" w:hAnsi="Arial"/>
          <w:sz w:val="14"/>
          <w:szCs w:val="14"/>
          <w:color w:val="auto"/>
        </w:rPr>
      </w:pPr>
    </w:p>
    <w:p>
      <w:pPr>
        <w:ind w:left="360" w:right="939" w:firstLine="334"/>
        <w:spacing w:after="0" w:line="259" w:lineRule="auto"/>
        <w:tabs>
          <w:tab w:leader="none" w:pos="894"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Non-Transferability of Option</w:t>
      </w:r>
      <w:r>
        <w:rPr>
          <w:rFonts w:ascii="Arial" w:cs="Arial" w:eastAsia="Arial" w:hAnsi="Arial"/>
          <w:sz w:val="14"/>
          <w:szCs w:val="14"/>
          <w:color w:val="auto"/>
        </w:rPr>
        <w:t>. This Option may not be transferred in any manner otherwise than by will or by the laws of descent or distribution and may be exercised during the lifetime of Participant only by Participant.</w:t>
      </w:r>
    </w:p>
    <w:p>
      <w:pPr>
        <w:spacing w:after="0" w:line="58" w:lineRule="exact"/>
        <w:rPr>
          <w:rFonts w:ascii="Arial" w:cs="Arial" w:eastAsia="Arial" w:hAnsi="Arial"/>
          <w:sz w:val="14"/>
          <w:szCs w:val="14"/>
          <w:color w:val="auto"/>
        </w:rPr>
      </w:pPr>
    </w:p>
    <w:p>
      <w:pPr>
        <w:ind w:left="360" w:right="399" w:firstLine="334"/>
        <w:spacing w:after="0" w:line="302" w:lineRule="auto"/>
        <w:tabs>
          <w:tab w:leader="none" w:pos="894"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36" w:lineRule="exact"/>
        <w:rPr>
          <w:rFonts w:ascii="Arial" w:cs="Arial" w:eastAsia="Arial" w:hAnsi="Arial"/>
          <w:sz w:val="12"/>
          <w:szCs w:val="12"/>
          <w:color w:val="auto"/>
        </w:rPr>
      </w:pPr>
    </w:p>
    <w:p>
      <w:pPr>
        <w:ind w:left="360" w:right="399" w:firstLine="334"/>
        <w:spacing w:after="0" w:line="289" w:lineRule="auto"/>
        <w:tabs>
          <w:tab w:leader="none" w:pos="894"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t>Additional Conditions to Issuance of Stock</w:t>
      </w:r>
      <w:r>
        <w:rPr>
          <w:rFonts w:ascii="Arial" w:cs="Arial" w:eastAsia="Arial" w:hAnsi="Arial"/>
          <w:sz w:val="12"/>
          <w:szCs w:val="1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43" w:lineRule="exact"/>
        <w:rPr>
          <w:rFonts w:ascii="Arial" w:cs="Arial" w:eastAsia="Arial" w:hAnsi="Arial"/>
          <w:sz w:val="12"/>
          <w:szCs w:val="12"/>
          <w:color w:val="auto"/>
        </w:rPr>
      </w:pPr>
    </w:p>
    <w:p>
      <w:pPr>
        <w:ind w:left="360" w:right="559" w:firstLine="334"/>
        <w:spacing w:after="0" w:line="342" w:lineRule="auto"/>
        <w:tabs>
          <w:tab w:leader="none" w:pos="894" w:val="left"/>
        </w:tabs>
        <w:numPr>
          <w:ilvl w:val="0"/>
          <w:numId w:val="126"/>
        </w:numPr>
        <w:rPr>
          <w:rFonts w:ascii="Arial" w:cs="Arial" w:eastAsia="Arial" w:hAnsi="Arial"/>
          <w:sz w:val="12"/>
          <w:szCs w:val="12"/>
          <w:color w:val="auto"/>
        </w:rPr>
      </w:pPr>
      <w:r>
        <w:rPr>
          <w:rFonts w:ascii="Arial" w:cs="Arial" w:eastAsia="Arial" w:hAnsi="Arial"/>
          <w:sz w:val="12"/>
          <w:szCs w:val="12"/>
          <w:u w:val="single" w:color="auto"/>
          <w:color w:val="auto"/>
        </w:rPr>
        <w:t>Language</w:t>
      </w:r>
      <w:r>
        <w:rPr>
          <w:rFonts w:ascii="Arial" w:cs="Arial" w:eastAsia="Arial" w:hAnsi="Arial"/>
          <w:sz w:val="12"/>
          <w:szCs w:val="12"/>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43" w:lineRule="exact"/>
        <w:rPr>
          <w:rFonts w:ascii="Arial" w:cs="Arial" w:eastAsia="Arial" w:hAnsi="Arial"/>
          <w:sz w:val="12"/>
          <w:szCs w:val="12"/>
          <w:color w:val="auto"/>
        </w:rPr>
      </w:pPr>
    </w:p>
    <w:p>
      <w:pPr>
        <w:ind w:left="4480" w:hanging="89"/>
        <w:spacing w:after="0"/>
        <w:tabs>
          <w:tab w:leader="none" w:pos="4480" w:val="left"/>
        </w:tabs>
        <w:numPr>
          <w:ilvl w:val="1"/>
          <w:numId w:val="126"/>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9019"/>
          </w:cols>
          <w:pgMar w:left="1440" w:top="240" w:right="1440" w:bottom="1440" w:gutter="0" w:footer="0" w:header="0"/>
        </w:sectPr>
      </w:pPr>
    </w:p>
    <w:bookmarkStart w:id="102" w:name="page103"/>
    <w:bookmarkEnd w:id="102"/>
    <w:p>
      <w:pPr>
        <w:ind w:left="360" w:right="459" w:firstLine="334"/>
        <w:spacing w:after="0" w:line="245" w:lineRule="auto"/>
        <w:tabs>
          <w:tab w:leader="none" w:pos="894"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Interpretation</w:t>
      </w:r>
      <w:r>
        <w:rPr>
          <w:rFonts w:ascii="Arial" w:cs="Arial" w:eastAsia="Arial" w:hAnsi="Arial"/>
          <w:sz w:val="14"/>
          <w:szCs w:val="14"/>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69" w:lineRule="exact"/>
        <w:rPr>
          <w:rFonts w:ascii="Arial" w:cs="Arial" w:eastAsia="Arial" w:hAnsi="Arial"/>
          <w:sz w:val="14"/>
          <w:szCs w:val="14"/>
          <w:color w:val="auto"/>
        </w:rPr>
      </w:pPr>
    </w:p>
    <w:p>
      <w:pPr>
        <w:jc w:val="both"/>
        <w:ind w:left="360" w:right="559" w:firstLine="334"/>
        <w:spacing w:after="0" w:line="312" w:lineRule="auto"/>
        <w:tabs>
          <w:tab w:leader="none" w:pos="894"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30" w:lineRule="exact"/>
        <w:rPr>
          <w:rFonts w:ascii="Arial" w:cs="Arial" w:eastAsia="Arial" w:hAnsi="Arial"/>
          <w:sz w:val="12"/>
          <w:szCs w:val="12"/>
          <w:color w:val="auto"/>
        </w:rPr>
      </w:pPr>
    </w:p>
    <w:p>
      <w:pPr>
        <w:ind w:left="360" w:right="499" w:firstLine="334"/>
        <w:spacing w:after="0" w:line="293" w:lineRule="auto"/>
        <w:tabs>
          <w:tab w:leader="none" w:pos="894"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Modifications to the Option Agreement</w:t>
      </w:r>
      <w:r>
        <w:rPr>
          <w:rFonts w:ascii="Arial" w:cs="Arial" w:eastAsia="Arial" w:hAnsi="Arial"/>
          <w:sz w:val="12"/>
          <w:szCs w:val="12"/>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207" w:lineRule="exact"/>
        <w:rPr>
          <w:rFonts w:ascii="Arial" w:cs="Arial" w:eastAsia="Arial" w:hAnsi="Arial"/>
          <w:sz w:val="12"/>
          <w:szCs w:val="12"/>
          <w:color w:val="auto"/>
        </w:rPr>
      </w:pPr>
    </w:p>
    <w:p>
      <w:pPr>
        <w:ind w:left="360" w:right="379" w:firstLine="334"/>
        <w:spacing w:after="0" w:line="302" w:lineRule="auto"/>
        <w:tabs>
          <w:tab w:leader="none" w:pos="894"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Governing Law and Venue</w:t>
      </w:r>
      <w:r>
        <w:rPr>
          <w:rFonts w:ascii="Arial" w:cs="Arial" w:eastAsia="Arial" w:hAnsi="Arial"/>
          <w:sz w:val="12"/>
          <w:szCs w:val="12"/>
          <w:color w:val="auto"/>
        </w:rPr>
        <w:t>. This Option Agreement and the Option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Santa Clara County, California, or the U.S. federal courts for the Northern District of California, and no other courts, where this Option is made and/or to be performed.</w:t>
      </w:r>
    </w:p>
    <w:p>
      <w:pPr>
        <w:spacing w:after="0" w:line="36" w:lineRule="exact"/>
        <w:rPr>
          <w:rFonts w:ascii="Arial" w:cs="Arial" w:eastAsia="Arial" w:hAnsi="Arial"/>
          <w:sz w:val="12"/>
          <w:szCs w:val="12"/>
          <w:color w:val="auto"/>
        </w:rPr>
      </w:pPr>
    </w:p>
    <w:p>
      <w:pPr>
        <w:ind w:left="360" w:right="519" w:firstLine="334"/>
        <w:spacing w:after="0" w:line="302" w:lineRule="auto"/>
        <w:tabs>
          <w:tab w:leader="none" w:pos="894"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The Plan is incorporated herein by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36" w:lineRule="exact"/>
        <w:rPr>
          <w:rFonts w:ascii="Arial" w:cs="Arial" w:eastAsia="Arial" w:hAnsi="Arial"/>
          <w:sz w:val="12"/>
          <w:szCs w:val="12"/>
          <w:color w:val="auto"/>
        </w:rPr>
      </w:pPr>
    </w:p>
    <w:p>
      <w:pPr>
        <w:ind w:left="360" w:right="439" w:firstLine="334"/>
        <w:spacing w:after="0" w:line="296" w:lineRule="auto"/>
        <w:tabs>
          <w:tab w:leader="none" w:pos="894" w:val="left"/>
        </w:tabs>
        <w:numPr>
          <w:ilvl w:val="0"/>
          <w:numId w:val="127"/>
        </w:numPr>
        <w:rPr>
          <w:rFonts w:ascii="Arial" w:cs="Arial" w:eastAsia="Arial" w:hAnsi="Arial"/>
          <w:sz w:val="12"/>
          <w:szCs w:val="12"/>
          <w:color w:val="auto"/>
        </w:rPr>
      </w:pPr>
      <w:r>
        <w:rPr>
          <w:rFonts w:ascii="Arial" w:cs="Arial" w:eastAsia="Arial" w:hAnsi="Arial"/>
          <w:sz w:val="12"/>
          <w:szCs w:val="12"/>
          <w:u w:val="single" w:color="auto"/>
          <w:color w:val="auto"/>
        </w:rPr>
        <w:t>Country Addendum</w:t>
      </w:r>
      <w:r>
        <w:rPr>
          <w:rFonts w:ascii="Arial" w:cs="Arial" w:eastAsia="Arial" w:hAnsi="Arial"/>
          <w:sz w:val="12"/>
          <w:szCs w:val="12"/>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234" w:lineRule="exact"/>
        <w:rPr>
          <w:rFonts w:ascii="Arial" w:cs="Arial" w:eastAsia="Arial" w:hAnsi="Arial"/>
          <w:sz w:val="12"/>
          <w:szCs w:val="12"/>
          <w:color w:val="auto"/>
        </w:rPr>
      </w:pPr>
    </w:p>
    <w:p>
      <w:pPr>
        <w:ind w:left="4480" w:hanging="89"/>
        <w:spacing w:after="0"/>
        <w:tabs>
          <w:tab w:leader="none" w:pos="448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9019"/>
          </w:cols>
          <w:pgMar w:left="1440" w:top="240" w:right="1440" w:bottom="1440" w:gutter="0" w:footer="0" w:header="0"/>
        </w:sectPr>
      </w:pPr>
    </w:p>
    <w:bookmarkStart w:id="103" w:name="page104"/>
    <w:bookmarkEnd w:id="103"/>
    <w:p>
      <w:pPr>
        <w:ind w:left="360" w:right="419" w:firstLine="334"/>
        <w:spacing w:after="0" w:line="246" w:lineRule="auto"/>
        <w:tabs>
          <w:tab w:leader="none" w:pos="894"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Tax Consequences</w:t>
      </w:r>
      <w:r>
        <w:rPr>
          <w:rFonts w:ascii="Arial" w:cs="Arial" w:eastAsia="Arial" w:hAnsi="Arial"/>
          <w:sz w:val="14"/>
          <w:szCs w:val="14"/>
          <w:color w:val="auto"/>
        </w:rPr>
        <w:t>. Participant has reviewed with his or her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49" w:lineRule="exact"/>
        <w:rPr>
          <w:sz w:val="20"/>
          <w:szCs w:val="20"/>
          <w:color w:val="auto"/>
        </w:rPr>
      </w:pPr>
    </w:p>
    <w:p>
      <w:pPr>
        <w:ind w:left="3960"/>
        <w:spacing w:after="0"/>
        <w:tabs>
          <w:tab w:leader="none" w:pos="4460" w:val="left"/>
          <w:tab w:leader="none" w:pos="49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B</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EQUITY INCENTIVE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EXERCISE NOTICE</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QuantumScape Corporation</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1730 Technology Drive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San Jose, CA 95110</w:t>
      </w:r>
    </w:p>
    <w:p>
      <w:pPr>
        <w:spacing w:after="0" w:line="72" w:lineRule="exact"/>
        <w:rPr>
          <w:sz w:val="20"/>
          <w:szCs w:val="20"/>
          <w:color w:val="auto"/>
        </w:rPr>
      </w:pPr>
    </w:p>
    <w:p>
      <w:pPr>
        <w:ind w:left="820" w:hanging="126"/>
        <w:spacing w:after="0"/>
        <w:tabs>
          <w:tab w:leader="none" w:pos="820"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Exercise of Option</w:t>
      </w:r>
      <w:r>
        <w:rPr>
          <w:rFonts w:ascii="Arial" w:cs="Arial" w:eastAsia="Arial" w:hAnsi="Arial"/>
          <w:sz w:val="12"/>
          <w:szCs w:val="12"/>
          <w:color w:val="auto"/>
        </w:rPr>
        <w:t>. Effective as of today, ________________, _____, the undersigned (“Purchaser”) hereby elects to purchase</w:t>
      </w:r>
    </w:p>
    <w:p>
      <w:pPr>
        <w:spacing w:after="0" w:line="34" w:lineRule="exact"/>
        <w:rPr>
          <w:rFonts w:ascii="Arial" w:cs="Arial" w:eastAsia="Arial" w:hAnsi="Arial"/>
          <w:sz w:val="12"/>
          <w:szCs w:val="12"/>
          <w:color w:val="auto"/>
        </w:rPr>
      </w:pPr>
    </w:p>
    <w:p>
      <w:pPr>
        <w:ind w:left="360" w:right="539"/>
        <w:spacing w:after="0" w:line="293" w:lineRule="auto"/>
        <w:rPr>
          <w:rFonts w:ascii="Arial" w:cs="Arial" w:eastAsia="Arial" w:hAnsi="Arial"/>
          <w:sz w:val="12"/>
          <w:szCs w:val="12"/>
          <w:color w:val="auto"/>
        </w:rPr>
      </w:pPr>
      <w:r>
        <w:rPr>
          <w:rFonts w:ascii="Arial" w:cs="Arial" w:eastAsia="Arial" w:hAnsi="Arial"/>
          <w:sz w:val="12"/>
          <w:szCs w:val="12"/>
          <w:color w:val="auto"/>
        </w:rPr>
        <w:t>______________ shares (the “Shares”) of the Common Stock of QuantumScape Corporation (the “Company”) under and pursuant to the 2020 Equity Incentive Plan (the “Plan”) and the Stock Option Agreement, dated ________ and including the Notice of Grant, the Terms and Conditions of Stock Option Grant, and exhibits attached thereto (the “Option Agreement”). The purchase price for the Shares will be $_____________, as required by the Option Agreement. Unless otherwise 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40" w:lineRule="exact"/>
        <w:rPr>
          <w:rFonts w:ascii="Arial" w:cs="Arial" w:eastAsia="Arial" w:hAnsi="Arial"/>
          <w:sz w:val="12"/>
          <w:szCs w:val="12"/>
          <w:color w:val="auto"/>
        </w:rPr>
      </w:pPr>
    </w:p>
    <w:p>
      <w:pPr>
        <w:ind w:left="360" w:right="479" w:firstLine="334"/>
        <w:spacing w:after="0" w:line="259" w:lineRule="auto"/>
        <w:tabs>
          <w:tab w:leader="none" w:pos="826"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Delivery of Payment</w:t>
      </w:r>
      <w:r>
        <w:rPr>
          <w:rFonts w:ascii="Arial" w:cs="Arial" w:eastAsia="Arial" w:hAnsi="Arial"/>
          <w:sz w:val="14"/>
          <w:szCs w:val="14"/>
          <w:color w:val="auto"/>
        </w:rPr>
        <w:t>. Purchaser herewith delivers to the Company the full purchase price of the Shares and any Tax Obligations (as defined in Section 6(a) of the Option Agreement) to be paid in connection with the exercise of the Option.</w:t>
      </w:r>
    </w:p>
    <w:p>
      <w:pPr>
        <w:spacing w:after="0" w:line="58" w:lineRule="exact"/>
        <w:rPr>
          <w:rFonts w:ascii="Arial" w:cs="Arial" w:eastAsia="Arial" w:hAnsi="Arial"/>
          <w:sz w:val="14"/>
          <w:szCs w:val="14"/>
          <w:color w:val="auto"/>
        </w:rPr>
      </w:pPr>
    </w:p>
    <w:p>
      <w:pPr>
        <w:ind w:left="360" w:right="599" w:firstLine="334"/>
        <w:spacing w:after="0" w:line="259" w:lineRule="auto"/>
        <w:tabs>
          <w:tab w:leader="none" w:pos="826"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Representations of Purchaser</w:t>
      </w:r>
      <w:r>
        <w:rPr>
          <w:rFonts w:ascii="Arial" w:cs="Arial" w:eastAsia="Arial" w:hAnsi="Arial"/>
          <w:sz w:val="14"/>
          <w:szCs w:val="14"/>
          <w:color w:val="auto"/>
        </w:rPr>
        <w:t>. Purchaser acknowledges that Purchaser has received, read and understood the Plan and the Option Agreement and agrees to abide by and be bound by their terms and conditions.</w:t>
      </w:r>
    </w:p>
    <w:p>
      <w:pPr>
        <w:spacing w:after="0" w:line="58" w:lineRule="exact"/>
        <w:rPr>
          <w:rFonts w:ascii="Arial" w:cs="Arial" w:eastAsia="Arial" w:hAnsi="Arial"/>
          <w:sz w:val="14"/>
          <w:szCs w:val="14"/>
          <w:color w:val="auto"/>
        </w:rPr>
      </w:pPr>
    </w:p>
    <w:p>
      <w:pPr>
        <w:ind w:left="360" w:right="379" w:firstLine="334"/>
        <w:spacing w:after="0" w:line="246" w:lineRule="auto"/>
        <w:tabs>
          <w:tab w:leader="none" w:pos="826"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Rights as Stockholder</w:t>
      </w:r>
      <w:r>
        <w:rPr>
          <w:rFonts w:ascii="Arial" w:cs="Arial" w:eastAsia="Arial" w:hAnsi="Arial"/>
          <w:sz w:val="14"/>
          <w:szCs w:val="14"/>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68" w:lineRule="exact"/>
        <w:rPr>
          <w:rFonts w:ascii="Arial" w:cs="Arial" w:eastAsia="Arial" w:hAnsi="Arial"/>
          <w:sz w:val="14"/>
          <w:szCs w:val="14"/>
          <w:color w:val="auto"/>
        </w:rPr>
      </w:pPr>
    </w:p>
    <w:p>
      <w:pPr>
        <w:jc w:val="both"/>
        <w:ind w:left="360" w:right="459" w:firstLine="334"/>
        <w:spacing w:after="0" w:line="312" w:lineRule="auto"/>
        <w:tabs>
          <w:tab w:leader="none" w:pos="826"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Tax Consultation</w:t>
      </w:r>
      <w:r>
        <w:rPr>
          <w:rFonts w:ascii="Arial" w:cs="Arial" w:eastAsia="Arial" w:hAnsi="Arial"/>
          <w:sz w:val="12"/>
          <w:szCs w:val="12"/>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ectPr>
          <w:pgSz w:w="11900" w:h="16838" w:orient="portrait"/>
          <w:cols w:equalWidth="0" w:num="1">
            <w:col w:w="9019"/>
          </w:cols>
          <w:pgMar w:left="1440" w:top="238" w:right="1440" w:bottom="1440" w:gutter="0" w:footer="0" w:header="0"/>
        </w:sectPr>
      </w:pPr>
    </w:p>
    <w:bookmarkStart w:id="105" w:name="page106"/>
    <w:bookmarkEnd w:id="105"/>
    <w:p>
      <w:pPr>
        <w:ind w:left="360" w:right="419" w:firstLine="334"/>
        <w:spacing w:after="0" w:line="246" w:lineRule="auto"/>
        <w:tabs>
          <w:tab w:leader="none" w:pos="826"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Entire Agreement; Governing Law</w:t>
      </w:r>
      <w:r>
        <w:rPr>
          <w:rFonts w:ascii="Arial" w:cs="Arial" w:eastAsia="Arial" w:hAnsi="Arial"/>
          <w:sz w:val="14"/>
          <w:szCs w:val="14"/>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pacing w:after="0" w:line="170" w:lineRule="exact"/>
        <w:rPr>
          <w:sz w:val="20"/>
          <w:szCs w:val="20"/>
          <w:color w:val="auto"/>
        </w:rPr>
      </w:pPr>
    </w:p>
    <w:tbl>
      <w:tblPr>
        <w:tblLayout w:type="fixed"/>
        <w:tblInd w:w="360" w:type="dxa"/>
        <w:tblCellMar>
          <w:top w:w="0" w:type="dxa"/>
          <w:left w:w="0" w:type="dxa"/>
          <w:bottom w:w="0" w:type="dxa"/>
          <w:right w:w="0" w:type="dxa"/>
        </w:tblCellMar>
      </w:tblPr>
      <w:tr>
        <w:trPr>
          <w:trHeight w:val="173"/>
        </w:trPr>
        <w:tc>
          <w:tcPr>
            <w:tcW w:w="3780" w:type="dxa"/>
            <w:vAlign w:val="bottom"/>
          </w:tcPr>
          <w:p>
            <w:pPr>
              <w:spacing w:after="0"/>
              <w:rPr>
                <w:sz w:val="20"/>
                <w:szCs w:val="20"/>
                <w:color w:val="auto"/>
              </w:rPr>
            </w:pPr>
            <w:r>
              <w:rPr>
                <w:rFonts w:ascii="Arial" w:cs="Arial" w:eastAsia="Arial" w:hAnsi="Arial"/>
                <w:sz w:val="14"/>
                <w:szCs w:val="14"/>
                <w:color w:val="auto"/>
              </w:rPr>
              <w:t>Submitted by:</w:t>
            </w:r>
          </w:p>
        </w:tc>
        <w:tc>
          <w:tcPr>
            <w:tcW w:w="74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Accepted by:</w:t>
            </w:r>
          </w:p>
        </w:tc>
      </w:tr>
      <w:tr>
        <w:trPr>
          <w:trHeight w:val="325"/>
        </w:trPr>
        <w:tc>
          <w:tcPr>
            <w:tcW w:w="3780" w:type="dxa"/>
            <w:vAlign w:val="bottom"/>
          </w:tcPr>
          <w:p>
            <w:pPr>
              <w:spacing w:after="0"/>
              <w:rPr>
                <w:sz w:val="20"/>
                <w:szCs w:val="20"/>
                <w:color w:val="auto"/>
              </w:rPr>
            </w:pPr>
            <w:r>
              <w:rPr>
                <w:rFonts w:ascii="Arial" w:cs="Arial" w:eastAsia="Arial" w:hAnsi="Arial"/>
                <w:sz w:val="14"/>
                <w:szCs w:val="14"/>
                <w:color w:val="auto"/>
              </w:rPr>
              <w:t>PURCHASER</w:t>
            </w:r>
          </w:p>
        </w:tc>
        <w:tc>
          <w:tcPr>
            <w:tcW w:w="74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QUANTUMSCAPE CORPORATION</w:t>
            </w:r>
          </w:p>
        </w:tc>
      </w:tr>
      <w:tr>
        <w:trPr>
          <w:trHeight w:val="163"/>
        </w:trPr>
        <w:tc>
          <w:tcPr>
            <w:tcW w:w="37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4"/>
                <w:szCs w:val="14"/>
                <w:color w:val="auto"/>
              </w:rPr>
              <w:t>Signature</w:t>
            </w:r>
          </w:p>
        </w:tc>
        <w:tc>
          <w:tcPr>
            <w:tcW w:w="7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Signature</w:t>
            </w:r>
          </w:p>
        </w:tc>
      </w:tr>
      <w:tr>
        <w:trPr>
          <w:trHeight w:val="162"/>
        </w:trPr>
        <w:tc>
          <w:tcPr>
            <w:tcW w:w="37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4"/>
                <w:szCs w:val="14"/>
                <w:color w:val="auto"/>
              </w:rPr>
              <w:t>Print Name</w:t>
            </w:r>
          </w:p>
        </w:tc>
        <w:tc>
          <w:tcPr>
            <w:tcW w:w="7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Print Name</w:t>
            </w:r>
          </w:p>
        </w:tc>
      </w:tr>
      <w:tr>
        <w:trPr>
          <w:trHeight w:val="324"/>
        </w:trPr>
        <w:tc>
          <w:tcPr>
            <w:tcW w:w="3780" w:type="dxa"/>
            <w:vAlign w:val="bottom"/>
          </w:tcPr>
          <w:p>
            <w:pPr>
              <w:spacing w:after="0"/>
              <w:rPr>
                <w:sz w:val="20"/>
                <w:szCs w:val="20"/>
                <w:color w:val="auto"/>
              </w:rPr>
            </w:pPr>
            <w:r>
              <w:rPr>
                <w:rFonts w:ascii="Arial" w:cs="Arial" w:eastAsia="Arial" w:hAnsi="Arial"/>
                <w:sz w:val="14"/>
                <w:szCs w:val="14"/>
                <w:color w:val="auto"/>
              </w:rPr>
              <w:t>Address:</w:t>
            </w:r>
          </w:p>
        </w:tc>
        <w:tc>
          <w:tcPr>
            <w:tcW w:w="7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63"/>
        </w:trPr>
        <w:tc>
          <w:tcPr>
            <w:tcW w:w="3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163"/>
        </w:trPr>
        <w:tc>
          <w:tcPr>
            <w:tcW w:w="3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Title</w:t>
            </w:r>
          </w:p>
        </w:tc>
      </w:tr>
      <w:tr>
        <w:trPr>
          <w:trHeight w:val="162"/>
        </w:trPr>
        <w:tc>
          <w:tcPr>
            <w:tcW w:w="37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163"/>
        </w:trPr>
        <w:tc>
          <w:tcPr>
            <w:tcW w:w="37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14"/>
                <w:szCs w:val="14"/>
                <w:color w:val="auto"/>
              </w:rPr>
            </w:pPr>
          </w:p>
        </w:tc>
      </w:tr>
      <w:tr>
        <w:trPr>
          <w:trHeight w:val="325"/>
        </w:trPr>
        <w:tc>
          <w:tcPr>
            <w:tcW w:w="3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163"/>
        </w:trPr>
        <w:tc>
          <w:tcPr>
            <w:tcW w:w="3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Date Received</w:t>
            </w:r>
          </w:p>
        </w:tc>
      </w:tr>
      <w:tr>
        <w:trPr>
          <w:trHeight w:val="273"/>
        </w:trPr>
        <w:tc>
          <w:tcPr>
            <w:tcW w:w="378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- 2 -</w:t>
            </w:r>
          </w:p>
        </w:tc>
        <w:tc>
          <w:tcPr>
            <w:tcW w:w="3540" w:type="dxa"/>
            <w:vAlign w:val="bottom"/>
          </w:tcPr>
          <w:p>
            <w:pPr>
              <w:spacing w:after="0"/>
              <w:rPr>
                <w:sz w:val="23"/>
                <w:szCs w:val="23"/>
                <w:color w:val="auto"/>
              </w:rPr>
            </w:pPr>
          </w:p>
        </w:tc>
      </w:tr>
    </w:tbl>
    <w:p>
      <w:pPr>
        <w:sectPr>
          <w:pgSz w:w="11900" w:h="16838" w:orient="portrait"/>
          <w:cols w:equalWidth="0" w:num="1">
            <w:col w:w="9019"/>
          </w:cols>
          <w:pgMar w:left="1440" w:top="240" w:right="1440" w:bottom="1440" w:gutter="0" w:footer="0" w:header="0"/>
        </w:sectPr>
      </w:pPr>
    </w:p>
    <w:bookmarkStart w:id="106" w:name="page107"/>
    <w:bookmarkEnd w:id="106"/>
    <w:p>
      <w:pPr>
        <w:jc w:val="right"/>
        <w:ind w:right="379"/>
        <w:spacing w:after="0"/>
        <w:rPr>
          <w:sz w:val="20"/>
          <w:szCs w:val="20"/>
          <w:color w:val="auto"/>
        </w:rPr>
      </w:pPr>
      <w:r>
        <w:rPr>
          <w:rFonts w:ascii="Arial" w:cs="Arial" w:eastAsia="Arial" w:hAnsi="Arial"/>
          <w:sz w:val="14"/>
          <w:szCs w:val="14"/>
          <w:b w:val="1"/>
          <w:bCs w:val="1"/>
          <w:color w:val="auto"/>
        </w:rPr>
        <w:t>EXHIBIT 10.10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EQUITY INCENTIVE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RESTRICTED STOCK UNIT AGREEMENT</w:t>
      </w:r>
    </w:p>
    <w:p>
      <w:pPr>
        <w:spacing w:after="0" w:line="154" w:lineRule="exact"/>
        <w:rPr>
          <w:sz w:val="20"/>
          <w:szCs w:val="20"/>
          <w:color w:val="auto"/>
        </w:rPr>
      </w:pPr>
    </w:p>
    <w:p>
      <w:pPr>
        <w:ind w:left="360" w:right="459" w:firstLine="331"/>
        <w:spacing w:after="0" w:line="312" w:lineRule="auto"/>
        <w:rPr>
          <w:sz w:val="20"/>
          <w:szCs w:val="20"/>
          <w:color w:val="auto"/>
        </w:rPr>
      </w:pPr>
      <w:r>
        <w:rPr>
          <w:rFonts w:ascii="Arial" w:cs="Arial" w:eastAsia="Arial" w:hAnsi="Arial"/>
          <w:sz w:val="12"/>
          <w:szCs w:val="12"/>
          <w:color w:val="auto"/>
        </w:rPr>
        <w:t xml:space="preserve">Unless otherwise defined herein, the terms defined in the QuantumScape Corporation 2020 Equity Incentive Plan (the “Plan”) will have the same defined meanings in this Restricted Stock Unit Agreement which includes the Notice of Restricted Stock Unit Grant, the Terms and Conditions of Restricted Stock Unit Grant,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and all exhibits attached thereto (all together, the “RSU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NOTICE OF RESTRICTED STOCK UNIT GRANT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Participant:</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Address: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undersigned Participant has been granted the right to receive an Award of Restricted Stock Units, subject to the terms and conditions of the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Plan and this RSU Agreement, as follows: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7620</wp:posOffset>
            </wp:positionV>
            <wp:extent cx="227520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227520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7620</wp:posOffset>
            </wp:positionV>
            <wp:extent cx="227520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227520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7620</wp:posOffset>
            </wp:positionV>
            <wp:extent cx="227520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227520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7620</wp:posOffset>
            </wp:positionV>
            <wp:extent cx="227520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227520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164" w:lineRule="exact"/>
        <w:rPr>
          <w:sz w:val="20"/>
          <w:szCs w:val="20"/>
          <w:color w:val="auto"/>
        </w:rPr>
      </w:pPr>
    </w:p>
    <w:p>
      <w:pPr>
        <w:ind w:left="360" w:right="619" w:firstLine="331"/>
        <w:spacing w:after="0" w:line="259" w:lineRule="auto"/>
        <w:rPr>
          <w:sz w:val="20"/>
          <w:szCs w:val="20"/>
          <w:color w:val="auto"/>
        </w:rPr>
      </w:pPr>
      <w:r>
        <w:rPr>
          <w:rFonts w:ascii="Arial" w:cs="Arial" w:eastAsia="Arial" w:hAnsi="Arial"/>
          <w:sz w:val="14"/>
          <w:szCs w:val="14"/>
          <w:color w:val="auto"/>
        </w:rPr>
        <w:t>Subject to any accelerated vesting as set forth below or in the Plan, the Restricted Stock Units will be scheduled to vest in accordance with the following schedule:</w:t>
      </w:r>
    </w:p>
    <w:p>
      <w:pPr>
        <w:spacing w:after="0" w:line="140" w:lineRule="exact"/>
        <w:rPr>
          <w:sz w:val="20"/>
          <w:szCs w:val="20"/>
          <w:color w:val="auto"/>
        </w:rPr>
      </w:pPr>
    </w:p>
    <w:p>
      <w:pPr>
        <w:ind w:left="360" w:right="499" w:firstLine="331"/>
        <w:spacing w:after="0" w:line="302" w:lineRule="auto"/>
        <w:rPr>
          <w:sz w:val="20"/>
          <w:szCs w:val="20"/>
          <w:color w:val="auto"/>
        </w:rPr>
      </w:pPr>
      <w:r>
        <w:rPr>
          <w:rFonts w:ascii="Arial" w:cs="Arial" w:eastAsia="Arial" w:hAnsi="Arial"/>
          <w:sz w:val="12"/>
          <w:szCs w:val="12"/>
          <w:color w:val="auto"/>
        </w:rPr>
        <w:t>[Twenty-five percent (25%) of the Restricted Stock Units will be scheduled to vest on the first Quarterly Vesting Date following the one (1) year anniversary of the Vesting Commencement Date, and six and one-quarter percent (6.25%) of the Restricted Stock Units will be scheduled to vest each quarter on each Quarterly Vesting Date thereafter, subject to Participant continuing to be a Service Provider through each such date. A “Quarterly Vesting Date” is the first trading day on or after each of February 15, May 15, August 15 and November 15.]</w:t>
      </w:r>
    </w:p>
    <w:p>
      <w:pPr>
        <w:spacing w:after="0" w:line="117" w:lineRule="exact"/>
        <w:rPr>
          <w:sz w:val="20"/>
          <w:szCs w:val="20"/>
          <w:color w:val="auto"/>
        </w:rPr>
      </w:pPr>
    </w:p>
    <w:p>
      <w:pPr>
        <w:ind w:left="360" w:right="519" w:firstLine="331"/>
        <w:spacing w:after="0" w:line="259" w:lineRule="auto"/>
        <w:rPr>
          <w:sz w:val="20"/>
          <w:szCs w:val="20"/>
          <w:color w:val="auto"/>
        </w:rPr>
      </w:pPr>
      <w:r>
        <w:rPr>
          <w:rFonts w:ascii="Arial" w:cs="Arial" w:eastAsia="Arial" w:hAnsi="Arial"/>
          <w:sz w:val="14"/>
          <w:szCs w:val="14"/>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40" w:lineRule="exact"/>
        <w:rPr>
          <w:sz w:val="20"/>
          <w:szCs w:val="20"/>
          <w:color w:val="auto"/>
        </w:rPr>
      </w:pPr>
    </w:p>
    <w:p>
      <w:pPr>
        <w:ind w:left="360" w:right="739" w:firstLine="331"/>
        <w:spacing w:after="0" w:line="247" w:lineRule="auto"/>
        <w:rPr>
          <w:sz w:val="20"/>
          <w:szCs w:val="20"/>
          <w:color w:val="auto"/>
        </w:rPr>
      </w:pPr>
      <w:r>
        <w:rPr>
          <w:rFonts w:ascii="Arial" w:cs="Arial" w:eastAsia="Arial" w:hAnsi="Arial"/>
          <w:sz w:val="14"/>
          <w:szCs w:val="14"/>
          <w:color w:val="auto"/>
        </w:rPr>
        <w:t xml:space="preserve">By Participant’s signature and the signature of the representative of QuantumScape Corporation (the “Company”) below, Participant and the Company agree that this Award of Restricted Stock Units is granted under and governed by the terms and conditions of the Plan and this RSU Agreement, including the Terms and Conditions of Restricted Stock Unit Grant,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all of which are made a part of this document. Participant acknowledges</w:t>
      </w:r>
    </w:p>
    <w:p>
      <w:pPr>
        <w:sectPr>
          <w:pgSz w:w="11900" w:h="16838" w:orient="portrait"/>
          <w:cols w:equalWidth="0" w:num="1">
            <w:col w:w="9019"/>
          </w:cols>
          <w:pgMar w:left="1440" w:top="127" w:right="1440" w:bottom="1440" w:gutter="0" w:footer="0" w:header="0"/>
        </w:sectPr>
      </w:pPr>
    </w:p>
    <w:bookmarkStart w:id="107" w:name="page108"/>
    <w:bookmarkEnd w:id="107"/>
    <w:p>
      <w:pPr>
        <w:ind w:left="360" w:right="459"/>
        <w:spacing w:after="0" w:line="30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receipt of a copy of the Plan. Participant has reviewed the Plan and this RSU Agreement in their entirety, has had an opportunity to obtain the advice of counsel prior to executing this RSU Agreement, and fully understands all provisions of the Plan and this RSU Agreement. Participant hereby agrees to accept as binding, conclusive, and final all decisions or interpretations of the Administrator upon any questions relating to the Plan and the RSU Agreement. Participant further agrees to notify the Company upon any change in the residence address indicated below.</w:t>
      </w:r>
    </w:p>
    <w:p>
      <w:pPr>
        <w:sectPr>
          <w:pgSz w:w="11900" w:h="16838" w:orient="portrait"/>
          <w:cols w:equalWidth="0" w:num="1">
            <w:col w:w="9019"/>
          </w:cols>
          <w:pgMar w:left="1440" w:top="240" w:right="1440" w:bottom="1440" w:gutter="0" w:footer="0" w:header="0"/>
        </w:sectPr>
      </w:pPr>
    </w:p>
    <w:p>
      <w:pPr>
        <w:spacing w:after="0" w:line="138" w:lineRule="exact"/>
        <w:rPr>
          <w:sz w:val="20"/>
          <w:szCs w:val="20"/>
          <w:color w:val="auto"/>
        </w:rPr>
      </w:pPr>
    </w:p>
    <w:p>
      <w:pPr>
        <w:ind w:left="360"/>
        <w:spacing w:after="0"/>
        <w:rPr>
          <w:sz w:val="20"/>
          <w:szCs w:val="20"/>
          <w:color w:val="auto"/>
        </w:rPr>
      </w:pPr>
      <w:r>
        <w:rPr>
          <w:rFonts w:ascii="Arial" w:cs="Arial" w:eastAsia="Arial" w:hAnsi="Arial"/>
          <w:sz w:val="12"/>
          <w:szCs w:val="1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125730</wp:posOffset>
            </wp:positionV>
            <wp:extent cx="252603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2526030" cy="6350"/>
                    </a:xfrm>
                    <a:prstGeom prst="rect">
                      <a:avLst/>
                    </a:prstGeom>
                    <a:noFill/>
                  </pic:spPr>
                </pic:pic>
              </a:graphicData>
            </a:graphic>
          </wp:anchor>
        </w:drawing>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111125</wp:posOffset>
            </wp:positionV>
            <wp:extent cx="252603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2526030" cy="635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Print Name</w:t>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111125</wp:posOffset>
            </wp:positionV>
            <wp:extent cx="252603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2526030" cy="635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278130</wp:posOffset>
            </wp:positionV>
            <wp:extent cx="252603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252603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QUANTUMSCAPE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241681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2416810" cy="63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241681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2416810" cy="635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241681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2416810" cy="6350"/>
                    </a:xfrm>
                    <a:prstGeom prst="rect">
                      <a:avLst/>
                    </a:prstGeom>
                    <a:noFill/>
                  </pic:spPr>
                </pic:pic>
              </a:graphicData>
            </a:graphic>
          </wp:anchor>
        </w:drawing>
      </w:r>
    </w:p>
    <w:p>
      <w:pPr>
        <w:spacing w:after="0" w:line="164" w:lineRule="exact"/>
        <w:rPr>
          <w:sz w:val="20"/>
          <w:szCs w:val="20"/>
          <w:color w:val="auto"/>
        </w:rPr>
      </w:pPr>
    </w:p>
    <w:p>
      <w:pPr>
        <w:jc w:val="center"/>
        <w:ind w:right="3939"/>
        <w:spacing w:after="0"/>
        <w:rPr>
          <w:sz w:val="20"/>
          <w:szCs w:val="20"/>
          <w:color w:val="auto"/>
        </w:rPr>
      </w:pPr>
      <w:r>
        <w:rPr>
          <w:rFonts w:ascii="Arial" w:cs="Arial" w:eastAsia="Arial" w:hAnsi="Arial"/>
          <w:sz w:val="12"/>
          <w:szCs w:val="12"/>
          <w:color w:val="auto"/>
        </w:rPr>
        <w:t>Title</w:t>
      </w:r>
    </w:p>
    <w:p>
      <w:pPr>
        <w:spacing w:after="0" w:line="385" w:lineRule="exact"/>
        <w:rPr>
          <w:sz w:val="20"/>
          <w:szCs w:val="20"/>
          <w:color w:val="auto"/>
        </w:rPr>
      </w:pPr>
    </w:p>
    <w:p>
      <w:pPr>
        <w:sectPr>
          <w:pgSz w:w="11900" w:h="16838" w:orient="portrait"/>
          <w:cols w:equalWidth="0" w:num="2">
            <w:col w:w="4120" w:space="720"/>
            <w:col w:w="4179"/>
          </w:cols>
          <w:pgMar w:left="1440" w:top="240" w:right="1440"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ectPr>
          <w:pgSz w:w="11900" w:h="16838" w:orient="portrait"/>
          <w:cols w:equalWidth="0" w:num="1">
            <w:col w:w="9019"/>
          </w:cols>
          <w:pgMar w:left="1440" w:top="240" w:right="1440"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TERMS AND CONDITIONS OF RESTRICTED STOCK UNIT GRANT</w:t>
      </w:r>
    </w:p>
    <w:p>
      <w:pPr>
        <w:spacing w:after="0" w:line="85" w:lineRule="exact"/>
        <w:rPr>
          <w:sz w:val="20"/>
          <w:szCs w:val="20"/>
          <w:color w:val="auto"/>
        </w:rPr>
      </w:pPr>
    </w:p>
    <w:p>
      <w:pPr>
        <w:ind w:left="360" w:right="439" w:firstLine="334"/>
        <w:spacing w:after="0" w:line="302" w:lineRule="auto"/>
        <w:tabs>
          <w:tab w:leader="none" w:pos="826"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Grant of Restricted Stock Units</w:t>
      </w:r>
      <w:r>
        <w:rPr>
          <w:rFonts w:ascii="Arial" w:cs="Arial" w:eastAsia="Arial" w:hAnsi="Arial"/>
          <w:sz w:val="12"/>
          <w:szCs w:val="12"/>
          <w:color w:val="auto"/>
        </w:rPr>
        <w:t>. The Company hereby grants to the individual (“Participant”) named in the Notice of Grant of Restricted Stock Units of this RSU Agreement (the “Notice of Grant”) under the Plan an Award of Restricted Stock Units, subject to all of the terms and conditions in this RSU Agreement and the Plan, which is incorporated herein by reference. Subject to Section 19(c) of the Plan, in the event of a conflict between the terms and conditions of the Plan and the terms and conditions of this RSU Agreement, the terms and conditions of the Plan will prevail.</w:t>
      </w:r>
    </w:p>
    <w:p>
      <w:pPr>
        <w:spacing w:after="0" w:line="36" w:lineRule="exact"/>
        <w:rPr>
          <w:rFonts w:ascii="Arial" w:cs="Arial" w:eastAsia="Arial" w:hAnsi="Arial"/>
          <w:sz w:val="12"/>
          <w:szCs w:val="12"/>
          <w:color w:val="auto"/>
        </w:rPr>
      </w:pPr>
    </w:p>
    <w:p>
      <w:pPr>
        <w:ind w:left="360" w:right="479" w:firstLine="334"/>
        <w:spacing w:after="0" w:line="247" w:lineRule="auto"/>
        <w:tabs>
          <w:tab w:leader="none" w:pos="826"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Company’s Obligation to Pay</w:t>
      </w:r>
      <w:r>
        <w:rPr>
          <w:rFonts w:ascii="Arial" w:cs="Arial" w:eastAsia="Arial" w:hAnsi="Arial"/>
          <w:sz w:val="14"/>
          <w:szCs w:val="14"/>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67" w:lineRule="exact"/>
        <w:rPr>
          <w:rFonts w:ascii="Arial" w:cs="Arial" w:eastAsia="Arial" w:hAnsi="Arial"/>
          <w:sz w:val="14"/>
          <w:szCs w:val="14"/>
          <w:color w:val="auto"/>
        </w:rPr>
      </w:pPr>
    </w:p>
    <w:p>
      <w:pPr>
        <w:ind w:left="360" w:right="559" w:firstLine="334"/>
        <w:spacing w:after="0" w:line="302" w:lineRule="auto"/>
        <w:tabs>
          <w:tab w:leader="none" w:pos="826" w:val="left"/>
        </w:tabs>
        <w:numPr>
          <w:ilvl w:val="0"/>
          <w:numId w:val="131"/>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Except as provided in Section 4, and subject to Section 5, the Restricted Stock Units awarded by this RSU Agreement will vest in accordance with the vesting provisions set forth in the Notice of Grant. Restricted Stock Units scheduled to vest on a certain date or upon the occurrence of a certain condition will not vest in Participant in accordance with any of the provisions of this RSU Agreement, unless Participant will have been continuously a Service Provider from the Date of Grant until the date such vesting occurs.</w:t>
      </w:r>
    </w:p>
    <w:p>
      <w:pPr>
        <w:spacing w:after="0" w:line="36" w:lineRule="exact"/>
        <w:rPr>
          <w:rFonts w:ascii="Arial" w:cs="Arial" w:eastAsia="Arial" w:hAnsi="Arial"/>
          <w:sz w:val="12"/>
          <w:szCs w:val="12"/>
          <w:color w:val="auto"/>
        </w:rPr>
      </w:pPr>
    </w:p>
    <w:p>
      <w:pPr>
        <w:ind w:left="820" w:hanging="126"/>
        <w:spacing w:after="0"/>
        <w:tabs>
          <w:tab w:leader="none" w:pos="820"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Payment after Vesting</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360" w:right="539" w:firstLine="749"/>
        <w:spacing w:after="0" w:line="246" w:lineRule="auto"/>
        <w:tabs>
          <w:tab w:leader="none" w:pos="1289" w:val="left"/>
        </w:tabs>
        <w:numPr>
          <w:ilvl w:val="1"/>
          <w:numId w:val="131"/>
        </w:numPr>
        <w:rPr>
          <w:rFonts w:ascii="Arial" w:cs="Arial" w:eastAsia="Arial" w:hAnsi="Arial"/>
          <w:sz w:val="14"/>
          <w:szCs w:val="14"/>
          <w:color w:val="auto"/>
        </w:rPr>
      </w:pPr>
      <w:r>
        <w:rPr>
          <w:rFonts w:ascii="Arial" w:cs="Arial" w:eastAsia="Arial" w:hAnsi="Arial"/>
          <w:sz w:val="14"/>
          <w:szCs w:val="14"/>
          <w:u w:val="single" w:color="auto"/>
          <w:color w:val="auto"/>
        </w:rPr>
        <w:t>General Rule</w:t>
      </w:r>
      <w:r>
        <w:rPr>
          <w:rFonts w:ascii="Arial" w:cs="Arial" w:eastAsia="Arial" w:hAnsi="Arial"/>
          <w:sz w:val="14"/>
          <w:szCs w:val="14"/>
          <w:color w:val="auto"/>
        </w:rPr>
        <w:t>. Subject to Section 7,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RSU Agreement.</w:t>
      </w:r>
    </w:p>
    <w:p>
      <w:pPr>
        <w:spacing w:after="0" w:line="68" w:lineRule="exact"/>
        <w:rPr>
          <w:rFonts w:ascii="Arial" w:cs="Arial" w:eastAsia="Arial" w:hAnsi="Arial"/>
          <w:sz w:val="14"/>
          <w:szCs w:val="14"/>
          <w:color w:val="auto"/>
        </w:rPr>
      </w:pPr>
    </w:p>
    <w:p>
      <w:pPr>
        <w:ind w:left="1300" w:hanging="191"/>
        <w:spacing w:after="0"/>
        <w:tabs>
          <w:tab w:leader="none" w:pos="1300" w:val="left"/>
        </w:tabs>
        <w:numPr>
          <w:ilvl w:val="1"/>
          <w:numId w:val="131"/>
        </w:numPr>
        <w:rPr>
          <w:rFonts w:ascii="Arial" w:cs="Arial" w:eastAsia="Arial" w:hAnsi="Arial"/>
          <w:sz w:val="14"/>
          <w:szCs w:val="14"/>
          <w:color w:val="auto"/>
        </w:rPr>
      </w:pPr>
      <w:r>
        <w:rPr>
          <w:rFonts w:ascii="Arial" w:cs="Arial" w:eastAsia="Arial" w:hAnsi="Arial"/>
          <w:sz w:val="14"/>
          <w:szCs w:val="14"/>
          <w:u w:val="single" w:color="auto"/>
          <w:color w:val="auto"/>
        </w:rPr>
        <w:t>Acceleration</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360" w:right="379" w:firstLine="1080"/>
        <w:spacing w:after="0" w:line="297" w:lineRule="auto"/>
        <w:tabs>
          <w:tab w:leader="none" w:pos="1598" w:val="left"/>
        </w:tabs>
        <w:numPr>
          <w:ilvl w:val="2"/>
          <w:numId w:val="131"/>
        </w:numPr>
        <w:rPr>
          <w:rFonts w:ascii="Arial" w:cs="Arial" w:eastAsia="Arial" w:hAnsi="Arial"/>
          <w:sz w:val="12"/>
          <w:szCs w:val="12"/>
          <w:color w:val="auto"/>
        </w:rPr>
      </w:pPr>
      <w:r>
        <w:rPr>
          <w:rFonts w:ascii="Arial" w:cs="Arial" w:eastAsia="Arial" w:hAnsi="Arial"/>
          <w:sz w:val="12"/>
          <w:szCs w:val="12"/>
          <w:u w:val="single" w:color="auto"/>
          <w:color w:val="auto"/>
        </w:rPr>
        <w:t>Discretionary Acceleration</w:t>
      </w:r>
      <w:r>
        <w:rPr>
          <w:rFonts w:ascii="Arial" w:cs="Arial" w:eastAsia="Arial" w:hAnsi="Arial"/>
          <w:sz w:val="12"/>
          <w:szCs w:val="12"/>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RSU Agreement only by direct and specific reference to such sentence.</w:t>
      </w:r>
    </w:p>
    <w:p>
      <w:pPr>
        <w:sectPr>
          <w:pgSz w:w="11900" w:h="16838" w:orient="portrait"/>
          <w:cols w:equalWidth="0" w:num="1">
            <w:col w:w="9019"/>
          </w:cols>
          <w:pgMar w:left="1440" w:top="238" w:right="1440" w:bottom="1440" w:gutter="0" w:footer="0" w:header="0"/>
        </w:sectPr>
      </w:pPr>
    </w:p>
    <w:bookmarkStart w:id="109" w:name="page110"/>
    <w:bookmarkEnd w:id="109"/>
    <w:p>
      <w:pPr>
        <w:ind w:left="360" w:right="399" w:firstLine="1080"/>
        <w:spacing w:after="0" w:line="288" w:lineRule="auto"/>
        <w:tabs>
          <w:tab w:leader="none" w:pos="1636" w:val="left"/>
        </w:tabs>
        <w:numPr>
          <w:ilvl w:val="3"/>
          <w:numId w:val="13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Notwithstanding anything in the Plan or this RSU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w:t>
      </w:r>
    </w:p>
    <w:p>
      <w:pPr>
        <w:ind w:left="360" w:right="439"/>
        <w:spacing w:after="0" w:line="282" w:lineRule="auto"/>
        <w:rPr>
          <w:rFonts w:ascii="Arial" w:cs="Arial" w:eastAsia="Arial" w:hAnsi="Arial"/>
          <w:sz w:val="12"/>
          <w:szCs w:val="12"/>
          <w:color w:val="auto"/>
        </w:rPr>
      </w:pPr>
      <w:r>
        <w:rPr>
          <w:rFonts w:ascii="Arial" w:cs="Arial" w:eastAsia="Arial" w:hAnsi="Arial"/>
          <w:sz w:val="12"/>
          <w:szCs w:val="12"/>
          <w:color w:val="auto"/>
        </w:rPr>
        <w:t>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ind w:left="360" w:right="399" w:firstLine="3"/>
        <w:spacing w:after="0" w:line="243" w:lineRule="auto"/>
        <w:tabs>
          <w:tab w:leader="none" w:pos="552" w:val="left"/>
        </w:tabs>
        <w:numPr>
          <w:ilvl w:val="0"/>
          <w:numId w:val="133"/>
        </w:numPr>
        <w:rPr>
          <w:rFonts w:ascii="Arial" w:cs="Arial" w:eastAsia="Arial" w:hAnsi="Arial"/>
          <w:sz w:val="14"/>
          <w:szCs w:val="14"/>
          <w:color w:val="auto"/>
        </w:rPr>
      </w:pPr>
      <w:r>
        <w:rPr>
          <w:rFonts w:ascii="Arial" w:cs="Arial" w:eastAsia="Arial" w:hAnsi="Arial"/>
          <w:sz w:val="14"/>
          <w:szCs w:val="14"/>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69" w:lineRule="exact"/>
        <w:rPr>
          <w:rFonts w:ascii="Arial" w:cs="Arial" w:eastAsia="Arial" w:hAnsi="Arial"/>
          <w:sz w:val="14"/>
          <w:szCs w:val="14"/>
          <w:color w:val="auto"/>
        </w:rPr>
      </w:pPr>
    </w:p>
    <w:p>
      <w:pPr>
        <w:ind w:left="360" w:right="419" w:firstLine="749"/>
        <w:spacing w:after="0" w:line="286" w:lineRule="auto"/>
        <w:tabs>
          <w:tab w:leader="none" w:pos="1289" w:val="left"/>
        </w:tabs>
        <w:numPr>
          <w:ilvl w:val="2"/>
          <w:numId w:val="133"/>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It is the intent of this RSU Agreement that it and all payments and benefits to U.S. taxpayers hereunder be exempt from, or comply with, the requirements of Section 409A so that none of the Restricted Stock Units provided under this RSU Agreement or Shares issuable thereunder will be subject to the additional tax imposed under Section 409A, and any ambiguities herein will be interpreted to be so exempt or so comply. Each payment payable under this RSU Agreement is intended to constitute a separate payment for purposes of Treasury Regulation</w:t>
      </w:r>
    </w:p>
    <w:p>
      <w:pPr>
        <w:spacing w:after="0" w:line="1" w:lineRule="exact"/>
        <w:rPr>
          <w:rFonts w:ascii="Arial" w:cs="Arial" w:eastAsia="Arial" w:hAnsi="Arial"/>
          <w:sz w:val="12"/>
          <w:szCs w:val="12"/>
          <w:color w:val="auto"/>
        </w:rPr>
      </w:pPr>
    </w:p>
    <w:p>
      <w:pPr>
        <w:ind w:left="360" w:right="719"/>
        <w:spacing w:after="0" w:line="243" w:lineRule="auto"/>
        <w:rPr>
          <w:rFonts w:ascii="Arial" w:cs="Arial" w:eastAsia="Arial" w:hAnsi="Arial"/>
          <w:sz w:val="12"/>
          <w:szCs w:val="12"/>
          <w:color w:val="auto"/>
        </w:rPr>
      </w:pPr>
      <w:r>
        <w:rPr>
          <w:rFonts w:ascii="Arial" w:cs="Arial" w:eastAsia="Arial" w:hAnsi="Arial"/>
          <w:sz w:val="14"/>
          <w:szCs w:val="14"/>
          <w:color w:val="auto"/>
        </w:rPr>
        <w:t>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69" w:lineRule="exact"/>
        <w:rPr>
          <w:rFonts w:ascii="Arial" w:cs="Arial" w:eastAsia="Arial" w:hAnsi="Arial"/>
          <w:sz w:val="12"/>
          <w:szCs w:val="12"/>
          <w:color w:val="auto"/>
        </w:rPr>
      </w:pPr>
    </w:p>
    <w:p>
      <w:pPr>
        <w:ind w:left="360" w:right="439" w:firstLine="334"/>
        <w:spacing w:after="0" w:line="247" w:lineRule="auto"/>
        <w:tabs>
          <w:tab w:leader="none" w:pos="826" w:val="left"/>
        </w:tabs>
        <w:numPr>
          <w:ilvl w:val="1"/>
          <w:numId w:val="133"/>
        </w:numPr>
        <w:rPr>
          <w:rFonts w:ascii="Arial" w:cs="Arial" w:eastAsia="Arial" w:hAnsi="Arial"/>
          <w:sz w:val="14"/>
          <w:szCs w:val="14"/>
          <w:color w:val="auto"/>
        </w:rPr>
      </w:pPr>
      <w:r>
        <w:rPr>
          <w:rFonts w:ascii="Arial" w:cs="Arial" w:eastAsia="Arial" w:hAnsi="Arial"/>
          <w:sz w:val="14"/>
          <w:szCs w:val="14"/>
          <w:u w:val="single" w:color="auto"/>
          <w:color w:val="auto"/>
        </w:rPr>
        <w:t>Forfeiture Upon Termination as a Service Provider</w:t>
      </w:r>
      <w:r>
        <w:rPr>
          <w:rFonts w:ascii="Arial" w:cs="Arial" w:eastAsia="Arial" w:hAnsi="Arial"/>
          <w:sz w:val="14"/>
          <w:szCs w:val="14"/>
          <w:color w:val="auto"/>
        </w:rPr>
        <w:t>. Unless specifically provided otherwise in this RSU Agreement or other written agreement between Participant and the Company or any of its Subsidiaries or Parents, as applicable, if Participant ceases to be a Service Provider for any or no reason, the then-unvested Restricted Stock Units awarded by this RSU Agreement will thereupon be forfeited at no cost to the Company and Participant will have no further rights thereunder.</w:t>
      </w:r>
    </w:p>
    <w:p>
      <w:pPr>
        <w:spacing w:after="0" w:line="67" w:lineRule="exact"/>
        <w:rPr>
          <w:rFonts w:ascii="Arial" w:cs="Arial" w:eastAsia="Arial" w:hAnsi="Arial"/>
          <w:sz w:val="14"/>
          <w:szCs w:val="14"/>
          <w:color w:val="auto"/>
        </w:rPr>
      </w:pPr>
    </w:p>
    <w:p>
      <w:pPr>
        <w:ind w:left="360" w:right="499" w:firstLine="334"/>
        <w:spacing w:after="0" w:line="302" w:lineRule="auto"/>
        <w:tabs>
          <w:tab w:leader="none" w:pos="826" w:val="left"/>
        </w:tabs>
        <w:numPr>
          <w:ilvl w:val="1"/>
          <w:numId w:val="133"/>
        </w:numPr>
        <w:rPr>
          <w:rFonts w:ascii="Arial" w:cs="Arial" w:eastAsia="Arial" w:hAnsi="Arial"/>
          <w:sz w:val="12"/>
          <w:szCs w:val="12"/>
          <w:color w:val="auto"/>
        </w:rPr>
      </w:pPr>
      <w:r>
        <w:rPr>
          <w:rFonts w:ascii="Arial" w:cs="Arial" w:eastAsia="Arial" w:hAnsi="Arial"/>
          <w:sz w:val="12"/>
          <w:szCs w:val="12"/>
          <w:u w:val="single" w:color="auto"/>
          <w:color w:val="auto"/>
        </w:rPr>
        <w:t>Death of Participant</w:t>
      </w:r>
      <w:r>
        <w:rPr>
          <w:rFonts w:ascii="Arial" w:cs="Arial" w:eastAsia="Arial" w:hAnsi="Arial"/>
          <w:sz w:val="12"/>
          <w:szCs w:val="12"/>
          <w:color w:val="auto"/>
        </w:rPr>
        <w:t>. Any distribution or delivery to be made to Participant under this RSU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66" w:lineRule="exact"/>
        <w:rPr>
          <w:rFonts w:ascii="Arial" w:cs="Arial" w:eastAsia="Arial" w:hAnsi="Arial"/>
          <w:sz w:val="12"/>
          <w:szCs w:val="12"/>
          <w:color w:val="auto"/>
        </w:rPr>
      </w:pPr>
    </w:p>
    <w:p>
      <w:pPr>
        <w:ind w:left="4480" w:hanging="89"/>
        <w:spacing w:after="0"/>
        <w:tabs>
          <w:tab w:leader="none" w:pos="4480" w:val="left"/>
        </w:tabs>
        <w:numPr>
          <w:ilvl w:val="4"/>
          <w:numId w:val="133"/>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9019"/>
          </w:cols>
          <w:pgMar w:left="1440" w:top="240" w:right="1440" w:bottom="1440" w:gutter="0" w:footer="0" w:header="0"/>
        </w:sectPr>
      </w:pPr>
    </w:p>
    <w:bookmarkStart w:id="110" w:name="page111"/>
    <w:bookmarkEnd w:id="110"/>
    <w:p>
      <w:pPr>
        <w:ind w:left="820" w:hanging="126"/>
        <w:spacing w:after="0"/>
        <w:tabs>
          <w:tab w:leader="none" w:pos="820" w:val="left"/>
        </w:tabs>
        <w:numPr>
          <w:ilvl w:val="1"/>
          <w:numId w:val="134"/>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Tax Obligations</w:t>
      </w:r>
    </w:p>
    <w:p>
      <w:pPr>
        <w:spacing w:after="0" w:line="82" w:lineRule="exact"/>
        <w:rPr>
          <w:rFonts w:ascii="Arial" w:cs="Arial" w:eastAsia="Arial" w:hAnsi="Arial"/>
          <w:sz w:val="14"/>
          <w:szCs w:val="14"/>
          <w:color w:val="auto"/>
        </w:rPr>
      </w:pPr>
    </w:p>
    <w:p>
      <w:pPr>
        <w:ind w:left="360" w:right="379" w:firstLine="749"/>
        <w:spacing w:after="0" w:line="285" w:lineRule="auto"/>
        <w:tabs>
          <w:tab w:leader="none" w:pos="1289" w:val="left"/>
        </w:tabs>
        <w:numPr>
          <w:ilvl w:val="2"/>
          <w:numId w:val="134"/>
        </w:numPr>
        <w:rPr>
          <w:rFonts w:ascii="Arial" w:cs="Arial" w:eastAsia="Arial" w:hAnsi="Arial"/>
          <w:sz w:val="12"/>
          <w:szCs w:val="12"/>
          <w:color w:val="auto"/>
        </w:rPr>
      </w:pPr>
      <w:r>
        <w:rPr>
          <w:rFonts w:ascii="Arial" w:cs="Arial" w:eastAsia="Arial" w:hAnsi="Arial"/>
          <w:sz w:val="12"/>
          <w:szCs w:val="12"/>
          <w:u w:val="single" w:color="auto"/>
          <w:color w:val="auto"/>
        </w:rPr>
        <w:t>Responsibility for Taxes</w:t>
      </w:r>
      <w:r>
        <w:rPr>
          <w:rFonts w:ascii="Arial" w:cs="Arial" w:eastAsia="Arial" w:hAnsi="Arial"/>
          <w:sz w:val="12"/>
          <w:szCs w:val="12"/>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 (iii) any other Company (or Service Recipient) taxes the responsibility for which the Participant has, or has agreed to bear, with respect to the Restricted Stock Units (or settlement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53" w:lineRule="exact"/>
        <w:rPr>
          <w:rFonts w:ascii="Arial" w:cs="Arial" w:eastAsia="Arial" w:hAnsi="Arial"/>
          <w:sz w:val="12"/>
          <w:szCs w:val="12"/>
          <w:color w:val="auto"/>
        </w:rPr>
      </w:pPr>
    </w:p>
    <w:p>
      <w:pPr>
        <w:ind w:left="360" w:right="379" w:firstLine="749"/>
        <w:spacing w:after="0" w:line="284" w:lineRule="auto"/>
        <w:tabs>
          <w:tab w:leader="none" w:pos="1297" w:val="left"/>
        </w:tabs>
        <w:numPr>
          <w:ilvl w:val="2"/>
          <w:numId w:val="134"/>
        </w:numPr>
        <w:rPr>
          <w:rFonts w:ascii="Arial" w:cs="Arial" w:eastAsia="Arial" w:hAnsi="Arial"/>
          <w:sz w:val="12"/>
          <w:szCs w:val="12"/>
          <w:color w:val="auto"/>
        </w:rPr>
      </w:pPr>
      <w:r>
        <w:rPr>
          <w:rFonts w:ascii="Arial" w:cs="Arial" w:eastAsia="Arial" w:hAnsi="Arial"/>
          <w:sz w:val="12"/>
          <w:szCs w:val="12"/>
          <w:u w:val="single" w:color="auto"/>
          <w:color w:val="auto"/>
        </w:rPr>
        <w:t>Tax Withholding</w:t>
      </w:r>
      <w:r>
        <w:rPr>
          <w:rFonts w:ascii="Arial" w:cs="Arial" w:eastAsia="Arial" w:hAnsi="Arial"/>
          <w:sz w:val="12"/>
          <w:szCs w:val="12"/>
          <w:color w:val="auto"/>
        </w:rPr>
        <w:t>.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w:t>
      </w:r>
    </w:p>
    <w:p>
      <w:pPr>
        <w:spacing w:after="0" w:line="2" w:lineRule="exact"/>
        <w:rPr>
          <w:rFonts w:ascii="Arial" w:cs="Arial" w:eastAsia="Arial" w:hAnsi="Arial"/>
          <w:sz w:val="12"/>
          <w:szCs w:val="12"/>
          <w:color w:val="auto"/>
        </w:rPr>
      </w:pPr>
    </w:p>
    <w:p>
      <w:pPr>
        <w:ind w:left="360" w:right="419" w:firstLine="3"/>
        <w:spacing w:after="0" w:line="293" w:lineRule="auto"/>
        <w:tabs>
          <w:tab w:leader="none" w:pos="55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and, until</w:t>
      </w:r>
    </w:p>
    <w:p>
      <w:pPr>
        <w:spacing w:after="0" w:line="71" w:lineRule="exact"/>
        <w:rPr>
          <w:rFonts w:ascii="Arial" w:cs="Arial" w:eastAsia="Arial" w:hAnsi="Arial"/>
          <w:sz w:val="12"/>
          <w:szCs w:val="12"/>
          <w:color w:val="auto"/>
        </w:rPr>
      </w:pPr>
    </w:p>
    <w:p>
      <w:pPr>
        <w:ind w:left="4480" w:hanging="89"/>
        <w:spacing w:after="0"/>
        <w:tabs>
          <w:tab w:leader="none" w:pos="4480" w:val="left"/>
        </w:tabs>
        <w:numPr>
          <w:ilvl w:val="3"/>
          <w:numId w:val="135"/>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9019"/>
          </w:cols>
          <w:pgMar w:left="1440" w:top="240" w:right="1440" w:bottom="1440" w:gutter="0" w:footer="0" w:header="0"/>
        </w:sectPr>
      </w:pPr>
    </w:p>
    <w:bookmarkStart w:id="111" w:name="page112"/>
    <w:bookmarkEnd w:id="111"/>
    <w:p>
      <w:pPr>
        <w:ind w:left="360" w:right="439"/>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determined otherwise by the Company, this will be the method by which such Tax Obligations.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w:t>
      </w:r>
    </w:p>
    <w:p>
      <w:pPr>
        <w:spacing w:after="0" w:line="43" w:lineRule="exact"/>
        <w:rPr>
          <w:sz w:val="20"/>
          <w:szCs w:val="20"/>
          <w:color w:val="auto"/>
        </w:rPr>
      </w:pPr>
    </w:p>
    <w:p>
      <w:pPr>
        <w:ind w:left="360" w:right="499" w:firstLine="749"/>
        <w:spacing w:after="0" w:line="246" w:lineRule="auto"/>
        <w:tabs>
          <w:tab w:leader="none" w:pos="1289" w:val="left"/>
        </w:tabs>
        <w:numPr>
          <w:ilvl w:val="1"/>
          <w:numId w:val="136"/>
        </w:numPr>
        <w:rPr>
          <w:rFonts w:ascii="Arial" w:cs="Arial" w:eastAsia="Arial" w:hAnsi="Arial"/>
          <w:sz w:val="14"/>
          <w:szCs w:val="14"/>
          <w:color w:val="auto"/>
        </w:rPr>
      </w:pPr>
      <w:r>
        <w:rPr>
          <w:rFonts w:ascii="Arial" w:cs="Arial" w:eastAsia="Arial" w:hAnsi="Arial"/>
          <w:sz w:val="14"/>
          <w:szCs w:val="14"/>
          <w:u w:val="single" w:color="auto"/>
          <w:color w:val="auto"/>
        </w:rPr>
        <w:t>No Representations</w:t>
      </w:r>
      <w:r>
        <w:rPr>
          <w:rFonts w:ascii="Arial" w:cs="Arial" w:eastAsia="Arial" w:hAnsi="Arial"/>
          <w:sz w:val="14"/>
          <w:szCs w:val="14"/>
          <w:color w:val="auto"/>
        </w:rPr>
        <w:t>. Participant has reviewed with his or her own tax advisers the U.S. federal, state, local and non-U.S. tax consequences of this investment and the transactions contemplated by this RSU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RSU Agreement.</w:t>
      </w:r>
    </w:p>
    <w:p>
      <w:pPr>
        <w:spacing w:after="0" w:line="68" w:lineRule="exact"/>
        <w:rPr>
          <w:rFonts w:ascii="Arial" w:cs="Arial" w:eastAsia="Arial" w:hAnsi="Arial"/>
          <w:sz w:val="14"/>
          <w:szCs w:val="14"/>
          <w:color w:val="auto"/>
        </w:rPr>
      </w:pPr>
    </w:p>
    <w:p>
      <w:pPr>
        <w:ind w:left="360" w:right="459" w:firstLine="749"/>
        <w:spacing w:after="0" w:line="292" w:lineRule="auto"/>
        <w:tabs>
          <w:tab w:leader="none" w:pos="1297" w:val="left"/>
        </w:tabs>
        <w:numPr>
          <w:ilvl w:val="1"/>
          <w:numId w:val="136"/>
        </w:numPr>
        <w:rPr>
          <w:rFonts w:ascii="Arial" w:cs="Arial" w:eastAsia="Arial" w:hAnsi="Arial"/>
          <w:sz w:val="12"/>
          <w:szCs w:val="12"/>
          <w:color w:val="auto"/>
        </w:rPr>
      </w:pPr>
      <w:r>
        <w:rPr>
          <w:rFonts w:ascii="Arial" w:cs="Arial" w:eastAsia="Arial" w:hAnsi="Arial"/>
          <w:sz w:val="12"/>
          <w:szCs w:val="12"/>
          <w:u w:val="single" w:color="auto"/>
          <w:color w:val="auto"/>
        </w:rPr>
        <w:t>Company’s Obligation to Deliver Shares</w:t>
      </w:r>
      <w:r>
        <w:rPr>
          <w:rFonts w:ascii="Arial" w:cs="Arial" w:eastAsia="Arial" w:hAnsi="Arial"/>
          <w:sz w:val="12"/>
          <w:szCs w:val="12"/>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will permanently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42" w:lineRule="exact"/>
        <w:rPr>
          <w:rFonts w:ascii="Arial" w:cs="Arial" w:eastAsia="Arial" w:hAnsi="Arial"/>
          <w:sz w:val="12"/>
          <w:szCs w:val="12"/>
          <w:color w:val="auto"/>
        </w:rPr>
      </w:pPr>
    </w:p>
    <w:p>
      <w:pPr>
        <w:ind w:left="360" w:right="399" w:firstLine="334"/>
        <w:spacing w:after="0" w:line="297" w:lineRule="auto"/>
        <w:tabs>
          <w:tab w:leader="none" w:pos="826" w:val="left"/>
        </w:tabs>
        <w:numPr>
          <w:ilvl w:val="0"/>
          <w:numId w:val="137"/>
        </w:numPr>
        <w:rPr>
          <w:rFonts w:ascii="Arial" w:cs="Arial" w:eastAsia="Arial" w:hAnsi="Arial"/>
          <w:sz w:val="12"/>
          <w:szCs w:val="12"/>
          <w:color w:val="auto"/>
        </w:rPr>
      </w:pPr>
      <w:r>
        <w:rPr>
          <w:rFonts w:ascii="Arial" w:cs="Arial" w:eastAsia="Arial" w:hAnsi="Arial"/>
          <w:sz w:val="12"/>
          <w:szCs w:val="12"/>
          <w:u w:val="single" w:color="auto"/>
          <w:color w:val="auto"/>
        </w:rPr>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9" w:lineRule="exact"/>
        <w:rPr>
          <w:rFonts w:ascii="Arial" w:cs="Arial" w:eastAsia="Arial" w:hAnsi="Arial"/>
          <w:sz w:val="12"/>
          <w:szCs w:val="12"/>
          <w:color w:val="auto"/>
        </w:rPr>
      </w:pPr>
    </w:p>
    <w:p>
      <w:pPr>
        <w:ind w:left="360" w:right="639" w:firstLine="334"/>
        <w:spacing w:after="0" w:line="246" w:lineRule="auto"/>
        <w:tabs>
          <w:tab w:leader="none" w:pos="826" w:val="left"/>
        </w:tabs>
        <w:numPr>
          <w:ilvl w:val="0"/>
          <w:numId w:val="137"/>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w:t>
      </w:r>
      <w:r>
        <w:rPr>
          <w:rFonts w:ascii="Arial" w:cs="Arial" w:eastAsia="Arial" w:hAnsi="Arial"/>
          <w:sz w:val="14"/>
          <w:szCs w:val="14"/>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w:t>
      </w:r>
    </w:p>
    <w:p>
      <w:pPr>
        <w:spacing w:after="0" w:line="98" w:lineRule="exact"/>
        <w:rPr>
          <w:rFonts w:ascii="Arial" w:cs="Arial" w:eastAsia="Arial" w:hAnsi="Arial"/>
          <w:sz w:val="14"/>
          <w:szCs w:val="14"/>
          <w:color w:val="auto"/>
        </w:rPr>
      </w:pPr>
    </w:p>
    <w:p>
      <w:pPr>
        <w:ind w:left="4480" w:hanging="89"/>
        <w:spacing w:after="0"/>
        <w:tabs>
          <w:tab w:leader="none" w:pos="4480" w:val="left"/>
        </w:tabs>
        <w:numPr>
          <w:ilvl w:val="2"/>
          <w:numId w:val="137"/>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9019"/>
          </w:cols>
          <w:pgMar w:left="1440" w:top="240" w:right="1440" w:bottom="1440" w:gutter="0" w:footer="0" w:header="0"/>
        </w:sectPr>
      </w:pPr>
    </w:p>
    <w:bookmarkStart w:id="112" w:name="page113"/>
    <w:bookmarkEnd w:id="112"/>
    <w:p>
      <w:pPr>
        <w:ind w:left="360" w:right="37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41" w:lineRule="exact"/>
        <w:rPr>
          <w:sz w:val="20"/>
          <w:szCs w:val="20"/>
          <w:color w:val="auto"/>
        </w:rPr>
      </w:pPr>
    </w:p>
    <w:p>
      <w:pPr>
        <w:ind w:left="900" w:hanging="206"/>
        <w:spacing w:after="0"/>
        <w:tabs>
          <w:tab w:leader="none" w:pos="900" w:val="left"/>
        </w:tabs>
        <w:numPr>
          <w:ilvl w:val="0"/>
          <w:numId w:val="138"/>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this Award of Restricted Stock Units, Participant acknowledges, understands and agrees that:</w:t>
      </w:r>
    </w:p>
    <w:p>
      <w:pPr>
        <w:spacing w:after="0" w:line="82" w:lineRule="exact"/>
        <w:rPr>
          <w:rFonts w:ascii="Arial" w:cs="Arial" w:eastAsia="Arial" w:hAnsi="Arial"/>
          <w:sz w:val="14"/>
          <w:szCs w:val="14"/>
          <w:color w:val="auto"/>
        </w:rPr>
      </w:pPr>
    </w:p>
    <w:p>
      <w:pPr>
        <w:ind w:left="360" w:right="539" w:firstLine="749"/>
        <w:spacing w:after="0" w:line="259" w:lineRule="auto"/>
        <w:tabs>
          <w:tab w:leader="none" w:pos="1289"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58" w:lineRule="exact"/>
        <w:rPr>
          <w:rFonts w:ascii="Arial" w:cs="Arial" w:eastAsia="Arial" w:hAnsi="Arial"/>
          <w:sz w:val="14"/>
          <w:szCs w:val="14"/>
          <w:color w:val="auto"/>
        </w:rPr>
      </w:pPr>
    </w:p>
    <w:p>
      <w:pPr>
        <w:ind w:left="1300" w:hanging="191"/>
        <w:spacing w:after="0"/>
        <w:tabs>
          <w:tab w:leader="none" w:pos="130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all decisions with respect to future Restricted Stock Units or other grants, if any, will be at the sole discretion of the Administrator;</w:t>
      </w:r>
    </w:p>
    <w:p>
      <w:pPr>
        <w:spacing w:after="0" w:line="105" w:lineRule="exact"/>
        <w:rPr>
          <w:rFonts w:ascii="Arial" w:cs="Arial" w:eastAsia="Arial" w:hAnsi="Arial"/>
          <w:sz w:val="12"/>
          <w:szCs w:val="12"/>
          <w:color w:val="auto"/>
        </w:rPr>
      </w:pPr>
    </w:p>
    <w:p>
      <w:pPr>
        <w:ind w:left="1300" w:hanging="191"/>
        <w:spacing w:after="0"/>
        <w:tabs>
          <w:tab w:leader="none" w:pos="1300" w:val="left"/>
        </w:tabs>
        <w:numPr>
          <w:ilvl w:val="1"/>
          <w:numId w:val="138"/>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pacing w:after="0" w:line="82" w:lineRule="exact"/>
        <w:rPr>
          <w:rFonts w:ascii="Arial" w:cs="Arial" w:eastAsia="Arial" w:hAnsi="Arial"/>
          <w:sz w:val="14"/>
          <w:szCs w:val="14"/>
          <w:color w:val="auto"/>
        </w:rPr>
      </w:pPr>
    </w:p>
    <w:p>
      <w:pPr>
        <w:ind w:left="1300" w:hanging="191"/>
        <w:spacing w:after="0"/>
        <w:tabs>
          <w:tab w:leader="none" w:pos="130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Restricted Stock Units and the Shares subject to the Restricted Stock Units are not intended to replace any pension rights or</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compensation;</w:t>
      </w:r>
    </w:p>
    <w:p>
      <w:pPr>
        <w:spacing w:after="0" w:line="72" w:lineRule="exact"/>
        <w:rPr>
          <w:rFonts w:ascii="Arial" w:cs="Arial" w:eastAsia="Arial" w:hAnsi="Arial"/>
          <w:sz w:val="12"/>
          <w:szCs w:val="12"/>
          <w:color w:val="auto"/>
        </w:rPr>
      </w:pPr>
    </w:p>
    <w:p>
      <w:pPr>
        <w:ind w:left="360" w:right="379" w:firstLine="749"/>
        <w:spacing w:after="0" w:line="250" w:lineRule="auto"/>
        <w:tabs>
          <w:tab w:leader="none" w:pos="1289"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Restricted Stock Units and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5" w:lineRule="exact"/>
        <w:rPr>
          <w:rFonts w:ascii="Arial" w:cs="Arial" w:eastAsia="Arial" w:hAnsi="Arial"/>
          <w:sz w:val="14"/>
          <w:szCs w:val="14"/>
          <w:color w:val="auto"/>
        </w:rPr>
      </w:pPr>
    </w:p>
    <w:p>
      <w:pPr>
        <w:ind w:left="1280" w:hanging="171"/>
        <w:spacing w:after="0"/>
        <w:tabs>
          <w:tab w:leader="none" w:pos="1280" w:val="left"/>
        </w:tabs>
        <w:numPr>
          <w:ilvl w:val="1"/>
          <w:numId w:val="138"/>
        </w:numPr>
        <w:rPr>
          <w:rFonts w:ascii="Arial" w:cs="Arial" w:eastAsia="Arial" w:hAnsi="Arial"/>
          <w:sz w:val="12"/>
          <w:szCs w:val="12"/>
          <w:color w:val="auto"/>
        </w:rPr>
      </w:pPr>
      <w:r>
        <w:rPr>
          <w:rFonts w:ascii="Arial" w:cs="Arial" w:eastAsia="Arial" w:hAnsi="Arial"/>
          <w:sz w:val="12"/>
          <w:szCs w:val="12"/>
          <w:color w:val="auto"/>
        </w:rPr>
        <w:t>the future value of the Shares underlying the Restricted Stock Units is unknown, indeterminable, and cannot be predicted;</w:t>
      </w:r>
    </w:p>
    <w:p>
      <w:pPr>
        <w:spacing w:after="0" w:line="105" w:lineRule="exact"/>
        <w:rPr>
          <w:rFonts w:ascii="Arial" w:cs="Arial" w:eastAsia="Arial" w:hAnsi="Arial"/>
          <w:sz w:val="12"/>
          <w:szCs w:val="12"/>
          <w:color w:val="auto"/>
        </w:rPr>
      </w:pPr>
    </w:p>
    <w:p>
      <w:pPr>
        <w:ind w:left="360" w:right="379" w:firstLine="749"/>
        <w:spacing w:after="0" w:line="288" w:lineRule="auto"/>
        <w:tabs>
          <w:tab w:leader="none" w:pos="1297" w:val="left"/>
        </w:tabs>
        <w:numPr>
          <w:ilvl w:val="1"/>
          <w:numId w:val="138"/>
        </w:numPr>
        <w:rPr>
          <w:rFonts w:ascii="Arial" w:cs="Arial" w:eastAsia="Arial" w:hAnsi="Arial"/>
          <w:sz w:val="12"/>
          <w:szCs w:val="12"/>
          <w:color w:val="auto"/>
        </w:rPr>
      </w:pPr>
      <w:r>
        <w:rPr>
          <w:rFonts w:ascii="Arial" w:cs="Arial" w:eastAsia="Arial" w:hAnsi="Arial"/>
          <w:sz w:val="12"/>
          <w:szCs w:val="12"/>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RSU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41" w:lineRule="exact"/>
        <w:rPr>
          <w:rFonts w:ascii="Arial" w:cs="Arial" w:eastAsia="Arial" w:hAnsi="Arial"/>
          <w:sz w:val="12"/>
          <w:szCs w:val="12"/>
          <w:color w:val="auto"/>
        </w:rPr>
      </w:pPr>
    </w:p>
    <w:p>
      <w:pPr>
        <w:ind w:left="4480" w:hanging="89"/>
        <w:spacing w:after="0"/>
        <w:tabs>
          <w:tab w:leader="none" w:pos="4480" w:val="left"/>
        </w:tabs>
        <w:numPr>
          <w:ilvl w:val="2"/>
          <w:numId w:val="138"/>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9019"/>
          </w:cols>
          <w:pgMar w:left="1440" w:top="240" w:right="1440" w:bottom="1440" w:gutter="0" w:footer="0" w:header="0"/>
        </w:sectPr>
      </w:pPr>
    </w:p>
    <w:bookmarkStart w:id="113" w:name="page114"/>
    <w:bookmarkEnd w:id="113"/>
    <w:p>
      <w:pPr>
        <w:ind w:left="360" w:right="399" w:firstLine="749"/>
        <w:spacing w:after="0" w:line="312" w:lineRule="auto"/>
        <w:tabs>
          <w:tab w:leader="none" w:pos="1297" w:val="left"/>
        </w:tabs>
        <w:numPr>
          <w:ilvl w:val="1"/>
          <w:numId w:val="13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unless otherwise provided in the Plan or by the Administrator in its discretion, the Restricted Stock Units and the benefits evidenced by this RSU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30" w:lineRule="exact"/>
        <w:rPr>
          <w:rFonts w:ascii="Arial" w:cs="Arial" w:eastAsia="Arial" w:hAnsi="Arial"/>
          <w:sz w:val="12"/>
          <w:szCs w:val="12"/>
          <w:color w:val="auto"/>
        </w:rPr>
      </w:pPr>
    </w:p>
    <w:p>
      <w:pPr>
        <w:ind w:left="1280" w:hanging="171"/>
        <w:spacing w:after="0"/>
        <w:tabs>
          <w:tab w:leader="none" w:pos="1280" w:val="left"/>
        </w:tabs>
        <w:numPr>
          <w:ilvl w:val="1"/>
          <w:numId w:val="139"/>
        </w:numPr>
        <w:rPr>
          <w:rFonts w:ascii="Arial" w:cs="Arial" w:eastAsia="Arial" w:hAnsi="Arial"/>
          <w:sz w:val="14"/>
          <w:szCs w:val="14"/>
          <w:color w:val="auto"/>
        </w:rPr>
      </w:pPr>
      <w:r>
        <w:rPr>
          <w:rFonts w:ascii="Arial" w:cs="Arial" w:eastAsia="Arial" w:hAnsi="Arial"/>
          <w:sz w:val="14"/>
          <w:szCs w:val="14"/>
          <w:color w:val="auto"/>
        </w:rPr>
        <w:t>the following provisions apply only if Participant is providing services outside the United States:</w:t>
      </w:r>
    </w:p>
    <w:p>
      <w:pPr>
        <w:spacing w:after="0" w:line="82" w:lineRule="exact"/>
        <w:rPr>
          <w:rFonts w:ascii="Arial" w:cs="Arial" w:eastAsia="Arial" w:hAnsi="Arial"/>
          <w:sz w:val="14"/>
          <w:szCs w:val="14"/>
          <w:color w:val="auto"/>
        </w:rPr>
      </w:pPr>
    </w:p>
    <w:p>
      <w:pPr>
        <w:ind w:left="360" w:right="519" w:firstLine="1080"/>
        <w:spacing w:after="0" w:line="259" w:lineRule="auto"/>
        <w:tabs>
          <w:tab w:leader="none" w:pos="1598" w:val="left"/>
        </w:tabs>
        <w:numPr>
          <w:ilvl w:val="2"/>
          <w:numId w:val="139"/>
        </w:numPr>
        <w:rPr>
          <w:rFonts w:ascii="Arial" w:cs="Arial" w:eastAsia="Arial" w:hAnsi="Arial"/>
          <w:sz w:val="14"/>
          <w:szCs w:val="14"/>
          <w:color w:val="auto"/>
        </w:rPr>
      </w:pPr>
      <w:r>
        <w:rPr>
          <w:rFonts w:ascii="Arial" w:cs="Arial" w:eastAsia="Arial" w:hAnsi="Arial"/>
          <w:sz w:val="14"/>
          <w:szCs w:val="14"/>
          <w:color w:val="auto"/>
        </w:rPr>
        <w:t>the Restricted Stock Units and the Shares subject to the Restricted Stock Units are not part of normal or expected compensation or salary for any purpose;</w:t>
      </w:r>
    </w:p>
    <w:p>
      <w:pPr>
        <w:spacing w:after="0" w:line="58" w:lineRule="exact"/>
        <w:rPr>
          <w:rFonts w:ascii="Arial" w:cs="Arial" w:eastAsia="Arial" w:hAnsi="Arial"/>
          <w:sz w:val="14"/>
          <w:szCs w:val="14"/>
          <w:color w:val="auto"/>
        </w:rPr>
      </w:pPr>
    </w:p>
    <w:p>
      <w:pPr>
        <w:ind w:left="360" w:right="399" w:firstLine="1080"/>
        <w:spacing w:after="0" w:line="247" w:lineRule="auto"/>
        <w:tabs>
          <w:tab w:leader="none" w:pos="1636" w:val="left"/>
        </w:tabs>
        <w:numPr>
          <w:ilvl w:val="2"/>
          <w:numId w:val="139"/>
        </w:numPr>
        <w:rPr>
          <w:rFonts w:ascii="Arial" w:cs="Arial" w:eastAsia="Arial" w:hAnsi="Arial"/>
          <w:sz w:val="14"/>
          <w:szCs w:val="14"/>
          <w:color w:val="auto"/>
        </w:rPr>
      </w:pPr>
      <w:r>
        <w:rPr>
          <w:rFonts w:ascii="Arial" w:cs="Arial" w:eastAsia="Arial" w:hAnsi="Arial"/>
          <w:sz w:val="14"/>
          <w:szCs w:val="14"/>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67" w:lineRule="exact"/>
        <w:rPr>
          <w:rFonts w:ascii="Arial" w:cs="Arial" w:eastAsia="Arial" w:hAnsi="Arial"/>
          <w:sz w:val="14"/>
          <w:szCs w:val="14"/>
          <w:color w:val="auto"/>
        </w:rPr>
      </w:pPr>
    </w:p>
    <w:p>
      <w:pPr>
        <w:ind w:left="360" w:right="459" w:firstLine="1080"/>
        <w:spacing w:after="0" w:line="291" w:lineRule="auto"/>
        <w:tabs>
          <w:tab w:leader="none" w:pos="1673" w:val="left"/>
        </w:tabs>
        <w:numPr>
          <w:ilvl w:val="2"/>
          <w:numId w:val="139"/>
        </w:numPr>
        <w:rPr>
          <w:rFonts w:ascii="Arial" w:cs="Arial" w:eastAsia="Arial" w:hAnsi="Arial"/>
          <w:sz w:val="12"/>
          <w:szCs w:val="12"/>
          <w:color w:val="auto"/>
        </w:rPr>
      </w:pPr>
      <w:r>
        <w:rPr>
          <w:rFonts w:ascii="Arial" w:cs="Arial" w:eastAsia="Arial" w:hAnsi="Arial"/>
          <w:sz w:val="12"/>
          <w:szCs w:val="12"/>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the Company, any Parent, any Subsidiary or the Service Recipient, waives his or her ability, if any, to bring any such claim, and releases the Company, any Parent, any Subsidiary or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41" w:lineRule="exact"/>
        <w:rPr>
          <w:rFonts w:ascii="Arial" w:cs="Arial" w:eastAsia="Arial" w:hAnsi="Arial"/>
          <w:sz w:val="12"/>
          <w:szCs w:val="12"/>
          <w:color w:val="auto"/>
        </w:rPr>
      </w:pPr>
    </w:p>
    <w:p>
      <w:pPr>
        <w:ind w:left="360" w:right="419" w:firstLine="334"/>
        <w:spacing w:after="0" w:line="302" w:lineRule="auto"/>
        <w:tabs>
          <w:tab w:leader="none" w:pos="889" w:val="left"/>
        </w:tabs>
        <w:numPr>
          <w:ilvl w:val="0"/>
          <w:numId w:val="140"/>
        </w:numPr>
        <w:rPr>
          <w:rFonts w:ascii="Arial" w:cs="Arial" w:eastAsia="Arial" w:hAnsi="Arial"/>
          <w:sz w:val="12"/>
          <w:szCs w:val="12"/>
          <w:color w:val="auto"/>
        </w:rPr>
      </w:pPr>
      <w:r>
        <w:rPr>
          <w:rFonts w:ascii="Arial" w:cs="Arial" w:eastAsia="Arial" w:hAnsi="Arial"/>
          <w:sz w:val="12"/>
          <w:szCs w:val="12"/>
          <w:u w:val="single" w:color="auto"/>
          <w:color w:val="auto"/>
        </w:rPr>
        <w:t>No Advice Regarding Grant</w:t>
      </w:r>
      <w:r>
        <w:rPr>
          <w:rFonts w:ascii="Arial" w:cs="Arial" w:eastAsia="Arial" w:hAnsi="Arial"/>
          <w:sz w:val="12"/>
          <w:szCs w:val="12"/>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36" w:lineRule="exact"/>
        <w:rPr>
          <w:rFonts w:ascii="Arial" w:cs="Arial" w:eastAsia="Arial" w:hAnsi="Arial"/>
          <w:sz w:val="12"/>
          <w:szCs w:val="12"/>
          <w:color w:val="auto"/>
        </w:rPr>
      </w:pPr>
    </w:p>
    <w:p>
      <w:pPr>
        <w:ind w:left="360" w:right="479" w:firstLine="334"/>
        <w:spacing w:after="0" w:line="302" w:lineRule="auto"/>
        <w:tabs>
          <w:tab w:leader="none" w:pos="894" w:val="left"/>
        </w:tabs>
        <w:numPr>
          <w:ilvl w:val="0"/>
          <w:numId w:val="14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u w:val="single" w:color="auto"/>
          <w:color w:val="auto"/>
        </w:rPr>
        <w:t>Data Privacy</w:t>
      </w:r>
      <w:r>
        <w:rPr>
          <w:rFonts w:ascii="Arial" w:cs="Arial" w:eastAsia="Arial" w:hAnsi="Arial"/>
          <w:sz w:val="12"/>
          <w:szCs w:val="12"/>
          <w:b w:val="1"/>
          <w:bCs w:val="1"/>
          <w:i w:val="1"/>
          <w:iCs w:val="1"/>
          <w:color w:val="auto"/>
        </w:rPr>
        <w:t>. Participant hereby explicitly and unambiguously consents to the collection, use and transfer, in electronic or other form, of Participant’s personal data as described in this RSU Agreement and any other Restricted Stock Unit grant materials by and among, as applicable, the Employer or other Service Recipient, the Company and any Parent or Subsidiary for the exclusive purpose of implementing, administering and managing Participant’s participation in the Plan.</w:t>
      </w:r>
    </w:p>
    <w:p>
      <w:pPr>
        <w:spacing w:after="0" w:line="66" w:lineRule="exact"/>
        <w:rPr>
          <w:rFonts w:ascii="Arial" w:cs="Arial" w:eastAsia="Arial" w:hAnsi="Arial"/>
          <w:sz w:val="12"/>
          <w:szCs w:val="12"/>
          <w:b w:val="1"/>
          <w:bCs w:val="1"/>
          <w:i w:val="1"/>
          <w:iCs w:val="1"/>
          <w:color w:val="auto"/>
        </w:rPr>
      </w:pPr>
    </w:p>
    <w:p>
      <w:pPr>
        <w:ind w:left="4480" w:hanging="89"/>
        <w:spacing w:after="0"/>
        <w:tabs>
          <w:tab w:leader="none" w:pos="4480" w:val="left"/>
        </w:tabs>
        <w:numPr>
          <w:ilvl w:val="3"/>
          <w:numId w:val="140"/>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9019"/>
          </w:cols>
          <w:pgMar w:left="1440" w:top="240" w:right="1440" w:bottom="1440" w:gutter="0" w:footer="0" w:header="0"/>
        </w:sectPr>
      </w:pPr>
    </w:p>
    <w:bookmarkStart w:id="114" w:name="page115"/>
    <w:bookmarkEnd w:id="114"/>
    <w:p>
      <w:pPr>
        <w:ind w:left="360" w:right="539" w:firstLine="331"/>
        <w:spacing w:after="0" w:line="297" w:lineRule="auto"/>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20" w:lineRule="exact"/>
        <w:rPr>
          <w:sz w:val="20"/>
          <w:szCs w:val="20"/>
          <w:color w:val="auto"/>
        </w:rPr>
      </w:pPr>
    </w:p>
    <w:p>
      <w:pPr>
        <w:ind w:left="360" w:right="379" w:firstLine="331"/>
        <w:spacing w:after="0" w:line="285" w:lineRule="auto"/>
        <w:rPr>
          <w:sz w:val="20"/>
          <w:szCs w:val="20"/>
          <w:color w:val="auto"/>
        </w:rPr>
      </w:pPr>
      <w:r>
        <w:rPr>
          <w:rFonts w:ascii="Arial" w:cs="Arial" w:eastAsia="Arial" w:hAnsi="Arial"/>
          <w:sz w:val="12"/>
          <w:szCs w:val="12"/>
          <w:b w:val="1"/>
          <w:bCs w:val="1"/>
          <w:i w:val="1"/>
          <w:iCs w:val="1"/>
          <w:color w:val="auto"/>
        </w:rPr>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55" w:lineRule="exact"/>
        <w:rPr>
          <w:sz w:val="20"/>
          <w:szCs w:val="20"/>
          <w:color w:val="auto"/>
        </w:rPr>
      </w:pPr>
    </w:p>
    <w:p>
      <w:pPr>
        <w:ind w:left="360" w:right="459" w:firstLine="334"/>
        <w:spacing w:after="0" w:line="342" w:lineRule="auto"/>
        <w:tabs>
          <w:tab w:leader="none" w:pos="894" w:val="left"/>
        </w:tabs>
        <w:numPr>
          <w:ilvl w:val="0"/>
          <w:numId w:val="141"/>
        </w:numPr>
        <w:rPr>
          <w:rFonts w:ascii="Arial" w:cs="Arial" w:eastAsia="Arial" w:hAnsi="Arial"/>
          <w:sz w:val="12"/>
          <w:szCs w:val="12"/>
          <w:color w:val="auto"/>
        </w:rPr>
      </w:pPr>
      <w:r>
        <w:rPr>
          <w:rFonts w:ascii="Arial" w:cs="Arial" w:eastAsia="Arial" w:hAnsi="Arial"/>
          <w:sz w:val="12"/>
          <w:szCs w:val="12"/>
          <w:u w:val="single" w:color="auto"/>
          <w:color w:val="auto"/>
        </w:rPr>
        <w:t>Address for Notices</w:t>
      </w:r>
      <w:r>
        <w:rPr>
          <w:rFonts w:ascii="Arial" w:cs="Arial" w:eastAsia="Arial" w:hAnsi="Arial"/>
          <w:sz w:val="12"/>
          <w:szCs w:val="12"/>
          <w:color w:val="auto"/>
        </w:rPr>
        <w:t>. Any notice to be given to the Company under the terms of this RSU Agreement will be addressed to the Company at QuantumScape Corporation, 1730 Technology Drive, San Jose, CA 95110, or at such other address as the Company may hereafter designate in writing.</w:t>
      </w:r>
    </w:p>
    <w:p>
      <w:pPr>
        <w:spacing w:after="0" w:line="43" w:lineRule="exact"/>
        <w:rPr>
          <w:rFonts w:ascii="Arial" w:cs="Arial" w:eastAsia="Arial" w:hAnsi="Arial"/>
          <w:sz w:val="12"/>
          <w:szCs w:val="12"/>
          <w:color w:val="auto"/>
        </w:rPr>
      </w:pPr>
    </w:p>
    <w:p>
      <w:pPr>
        <w:ind w:left="4480" w:hanging="89"/>
        <w:spacing w:after="0"/>
        <w:tabs>
          <w:tab w:leader="none" w:pos="4480" w:val="left"/>
        </w:tabs>
        <w:numPr>
          <w:ilvl w:val="1"/>
          <w:numId w:val="141"/>
        </w:numPr>
        <w:rPr>
          <w:rFonts w:ascii="Arial" w:cs="Arial" w:eastAsia="Arial" w:hAnsi="Arial"/>
          <w:sz w:val="14"/>
          <w:szCs w:val="14"/>
          <w:color w:val="auto"/>
        </w:rPr>
      </w:pPr>
      <w:r>
        <w:rPr>
          <w:rFonts w:ascii="Arial" w:cs="Arial" w:eastAsia="Arial" w:hAnsi="Arial"/>
          <w:sz w:val="14"/>
          <w:szCs w:val="14"/>
          <w:color w:val="auto"/>
        </w:rPr>
        <w:t>7 -</w:t>
      </w:r>
    </w:p>
    <w:p>
      <w:pPr>
        <w:sectPr>
          <w:pgSz w:w="11900" w:h="16838" w:orient="portrait"/>
          <w:cols w:equalWidth="0" w:num="1">
            <w:col w:w="9019"/>
          </w:cols>
          <w:pgMar w:left="1440" w:top="240" w:right="1440" w:bottom="1440" w:gutter="0" w:footer="0" w:header="0"/>
        </w:sectPr>
      </w:pPr>
    </w:p>
    <w:bookmarkStart w:id="115" w:name="page116"/>
    <w:bookmarkEnd w:id="115"/>
    <w:p>
      <w:pPr>
        <w:ind w:left="360" w:right="439" w:firstLine="334"/>
        <w:spacing w:after="0" w:line="302" w:lineRule="auto"/>
        <w:tabs>
          <w:tab w:leader="none" w:pos="894"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Electronic Delivery and Acceptance</w:t>
      </w:r>
      <w:r>
        <w:rPr>
          <w:rFonts w:ascii="Arial" w:cs="Arial" w:eastAsia="Arial" w:hAnsi="Arial"/>
          <w:sz w:val="12"/>
          <w:szCs w:val="12"/>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6" w:lineRule="exact"/>
        <w:rPr>
          <w:rFonts w:ascii="Arial" w:cs="Arial" w:eastAsia="Arial" w:hAnsi="Arial"/>
          <w:sz w:val="12"/>
          <w:szCs w:val="12"/>
          <w:color w:val="auto"/>
        </w:rPr>
      </w:pPr>
    </w:p>
    <w:p>
      <w:pPr>
        <w:ind w:left="360" w:right="719" w:firstLine="334"/>
        <w:spacing w:after="0" w:line="259" w:lineRule="auto"/>
        <w:tabs>
          <w:tab w:leader="none" w:pos="894"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RSU Agreement.</w:t>
      </w:r>
    </w:p>
    <w:p>
      <w:pPr>
        <w:spacing w:after="0" w:line="58" w:lineRule="exact"/>
        <w:rPr>
          <w:rFonts w:ascii="Arial" w:cs="Arial" w:eastAsia="Arial" w:hAnsi="Arial"/>
          <w:sz w:val="14"/>
          <w:szCs w:val="14"/>
          <w:color w:val="auto"/>
        </w:rPr>
      </w:pPr>
    </w:p>
    <w:p>
      <w:pPr>
        <w:ind w:left="360" w:right="439" w:firstLine="334"/>
        <w:spacing w:after="0" w:line="342" w:lineRule="auto"/>
        <w:tabs>
          <w:tab w:leader="none" w:pos="894"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RSU Agreement Severable</w:t>
      </w:r>
      <w:r>
        <w:rPr>
          <w:rFonts w:ascii="Arial" w:cs="Arial" w:eastAsia="Arial" w:hAnsi="Arial"/>
          <w:sz w:val="12"/>
          <w:szCs w:val="12"/>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12" w:lineRule="exact"/>
        <w:rPr>
          <w:rFonts w:ascii="Arial" w:cs="Arial" w:eastAsia="Arial" w:hAnsi="Arial"/>
          <w:sz w:val="12"/>
          <w:szCs w:val="12"/>
          <w:color w:val="auto"/>
        </w:rPr>
      </w:pPr>
    </w:p>
    <w:p>
      <w:pPr>
        <w:jc w:val="both"/>
        <w:ind w:left="360" w:right="459" w:firstLine="334"/>
        <w:spacing w:after="0" w:line="247" w:lineRule="auto"/>
        <w:tabs>
          <w:tab w:leader="none" w:pos="894"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RSU Agreement shall not in any way be construed as a waiver of any such provision or provisions, nor prevent that party from thereafter enforcing each and every other provision of this RSU Agreement. The rights granted both parties herein are cumulative and shall not constitute a waiver of either party’s right to assert all other legal remedies available to it under the circumstances.</w:t>
      </w:r>
    </w:p>
    <w:p>
      <w:pPr>
        <w:spacing w:after="0" w:line="67" w:lineRule="exact"/>
        <w:rPr>
          <w:rFonts w:ascii="Arial" w:cs="Arial" w:eastAsia="Arial" w:hAnsi="Arial"/>
          <w:sz w:val="14"/>
          <w:szCs w:val="14"/>
          <w:color w:val="auto"/>
        </w:rPr>
      </w:pPr>
    </w:p>
    <w:p>
      <w:pPr>
        <w:jc w:val="both"/>
        <w:ind w:left="360" w:right="419" w:firstLine="334"/>
        <w:spacing w:after="0" w:line="297" w:lineRule="auto"/>
        <w:tabs>
          <w:tab w:leader="none" w:pos="894"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Grant is Not Transferable</w:t>
      </w:r>
      <w:r>
        <w:rPr>
          <w:rFonts w:ascii="Arial" w:cs="Arial" w:eastAsia="Arial" w:hAnsi="Arial"/>
          <w:sz w:val="12"/>
          <w:szCs w:val="12"/>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39" w:lineRule="exact"/>
        <w:rPr>
          <w:rFonts w:ascii="Arial" w:cs="Arial" w:eastAsia="Arial" w:hAnsi="Arial"/>
          <w:sz w:val="12"/>
          <w:szCs w:val="12"/>
          <w:color w:val="auto"/>
        </w:rPr>
      </w:pPr>
    </w:p>
    <w:p>
      <w:pPr>
        <w:ind w:left="360" w:right="519" w:firstLine="334"/>
        <w:spacing w:after="0" w:line="302" w:lineRule="auto"/>
        <w:tabs>
          <w:tab w:leader="none" w:pos="894"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The Company may assign any of its rights under this RSU Agreement to single or multiple assignees, and this RSU Agreement shall inure to the benefit of the successors and assigns of the Company. Subject to the restrictions on transfer herein set forth, this RSU Agreement shall be binding upon Participant and his or her heirs, executors, administrators, successors and assigns. The rights and obligations of Participant under this RSU Agreement may be assigned only with the prior written consent of the Company.</w:t>
      </w:r>
    </w:p>
    <w:p>
      <w:pPr>
        <w:spacing w:after="0" w:line="36" w:lineRule="exact"/>
        <w:rPr>
          <w:rFonts w:ascii="Arial" w:cs="Arial" w:eastAsia="Arial" w:hAnsi="Arial"/>
          <w:sz w:val="12"/>
          <w:szCs w:val="12"/>
          <w:color w:val="auto"/>
        </w:rPr>
      </w:pPr>
    </w:p>
    <w:p>
      <w:pPr>
        <w:ind w:left="360" w:right="379" w:firstLine="334"/>
        <w:spacing w:after="0" w:line="289" w:lineRule="auto"/>
        <w:tabs>
          <w:tab w:leader="none" w:pos="894" w:val="left"/>
        </w:tabs>
        <w:numPr>
          <w:ilvl w:val="0"/>
          <w:numId w:val="142"/>
        </w:numPr>
        <w:rPr>
          <w:rFonts w:ascii="Arial" w:cs="Arial" w:eastAsia="Arial" w:hAnsi="Arial"/>
          <w:sz w:val="12"/>
          <w:szCs w:val="12"/>
          <w:color w:val="auto"/>
        </w:rPr>
      </w:pPr>
      <w:r>
        <w:rPr>
          <w:rFonts w:ascii="Arial" w:cs="Arial" w:eastAsia="Arial" w:hAnsi="Arial"/>
          <w:sz w:val="12"/>
          <w:szCs w:val="12"/>
          <w:u w:val="single" w:color="auto"/>
          <w:color w:val="auto"/>
        </w:rPr>
        <w:t>Additional Conditions to Issuance of Stock</w:t>
      </w:r>
      <w:r>
        <w:rPr>
          <w:rFonts w:ascii="Arial" w:cs="Arial" w:eastAsia="Arial" w:hAnsi="Arial"/>
          <w:sz w:val="12"/>
          <w:szCs w:val="1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RSU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73" w:lineRule="exact"/>
        <w:rPr>
          <w:rFonts w:ascii="Arial" w:cs="Arial" w:eastAsia="Arial" w:hAnsi="Arial"/>
          <w:sz w:val="12"/>
          <w:szCs w:val="12"/>
          <w:color w:val="auto"/>
        </w:rPr>
      </w:pPr>
    </w:p>
    <w:p>
      <w:pPr>
        <w:ind w:left="4480" w:hanging="89"/>
        <w:spacing w:after="0"/>
        <w:tabs>
          <w:tab w:leader="none" w:pos="44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9019"/>
          </w:cols>
          <w:pgMar w:left="1440" w:top="240" w:right="1440" w:bottom="1440" w:gutter="0" w:footer="0" w:header="0"/>
        </w:sectPr>
      </w:pPr>
    </w:p>
    <w:bookmarkStart w:id="116" w:name="page117"/>
    <w:bookmarkEnd w:id="116"/>
    <w:p>
      <w:pPr>
        <w:ind w:left="360" w:right="679" w:firstLine="334"/>
        <w:spacing w:after="0" w:line="342" w:lineRule="auto"/>
        <w:tabs>
          <w:tab w:leader="none" w:pos="894"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Language</w:t>
      </w:r>
      <w:r>
        <w:rPr>
          <w:rFonts w:ascii="Arial" w:cs="Arial" w:eastAsia="Arial" w:hAnsi="Arial"/>
          <w:sz w:val="12"/>
          <w:szCs w:val="12"/>
          <w:color w:val="auto"/>
        </w:rPr>
        <w:t>. If Participant has received this RSU Agreement or any other document related to the Plan translated into a language other than English and if the meaning of the translated version is different than the English version, the English version will control.</w:t>
      </w:r>
    </w:p>
    <w:p>
      <w:pPr>
        <w:spacing w:after="0" w:line="12" w:lineRule="exact"/>
        <w:rPr>
          <w:rFonts w:ascii="Arial" w:cs="Arial" w:eastAsia="Arial" w:hAnsi="Arial"/>
          <w:sz w:val="12"/>
          <w:szCs w:val="12"/>
          <w:color w:val="auto"/>
        </w:rPr>
      </w:pPr>
    </w:p>
    <w:p>
      <w:pPr>
        <w:ind w:left="360" w:right="419" w:firstLine="334"/>
        <w:spacing w:after="0" w:line="245" w:lineRule="auto"/>
        <w:tabs>
          <w:tab w:leader="none" w:pos="894" w:val="left"/>
        </w:tabs>
        <w:numPr>
          <w:ilvl w:val="0"/>
          <w:numId w:val="143"/>
        </w:numPr>
        <w:rPr>
          <w:rFonts w:ascii="Arial" w:cs="Arial" w:eastAsia="Arial" w:hAnsi="Arial"/>
          <w:sz w:val="14"/>
          <w:szCs w:val="14"/>
          <w:color w:val="auto"/>
        </w:rPr>
      </w:pPr>
      <w:r>
        <w:rPr>
          <w:rFonts w:ascii="Arial" w:cs="Arial" w:eastAsia="Arial" w:hAnsi="Arial"/>
          <w:sz w:val="14"/>
          <w:szCs w:val="14"/>
          <w:u w:val="single" w:color="auto"/>
          <w:color w:val="auto"/>
        </w:rPr>
        <w:t>Interpretation</w:t>
      </w:r>
      <w:r>
        <w:rPr>
          <w:rFonts w:ascii="Arial" w:cs="Arial" w:eastAsia="Arial" w:hAnsi="Arial"/>
          <w:sz w:val="14"/>
          <w:szCs w:val="14"/>
          <w:color w:val="auto"/>
        </w:rPr>
        <w:t>. The Administrator will have the power to interpret the Plan and this RSU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RSU Agreement.</w:t>
      </w:r>
    </w:p>
    <w:p>
      <w:pPr>
        <w:spacing w:after="0" w:line="69" w:lineRule="exact"/>
        <w:rPr>
          <w:rFonts w:ascii="Arial" w:cs="Arial" w:eastAsia="Arial" w:hAnsi="Arial"/>
          <w:sz w:val="14"/>
          <w:szCs w:val="14"/>
          <w:color w:val="auto"/>
        </w:rPr>
      </w:pPr>
    </w:p>
    <w:p>
      <w:pPr>
        <w:ind w:left="360" w:right="439" w:firstLine="334"/>
        <w:spacing w:after="0" w:line="312" w:lineRule="auto"/>
        <w:tabs>
          <w:tab w:leader="none" w:pos="894"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30" w:lineRule="exact"/>
        <w:rPr>
          <w:rFonts w:ascii="Arial" w:cs="Arial" w:eastAsia="Arial" w:hAnsi="Arial"/>
          <w:sz w:val="12"/>
          <w:szCs w:val="12"/>
          <w:color w:val="auto"/>
        </w:rPr>
      </w:pPr>
    </w:p>
    <w:p>
      <w:pPr>
        <w:ind w:left="360" w:right="379" w:firstLine="334"/>
        <w:spacing w:after="0" w:line="244" w:lineRule="auto"/>
        <w:tabs>
          <w:tab w:leader="none" w:pos="894" w:val="left"/>
        </w:tabs>
        <w:numPr>
          <w:ilvl w:val="0"/>
          <w:numId w:val="143"/>
        </w:numPr>
        <w:rPr>
          <w:rFonts w:ascii="Arial" w:cs="Arial" w:eastAsia="Arial" w:hAnsi="Arial"/>
          <w:sz w:val="14"/>
          <w:szCs w:val="14"/>
          <w:color w:val="auto"/>
        </w:rPr>
      </w:pPr>
      <w:r>
        <w:rPr>
          <w:rFonts w:ascii="Arial" w:cs="Arial" w:eastAsia="Arial" w:hAnsi="Arial"/>
          <w:sz w:val="14"/>
          <w:szCs w:val="14"/>
          <w:u w:val="single" w:color="auto"/>
          <w:color w:val="auto"/>
        </w:rPr>
        <w:t>Modifications to the RSU Agreement</w:t>
      </w:r>
      <w:r>
        <w:rPr>
          <w:rFonts w:ascii="Arial" w:cs="Arial" w:eastAsia="Arial" w:hAnsi="Arial"/>
          <w:sz w:val="14"/>
          <w:szCs w:val="14"/>
          <w:color w:val="auto"/>
        </w:rPr>
        <w:t>. This RSU Agreement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72" w:lineRule="exact"/>
        <w:rPr>
          <w:rFonts w:ascii="Arial" w:cs="Arial" w:eastAsia="Arial" w:hAnsi="Arial"/>
          <w:sz w:val="14"/>
          <w:szCs w:val="14"/>
          <w:color w:val="auto"/>
        </w:rPr>
      </w:pPr>
    </w:p>
    <w:p>
      <w:pPr>
        <w:jc w:val="both"/>
        <w:ind w:left="360" w:right="419" w:firstLine="334"/>
        <w:spacing w:after="0" w:line="302" w:lineRule="auto"/>
        <w:tabs>
          <w:tab w:leader="none" w:pos="894"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Governing Law; Venue</w:t>
      </w:r>
      <w:r>
        <w:rPr>
          <w:rFonts w:ascii="Arial" w:cs="Arial" w:eastAsia="Arial" w:hAnsi="Arial"/>
          <w:sz w:val="12"/>
          <w:szCs w:val="12"/>
          <w:color w:val="auto"/>
        </w:rPr>
        <w:t>. This RSU Agreement and the Restricted Stock Units will be governed by the laws of California, without giving effect to the conflict of law principles thereof. For purposes of litigating any dispute that arises under these Restricted Stock Units or this RSU Agreement, the parties hereby submit to and consent to the jurisdiction of the State of California, and agree that such litigation will be conducted in the courts of Santa Clara County, or the U.S. federal courts for the Northern District of California, and no other courts, where this Option is made and/or to be performed.</w:t>
      </w:r>
    </w:p>
    <w:p>
      <w:pPr>
        <w:spacing w:after="0" w:line="36" w:lineRule="exact"/>
        <w:rPr>
          <w:rFonts w:ascii="Arial" w:cs="Arial" w:eastAsia="Arial" w:hAnsi="Arial"/>
          <w:sz w:val="12"/>
          <w:szCs w:val="12"/>
          <w:color w:val="auto"/>
        </w:rPr>
      </w:pPr>
    </w:p>
    <w:p>
      <w:pPr>
        <w:ind w:left="360" w:right="619" w:firstLine="334"/>
        <w:spacing w:after="0" w:line="302" w:lineRule="auto"/>
        <w:tabs>
          <w:tab w:leader="none" w:pos="894" w:val="left"/>
        </w:tabs>
        <w:numPr>
          <w:ilvl w:val="0"/>
          <w:numId w:val="143"/>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The Plan is incorporated herein by reference. The Plan and this RSU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66" w:lineRule="exact"/>
        <w:rPr>
          <w:rFonts w:ascii="Arial" w:cs="Arial" w:eastAsia="Arial" w:hAnsi="Arial"/>
          <w:sz w:val="12"/>
          <w:szCs w:val="12"/>
          <w:color w:val="auto"/>
        </w:rPr>
      </w:pPr>
    </w:p>
    <w:p>
      <w:pPr>
        <w:ind w:left="4480" w:hanging="89"/>
        <w:spacing w:after="0"/>
        <w:tabs>
          <w:tab w:leader="none" w:pos="4480" w:val="left"/>
        </w:tabs>
        <w:numPr>
          <w:ilvl w:val="1"/>
          <w:numId w:val="143"/>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9019"/>
          </w:cols>
          <w:pgMar w:left="1440" w:top="240" w:right="1440" w:bottom="1440" w:gutter="0" w:footer="0" w:header="0"/>
        </w:sectPr>
      </w:pPr>
    </w:p>
    <w:bookmarkStart w:id="117" w:name="page118"/>
    <w:bookmarkEnd w:id="117"/>
    <w:p>
      <w:pPr>
        <w:ind w:left="360" w:right="419" w:firstLine="334"/>
        <w:spacing w:after="0" w:line="294" w:lineRule="auto"/>
        <w:tabs>
          <w:tab w:leader="none" w:pos="894" w:val="left"/>
        </w:tabs>
        <w:numPr>
          <w:ilvl w:val="0"/>
          <w:numId w:val="144"/>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Country Addendum</w:t>
      </w:r>
      <w:r>
        <w:rPr>
          <w:rFonts w:ascii="Arial" w:cs="Arial" w:eastAsia="Arial" w:hAnsi="Arial"/>
          <w:sz w:val="12"/>
          <w:szCs w:val="12"/>
          <w:color w:val="auto"/>
        </w:rPr>
        <w:t>. Notwithstanding any provisions in this RSU Agreement, the Restricted Stock Unit grant shall be subject to any special terms and conditions set forth in an appendix (if any) to this RSU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RSU Agreement.</w:t>
      </w:r>
    </w:p>
    <w:p>
      <w:pPr>
        <w:spacing w:after="0" w:line="41" w:lineRule="exact"/>
        <w:rPr>
          <w:rFonts w:ascii="Arial" w:cs="Arial" w:eastAsia="Arial" w:hAnsi="Arial"/>
          <w:sz w:val="12"/>
          <w:szCs w:val="12"/>
          <w:color w:val="auto"/>
        </w:rPr>
      </w:pPr>
    </w:p>
    <w:p>
      <w:pPr>
        <w:ind w:left="360" w:right="479" w:firstLine="334"/>
        <w:spacing w:after="0" w:line="246" w:lineRule="auto"/>
        <w:tabs>
          <w:tab w:leader="none" w:pos="894"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Tax Consequences</w:t>
      </w:r>
      <w:r>
        <w:rPr>
          <w:rFonts w:ascii="Arial" w:cs="Arial" w:eastAsia="Arial" w:hAnsi="Arial"/>
          <w:sz w:val="14"/>
          <w:szCs w:val="14"/>
          <w:color w:val="auto"/>
        </w:rPr>
        <w:t>. Participant has reviewed with his or her own tax advisors the U.S. federal, state, local and non-U.S. tax consequences of this investment and the transactions contemplated by this RSU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RSU Agreement.</w:t>
      </w:r>
    </w:p>
    <w:p>
      <w:pPr>
        <w:spacing w:after="0" w:line="149" w:lineRule="exact"/>
        <w:rPr>
          <w:sz w:val="20"/>
          <w:szCs w:val="20"/>
          <w:color w:val="auto"/>
        </w:rPr>
      </w:pPr>
    </w:p>
    <w:p>
      <w:pPr>
        <w:ind w:left="3980"/>
        <w:spacing w:after="0"/>
        <w:tabs>
          <w:tab w:leader="none" w:pos="4440" w:val="left"/>
          <w:tab w:leader="none" w:pos="49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18" w:name="page119"/>
    <w:bookmarkEnd w:id="118"/>
    <w:p>
      <w:pPr>
        <w:jc w:val="right"/>
        <w:ind w:right="379"/>
        <w:spacing w:after="0"/>
        <w:rPr>
          <w:sz w:val="20"/>
          <w:szCs w:val="20"/>
          <w:color w:val="auto"/>
        </w:rPr>
      </w:pPr>
      <w:r>
        <w:rPr>
          <w:rFonts w:ascii="Arial" w:cs="Arial" w:eastAsia="Arial" w:hAnsi="Arial"/>
          <w:sz w:val="14"/>
          <w:szCs w:val="14"/>
          <w:b w:val="1"/>
          <w:bCs w:val="1"/>
          <w:color w:val="auto"/>
        </w:rPr>
        <w:t>EXHIBIT 10.11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EQUITY INCENTIVE PLAN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RESTRICTED STOCK AWARD AGREEMENT</w:t>
      </w:r>
    </w:p>
    <w:p>
      <w:pPr>
        <w:spacing w:after="0" w:line="154" w:lineRule="exact"/>
        <w:rPr>
          <w:sz w:val="20"/>
          <w:szCs w:val="20"/>
          <w:color w:val="auto"/>
        </w:rPr>
      </w:pPr>
    </w:p>
    <w:p>
      <w:pPr>
        <w:ind w:left="360" w:right="459" w:firstLine="331"/>
        <w:spacing w:after="0" w:line="312" w:lineRule="auto"/>
        <w:rPr>
          <w:sz w:val="20"/>
          <w:szCs w:val="20"/>
          <w:color w:val="auto"/>
        </w:rPr>
      </w:pPr>
      <w:r>
        <w:rPr>
          <w:rFonts w:ascii="Arial" w:cs="Arial" w:eastAsia="Arial" w:hAnsi="Arial"/>
          <w:sz w:val="12"/>
          <w:szCs w:val="12"/>
          <w:color w:val="auto"/>
        </w:rPr>
        <w:t xml:space="preserve">Unless otherwise defined herein, the terms defined in the QuantumScape Corporation 2020 Equity Incentive Plan (the “Plan”) will have the same defined meanings in this Restricted Stock Award Agreement which includes the Notice of Restricted Stock Grant, the Terms and Conditions of Restricted Stock Grant,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and all appendices and exhibits attached thereto (all together, the “Restricted Stock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NOTICE OF RESTRICTED STOCK GRANT</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Participant:</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Address:</w:t>
      </w:r>
    </w:p>
    <w:p>
      <w:pPr>
        <w:spacing w:after="0" w:line="154" w:lineRule="exact"/>
        <w:rPr>
          <w:sz w:val="20"/>
          <w:szCs w:val="20"/>
          <w:color w:val="auto"/>
        </w:rPr>
      </w:pPr>
    </w:p>
    <w:p>
      <w:pPr>
        <w:ind w:left="360" w:right="619" w:firstLine="331"/>
        <w:spacing w:after="0" w:line="342" w:lineRule="auto"/>
        <w:rPr>
          <w:sz w:val="20"/>
          <w:szCs w:val="20"/>
          <w:color w:val="auto"/>
        </w:rPr>
      </w:pPr>
      <w:r>
        <w:rPr>
          <w:rFonts w:ascii="Arial" w:cs="Arial" w:eastAsia="Arial" w:hAnsi="Arial"/>
          <w:sz w:val="12"/>
          <w:szCs w:val="12"/>
          <w:color w:val="auto"/>
        </w:rPr>
        <w:t>The undersigned Participant has been granted the right to receive an Award of Shares of Restricted Stock of Common Stock of QuantumScape Corporation (the “Company”), subject to the terms and conditions of the Plan and this Restricted Stock Agreement, as follows:</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7620</wp:posOffset>
            </wp:positionV>
            <wp:extent cx="325437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325437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7620</wp:posOffset>
            </wp:positionV>
            <wp:extent cx="325437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325437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7620</wp:posOffset>
            </wp:positionV>
            <wp:extent cx="325437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325437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7620</wp:posOffset>
            </wp:positionV>
            <wp:extent cx="325437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3254375" cy="6350"/>
                    </a:xfrm>
                    <a:prstGeom prst="rect">
                      <a:avLst/>
                    </a:prstGeom>
                    <a:noFill/>
                  </pic:spPr>
                </pic:pic>
              </a:graphicData>
            </a:graphic>
          </wp:anchor>
        </w:drawing>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4"/>
          <w:szCs w:val="14"/>
          <w:u w:val="single" w:color="auto"/>
          <w:color w:val="auto"/>
        </w:rPr>
        <w:t>Vesting Schedule</w:t>
      </w:r>
      <w:r>
        <w:rPr>
          <w:rFonts w:ascii="Arial" w:cs="Arial" w:eastAsia="Arial" w:hAnsi="Arial"/>
          <w:sz w:val="14"/>
          <w:szCs w:val="14"/>
          <w:color w:val="auto"/>
        </w:rPr>
        <w:t>:</w:t>
      </w:r>
    </w:p>
    <w:p>
      <w:pPr>
        <w:spacing w:after="0" w:line="164" w:lineRule="exact"/>
        <w:rPr>
          <w:sz w:val="20"/>
          <w:szCs w:val="20"/>
          <w:color w:val="auto"/>
        </w:rPr>
      </w:pPr>
    </w:p>
    <w:p>
      <w:pPr>
        <w:ind w:left="360" w:right="559" w:firstLine="331"/>
        <w:spacing w:after="0" w:line="259" w:lineRule="auto"/>
        <w:rPr>
          <w:sz w:val="20"/>
          <w:szCs w:val="20"/>
          <w:color w:val="auto"/>
        </w:rPr>
      </w:pPr>
      <w:r>
        <w:rPr>
          <w:rFonts w:ascii="Arial" w:cs="Arial" w:eastAsia="Arial" w:hAnsi="Arial"/>
          <w:sz w:val="14"/>
          <w:szCs w:val="14"/>
          <w:color w:val="auto"/>
        </w:rPr>
        <w:t>Subject to any accelerated vesting as set forth below or in the Plan, the Shares of Restricted Stock will be scheduled to vest, and the Company’s right to reacquire the Restricted Stock will be scheduled to lapse, in accordance with the following schedule: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[TO COME]</w:t>
      </w:r>
    </w:p>
    <w:p>
      <w:pPr>
        <w:spacing w:after="0" w:line="164" w:lineRule="exact"/>
        <w:rPr>
          <w:sz w:val="20"/>
          <w:szCs w:val="20"/>
          <w:color w:val="auto"/>
        </w:rPr>
      </w:pPr>
    </w:p>
    <w:p>
      <w:pPr>
        <w:ind w:left="360" w:right="439" w:firstLine="331"/>
        <w:spacing w:after="0" w:line="292" w:lineRule="auto"/>
        <w:rPr>
          <w:sz w:val="20"/>
          <w:szCs w:val="20"/>
          <w:color w:val="auto"/>
        </w:rPr>
      </w:pPr>
      <w:r>
        <w:rPr>
          <w:rFonts w:ascii="Arial" w:cs="Arial" w:eastAsia="Arial" w:hAnsi="Arial"/>
          <w:sz w:val="12"/>
          <w:szCs w:val="12"/>
          <w:color w:val="auto"/>
        </w:rPr>
        <w:t xml:space="preserve">By Participant’s signature and the signature of the representative of the Company below, Participant and the Company agree that this Award of Restricted Stock is granted under and governed by the terms and conditions of the Plan and this Restricted Stock Agreement, including the Terms and Conditions of Restricted Stock Grant,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all of which are made a part of this document. Participant acknowledges receipt of a copy of the Plan. Participant has reviewed the Plan and this Restricted Stock Agreement in their entirety, has had an opportunity to obtain the advice of counsel prior to executing this Restricted Stock Agreement and fully understands all provisions of the Plan and this Restricted Stock Agreement. Participant hereby agrees to accept as binding, conclusive and final all decisions or interpretations of the Administrator upon any questions relating to the Plan and the Restricted Stock Agreement. Participant further agrees to notify the Company upon any change in the residence address indicated below.</w:t>
      </w:r>
    </w:p>
    <w:p>
      <w:pPr>
        <w:sectPr>
          <w:pgSz w:w="11900" w:h="16838" w:orient="portrait"/>
          <w:cols w:equalWidth="0" w:num="1">
            <w:col w:w="9019"/>
          </w:cols>
          <w:pgMar w:left="1440" w:top="127" w:right="1440" w:bottom="1440" w:gutter="0" w:footer="0" w:header="0"/>
        </w:sectPr>
      </w:pPr>
    </w:p>
    <w:bookmarkStart w:id="119" w:name="page120"/>
    <w:bookmarkEnd w:id="119"/>
    <w:p>
      <w:pPr>
        <w:ind w:left="360"/>
        <w:spacing w:after="0"/>
        <w:rPr>
          <w:sz w:val="20"/>
          <w:szCs w:val="20"/>
          <w:color w:val="auto"/>
        </w:rPr>
      </w:pPr>
      <w:r>
        <w:rPr>
          <w:rFonts w:ascii="Arial" w:cs="Arial" w:eastAsia="Arial" w:hAnsi="Arial"/>
          <w:sz w:val="12"/>
          <w:szCs w:val="12"/>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228600</wp:posOffset>
            </wp:positionV>
            <wp:extent cx="246824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4">
                      <a:extLst>
                        <a:ext uri="{28A0092B-C50C-407E-A947-70E740481C1C}"/>
                      </a:extLst>
                    </a:blip>
                    <a:srcRect/>
                    <a:stretch>
                      <a:fillRect/>
                    </a:stretch>
                  </pic:blipFill>
                  <pic:spPr bwMode="auto">
                    <a:xfrm>
                      <a:off x="0" y="0"/>
                      <a:ext cx="2468245" cy="6350"/>
                    </a:xfrm>
                    <a:prstGeom prst="rect">
                      <a:avLst/>
                    </a:prstGeom>
                    <a:noFill/>
                  </pic:spPr>
                </pic:pic>
              </a:graphicData>
            </a:graphic>
          </wp:anchor>
        </w:drawing>
      </w:r>
    </w:p>
    <w:p>
      <w:pPr>
        <w:spacing w:after="0" w:line="34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213995</wp:posOffset>
            </wp:positionV>
            <wp:extent cx="246824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5">
                      <a:extLst>
                        <a:ext uri="{28A0092B-C50C-407E-A947-70E740481C1C}"/>
                      </a:extLst>
                    </a:blip>
                    <a:srcRect/>
                    <a:stretch>
                      <a:fillRect/>
                    </a:stretch>
                  </pic:blipFill>
                  <pic:spPr bwMode="auto">
                    <a:xfrm>
                      <a:off x="0" y="0"/>
                      <a:ext cx="2468245" cy="6350"/>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213995</wp:posOffset>
            </wp:positionV>
            <wp:extent cx="246824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6">
                      <a:extLst>
                        <a:ext uri="{28A0092B-C50C-407E-A947-70E740481C1C}"/>
                      </a:extLst>
                    </a:blip>
                    <a:srcRect/>
                    <a:stretch>
                      <a:fillRect/>
                    </a:stretch>
                  </pic:blipFill>
                  <pic:spPr bwMode="auto">
                    <a:xfrm>
                      <a:off x="0" y="0"/>
                      <a:ext cx="2468245" cy="6350"/>
                    </a:xfrm>
                    <a:prstGeom prst="rect">
                      <a:avLst/>
                    </a:prstGeom>
                    <a:noFill/>
                  </pic:spPr>
                </pic:pic>
              </a:graphicData>
            </a:graphic>
          </wp:anchor>
        </w:drawing>
        <w:drawing>
          <wp:anchor simplePos="0" relativeHeight="251657728" behindDoc="1" locked="0" layoutInCell="0" allowOverlap="1">
            <wp:simplePos x="0" y="0"/>
            <wp:positionH relativeFrom="column">
              <wp:posOffset>230505</wp:posOffset>
            </wp:positionH>
            <wp:positionV relativeFrom="paragraph">
              <wp:posOffset>433070</wp:posOffset>
            </wp:positionV>
            <wp:extent cx="246824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7">
                      <a:extLst>
                        <a:ext uri="{28A0092B-C50C-407E-A947-70E740481C1C}"/>
                      </a:extLst>
                    </a:blip>
                    <a:srcRect/>
                    <a:stretch>
                      <a:fillRect/>
                    </a:stretch>
                  </pic:blipFill>
                  <pic:spPr bwMode="auto">
                    <a:xfrm>
                      <a:off x="0" y="0"/>
                      <a:ext cx="246824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QUANTUMSCAPE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-151130</wp:posOffset>
            </wp:positionV>
            <wp:extent cx="7179310"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8">
                      <a:extLst>
                        <a:ext uri="{28A0092B-C50C-407E-A947-70E740481C1C}"/>
                      </a:extLst>
                    </a:blip>
                    <a:srcRect/>
                    <a:stretch>
                      <a:fillRect/>
                    </a:stretch>
                  </pic:blipFill>
                  <pic:spPr bwMode="auto">
                    <a:xfrm>
                      <a:off x="0" y="0"/>
                      <a:ext cx="7179310" cy="190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228600</wp:posOffset>
            </wp:positionV>
            <wp:extent cx="231330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9">
                      <a:extLst>
                        <a:ext uri="{28A0092B-C50C-407E-A947-70E740481C1C}"/>
                      </a:extLst>
                    </a:blip>
                    <a:srcRect/>
                    <a:stretch>
                      <a:fillRect/>
                    </a:stretch>
                  </pic:blipFill>
                  <pic:spPr bwMode="auto">
                    <a:xfrm>
                      <a:off x="0" y="0"/>
                      <a:ext cx="2313305" cy="6350"/>
                    </a:xfrm>
                    <a:prstGeom prst="rect">
                      <a:avLst/>
                    </a:prstGeom>
                    <a:noFill/>
                  </pic:spPr>
                </pic:pic>
              </a:graphicData>
            </a:graphic>
          </wp:anchor>
        </w:drawing>
      </w:r>
    </w:p>
    <w:p>
      <w:pPr>
        <w:spacing w:after="0" w:line="349" w:lineRule="exact"/>
        <w:rPr>
          <w:sz w:val="20"/>
          <w:szCs w:val="20"/>
          <w:color w:val="auto"/>
        </w:rPr>
      </w:pPr>
    </w:p>
    <w:p>
      <w:pPr>
        <w:jc w:val="center"/>
        <w:ind w:right="3499"/>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228600</wp:posOffset>
            </wp:positionV>
            <wp:extent cx="231330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0">
                      <a:extLst>
                        <a:ext uri="{28A0092B-C50C-407E-A947-70E740481C1C}"/>
                      </a:extLst>
                    </a:blip>
                    <a:srcRect/>
                    <a:stretch>
                      <a:fillRect/>
                    </a:stretch>
                  </pic:blipFill>
                  <pic:spPr bwMode="auto">
                    <a:xfrm>
                      <a:off x="0" y="0"/>
                      <a:ext cx="2313305" cy="635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231330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1">
                      <a:extLst>
                        <a:ext uri="{28A0092B-C50C-407E-A947-70E740481C1C}"/>
                      </a:extLst>
                    </a:blip>
                    <a:srcRect/>
                    <a:stretch>
                      <a:fillRect/>
                    </a:stretch>
                  </pic:blipFill>
                  <pic:spPr bwMode="auto">
                    <a:xfrm>
                      <a:off x="0" y="0"/>
                      <a:ext cx="2313305" cy="6350"/>
                    </a:xfrm>
                    <a:prstGeom prst="rect">
                      <a:avLst/>
                    </a:prstGeom>
                    <a:noFill/>
                  </pic:spPr>
                </pic:pic>
              </a:graphicData>
            </a:graphic>
          </wp:anchor>
        </w:drawing>
      </w:r>
    </w:p>
    <w:p>
      <w:pPr>
        <w:spacing w:after="0" w:line="326" w:lineRule="exact"/>
        <w:rPr>
          <w:sz w:val="20"/>
          <w:szCs w:val="20"/>
          <w:color w:val="auto"/>
        </w:rPr>
      </w:pPr>
    </w:p>
    <w:p>
      <w:pPr>
        <w:jc w:val="center"/>
        <w:ind w:right="3759"/>
        <w:spacing w:after="0"/>
        <w:rPr>
          <w:sz w:val="20"/>
          <w:szCs w:val="20"/>
          <w:color w:val="auto"/>
        </w:rPr>
      </w:pPr>
      <w:r>
        <w:rPr>
          <w:rFonts w:ascii="Arial" w:cs="Arial" w:eastAsia="Arial" w:hAnsi="Arial"/>
          <w:sz w:val="12"/>
          <w:szCs w:val="12"/>
          <w:color w:val="auto"/>
        </w:rPr>
        <w:t>Title</w:t>
      </w:r>
    </w:p>
    <w:p>
      <w:pPr>
        <w:spacing w:after="0" w:line="547" w:lineRule="exact"/>
        <w:rPr>
          <w:sz w:val="20"/>
          <w:szCs w:val="20"/>
          <w:color w:val="auto"/>
        </w:rPr>
      </w:pPr>
    </w:p>
    <w:p>
      <w:pPr>
        <w:sectPr>
          <w:pgSz w:w="11900" w:h="16838" w:orient="portrait"/>
          <w:cols w:equalWidth="0" w:num="2">
            <w:col w:w="4280" w:space="720"/>
            <w:col w:w="4019"/>
          </w:cols>
          <w:pgMar w:left="1440" w:top="2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ectPr>
          <w:pgSz w:w="11900" w:h="16838" w:orient="portrait"/>
          <w:cols w:equalWidth="0" w:num="1">
            <w:col w:w="9019"/>
          </w:cols>
          <w:pgMar w:left="1440" w:top="240" w:right="1440" w:bottom="1440" w:gutter="0" w:footer="0" w:header="0"/>
          <w:type w:val="continuous"/>
        </w:sectPr>
      </w:pPr>
    </w:p>
    <w:bookmarkStart w:id="120" w:name="page121"/>
    <w:bookmarkEnd w:id="120"/>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TERMS AND CONDITIONS OF RESTRICTED STOCK GRANT</w:t>
      </w:r>
    </w:p>
    <w:p>
      <w:pPr>
        <w:spacing w:after="0" w:line="85" w:lineRule="exact"/>
        <w:rPr>
          <w:sz w:val="20"/>
          <w:szCs w:val="20"/>
          <w:color w:val="auto"/>
        </w:rPr>
      </w:pPr>
    </w:p>
    <w:p>
      <w:pPr>
        <w:ind w:left="360" w:right="379" w:firstLine="334"/>
        <w:spacing w:after="0" w:line="302" w:lineRule="auto"/>
        <w:tabs>
          <w:tab w:leader="none" w:pos="826" w:val="left"/>
        </w:tabs>
        <w:numPr>
          <w:ilvl w:val="0"/>
          <w:numId w:val="145"/>
        </w:numPr>
        <w:rPr>
          <w:rFonts w:ascii="Arial" w:cs="Arial" w:eastAsia="Arial" w:hAnsi="Arial"/>
          <w:sz w:val="12"/>
          <w:szCs w:val="12"/>
          <w:color w:val="auto"/>
        </w:rPr>
      </w:pPr>
      <w:r>
        <w:rPr>
          <w:rFonts w:ascii="Arial" w:cs="Arial" w:eastAsia="Arial" w:hAnsi="Arial"/>
          <w:sz w:val="12"/>
          <w:szCs w:val="12"/>
          <w:u w:val="single" w:color="auto"/>
          <w:color w:val="auto"/>
        </w:rPr>
        <w:t>Grant of Shares of Restricted Stock</w:t>
      </w:r>
      <w:r>
        <w:rPr>
          <w:rFonts w:ascii="Arial" w:cs="Arial" w:eastAsia="Arial" w:hAnsi="Arial"/>
          <w:sz w:val="12"/>
          <w:szCs w:val="12"/>
          <w:color w:val="auto"/>
        </w:rPr>
        <w:t>. The Company hereby grants to the individual (“Participant”) named in the Notice of Restricted Stock Grant (the “Notice of Grant”) under the Plan an Award of Shares of Restricted Stock, subject to all of the terms and conditions in this Restricted Stock Agreement and the Plan, which is incorporated herein by reference. Subject to Section 19(c) of the Plan, in the event of a conflict between the terms and conditions of the Plan and this Restricted Stock Agreement, the terms and conditions of the Plan will prevail.</w:t>
      </w:r>
    </w:p>
    <w:p>
      <w:pPr>
        <w:spacing w:after="0" w:line="36" w:lineRule="exact"/>
        <w:rPr>
          <w:rFonts w:ascii="Arial" w:cs="Arial" w:eastAsia="Arial" w:hAnsi="Arial"/>
          <w:sz w:val="12"/>
          <w:szCs w:val="12"/>
          <w:color w:val="auto"/>
        </w:rPr>
      </w:pPr>
    </w:p>
    <w:p>
      <w:pPr>
        <w:ind w:left="820" w:hanging="126"/>
        <w:spacing w:after="0"/>
        <w:tabs>
          <w:tab w:leader="none" w:pos="820"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Escrow of Shares</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jc w:val="both"/>
        <w:ind w:left="360" w:right="659" w:firstLine="749"/>
        <w:spacing w:after="0" w:line="250" w:lineRule="auto"/>
        <w:tabs>
          <w:tab w:leader="none" w:pos="1282" w:val="left"/>
        </w:tabs>
        <w:numPr>
          <w:ilvl w:val="1"/>
          <w:numId w:val="145"/>
        </w:numPr>
        <w:rPr>
          <w:rFonts w:ascii="Arial" w:cs="Arial" w:eastAsia="Arial" w:hAnsi="Arial"/>
          <w:sz w:val="14"/>
          <w:szCs w:val="14"/>
          <w:color w:val="auto"/>
        </w:rPr>
      </w:pPr>
      <w:r>
        <w:rPr>
          <w:rFonts w:ascii="Arial" w:cs="Arial" w:eastAsia="Arial" w:hAnsi="Arial"/>
          <w:sz w:val="14"/>
          <w:szCs w:val="14"/>
          <w:color w:val="auto"/>
        </w:rPr>
        <w:t>All Shares of Restricted Stock will, upon execution of this Restricted Stock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65" w:lineRule="exact"/>
        <w:rPr>
          <w:rFonts w:ascii="Arial" w:cs="Arial" w:eastAsia="Arial" w:hAnsi="Arial"/>
          <w:sz w:val="14"/>
          <w:szCs w:val="14"/>
          <w:color w:val="auto"/>
        </w:rPr>
      </w:pPr>
    </w:p>
    <w:p>
      <w:pPr>
        <w:ind w:left="360" w:right="739" w:firstLine="749"/>
        <w:spacing w:after="0" w:line="259" w:lineRule="auto"/>
        <w:tabs>
          <w:tab w:leader="none" w:pos="1297" w:val="left"/>
        </w:tabs>
        <w:numPr>
          <w:ilvl w:val="1"/>
          <w:numId w:val="145"/>
        </w:numPr>
        <w:rPr>
          <w:rFonts w:ascii="Arial" w:cs="Arial" w:eastAsia="Arial" w:hAnsi="Arial"/>
          <w:sz w:val="14"/>
          <w:szCs w:val="14"/>
          <w:color w:val="auto"/>
        </w:rPr>
      </w:pPr>
      <w:r>
        <w:rPr>
          <w:rFonts w:ascii="Arial" w:cs="Arial" w:eastAsia="Arial" w:hAnsi="Arial"/>
          <w:sz w:val="14"/>
          <w:szCs w:val="14"/>
          <w:color w:val="auto"/>
        </w:rPr>
        <w:t>The Escrow Holder will not be liable for any act it may do or omit to do with respect to holding the Shares of Restricted Stock in escrow while acting in good faith and in the exercise of its judgment.</w:t>
      </w:r>
    </w:p>
    <w:p>
      <w:pPr>
        <w:spacing w:after="0" w:line="58" w:lineRule="exact"/>
        <w:rPr>
          <w:rFonts w:ascii="Arial" w:cs="Arial" w:eastAsia="Arial" w:hAnsi="Arial"/>
          <w:sz w:val="14"/>
          <w:szCs w:val="14"/>
          <w:color w:val="auto"/>
        </w:rPr>
      </w:pPr>
    </w:p>
    <w:p>
      <w:pPr>
        <w:ind w:left="360" w:right="439" w:firstLine="749"/>
        <w:spacing w:after="0" w:line="297" w:lineRule="auto"/>
        <w:tabs>
          <w:tab w:leader="none" w:pos="1289" w:val="left"/>
        </w:tabs>
        <w:numPr>
          <w:ilvl w:val="1"/>
          <w:numId w:val="145"/>
        </w:numPr>
        <w:rPr>
          <w:rFonts w:ascii="Arial" w:cs="Arial" w:eastAsia="Arial" w:hAnsi="Arial"/>
          <w:sz w:val="12"/>
          <w:szCs w:val="12"/>
          <w:color w:val="auto"/>
        </w:rPr>
      </w:pPr>
      <w:r>
        <w:rPr>
          <w:rFonts w:ascii="Arial" w:cs="Arial" w:eastAsia="Arial" w:hAnsi="Arial"/>
          <w:sz w:val="12"/>
          <w:szCs w:val="12"/>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39" w:lineRule="exact"/>
        <w:rPr>
          <w:rFonts w:ascii="Arial" w:cs="Arial" w:eastAsia="Arial" w:hAnsi="Arial"/>
          <w:sz w:val="12"/>
          <w:szCs w:val="12"/>
          <w:color w:val="auto"/>
        </w:rPr>
      </w:pPr>
    </w:p>
    <w:p>
      <w:pPr>
        <w:ind w:left="360" w:right="519" w:firstLine="749"/>
        <w:spacing w:after="0" w:line="259" w:lineRule="auto"/>
        <w:tabs>
          <w:tab w:leader="none" w:pos="1297" w:val="left"/>
        </w:tabs>
        <w:numPr>
          <w:ilvl w:val="1"/>
          <w:numId w:val="145"/>
        </w:numPr>
        <w:rPr>
          <w:rFonts w:ascii="Arial" w:cs="Arial" w:eastAsia="Arial" w:hAnsi="Arial"/>
          <w:sz w:val="14"/>
          <w:szCs w:val="14"/>
          <w:color w:val="auto"/>
        </w:rPr>
      </w:pPr>
      <w:r>
        <w:rPr>
          <w:rFonts w:ascii="Arial" w:cs="Arial" w:eastAsia="Arial" w:hAnsi="Arial"/>
          <w:sz w:val="14"/>
          <w:szCs w:val="14"/>
          <w:color w:val="auto"/>
        </w:rPr>
        <w:t>The Escrow Holder will take all steps necessary to accomplish the transfer of Shares of Restricted Stock to Participant after they vest following Participant’s request that the Escrow Holder do so.</w:t>
      </w:r>
    </w:p>
    <w:p>
      <w:pPr>
        <w:spacing w:after="0" w:line="58" w:lineRule="exact"/>
        <w:rPr>
          <w:rFonts w:ascii="Arial" w:cs="Arial" w:eastAsia="Arial" w:hAnsi="Arial"/>
          <w:sz w:val="14"/>
          <w:szCs w:val="14"/>
          <w:color w:val="auto"/>
        </w:rPr>
      </w:pPr>
    </w:p>
    <w:p>
      <w:pPr>
        <w:ind w:left="360" w:right="399" w:firstLine="749"/>
        <w:spacing w:after="0" w:line="259" w:lineRule="auto"/>
        <w:tabs>
          <w:tab w:leader="none" w:pos="1289" w:val="left"/>
        </w:tabs>
        <w:numPr>
          <w:ilvl w:val="1"/>
          <w:numId w:val="145"/>
        </w:numPr>
        <w:rPr>
          <w:rFonts w:ascii="Arial" w:cs="Arial" w:eastAsia="Arial" w:hAnsi="Arial"/>
          <w:sz w:val="14"/>
          <w:szCs w:val="14"/>
          <w:color w:val="auto"/>
        </w:rPr>
      </w:pPr>
      <w:r>
        <w:rPr>
          <w:rFonts w:ascii="Arial" w:cs="Arial" w:eastAsia="Arial" w:hAnsi="Arial"/>
          <w:sz w:val="14"/>
          <w:szCs w:val="14"/>
          <w:color w:val="auto"/>
        </w:rPr>
        <w:t>Subject to the terms hereof, Participant will have all the rights of a stockholder with respect to the Shares while they are held in escrow, including without limitation, the right to vote the Shares and to receive any cash dividends declared thereon.</w:t>
      </w:r>
    </w:p>
    <w:p>
      <w:pPr>
        <w:spacing w:after="0" w:line="58" w:lineRule="exact"/>
        <w:rPr>
          <w:rFonts w:ascii="Arial" w:cs="Arial" w:eastAsia="Arial" w:hAnsi="Arial"/>
          <w:sz w:val="14"/>
          <w:szCs w:val="14"/>
          <w:color w:val="auto"/>
        </w:rPr>
      </w:pPr>
    </w:p>
    <w:p>
      <w:pPr>
        <w:ind w:left="360" w:right="379" w:firstLine="749"/>
        <w:spacing w:after="0" w:line="294" w:lineRule="auto"/>
        <w:tabs>
          <w:tab w:leader="none" w:pos="1274" w:val="left"/>
        </w:tabs>
        <w:numPr>
          <w:ilvl w:val="1"/>
          <w:numId w:val="145"/>
        </w:numPr>
        <w:rPr>
          <w:rFonts w:ascii="Arial" w:cs="Arial" w:eastAsia="Arial" w:hAnsi="Arial"/>
          <w:sz w:val="12"/>
          <w:szCs w:val="12"/>
          <w:color w:val="auto"/>
        </w:rPr>
      </w:pPr>
      <w:r>
        <w:rPr>
          <w:rFonts w:ascii="Arial" w:cs="Arial" w:eastAsia="Arial" w:hAnsi="Arial"/>
          <w:sz w:val="12"/>
          <w:szCs w:val="12"/>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w:t>
      </w:r>
    </w:p>
    <w:p>
      <w:pPr>
        <w:sectPr>
          <w:pgSz w:w="11900" w:h="16838" w:orient="portrait"/>
          <w:cols w:equalWidth="0" w:num="1">
            <w:col w:w="9019"/>
          </w:cols>
          <w:pgMar w:left="1440" w:top="238" w:right="1440" w:bottom="1440" w:gutter="0" w:footer="0" w:header="0"/>
        </w:sectPr>
      </w:pPr>
    </w:p>
    <w:bookmarkStart w:id="121" w:name="page122"/>
    <w:bookmarkEnd w:id="121"/>
    <w:p>
      <w:pPr>
        <w:ind w:left="360" w:right="379"/>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of Restricted Stock and will be subject to all of the conditions and restrictions which were applicable to the unvested Shares of Restricted Stock pursuant to this Restricted Stock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Restricted Stock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43" w:lineRule="exact"/>
        <w:rPr>
          <w:sz w:val="20"/>
          <w:szCs w:val="20"/>
          <w:color w:val="auto"/>
        </w:rPr>
      </w:pPr>
    </w:p>
    <w:p>
      <w:pPr>
        <w:ind w:left="360" w:right="619" w:firstLine="749"/>
        <w:spacing w:after="0" w:line="342" w:lineRule="auto"/>
        <w:tabs>
          <w:tab w:leader="none" w:pos="1297" w:val="left"/>
        </w:tabs>
        <w:numPr>
          <w:ilvl w:val="1"/>
          <w:numId w:val="146"/>
        </w:numPr>
        <w:rPr>
          <w:rFonts w:ascii="Arial" w:cs="Arial" w:eastAsia="Arial" w:hAnsi="Arial"/>
          <w:sz w:val="12"/>
          <w:szCs w:val="12"/>
          <w:color w:val="auto"/>
        </w:rPr>
      </w:pPr>
      <w:r>
        <w:rPr>
          <w:rFonts w:ascii="Arial" w:cs="Arial" w:eastAsia="Arial" w:hAnsi="Arial"/>
          <w:sz w:val="12"/>
          <w:szCs w:val="12"/>
          <w:color w:val="auto"/>
        </w:rPr>
        <w:t>The Company may instruct the transfer agent for its Common Stock to place a legend on the certificates representing the Restricted Stock or otherwise note its records as to the restrictions on transfer set forth in this Restricted Stock Agreement.</w:t>
      </w:r>
    </w:p>
    <w:p>
      <w:pPr>
        <w:spacing w:after="0" w:line="12" w:lineRule="exact"/>
        <w:rPr>
          <w:rFonts w:ascii="Arial" w:cs="Arial" w:eastAsia="Arial" w:hAnsi="Arial"/>
          <w:sz w:val="12"/>
          <w:szCs w:val="12"/>
          <w:color w:val="auto"/>
        </w:rPr>
      </w:pPr>
    </w:p>
    <w:p>
      <w:pPr>
        <w:ind w:left="360" w:right="459" w:firstLine="334"/>
        <w:spacing w:after="0" w:line="302" w:lineRule="auto"/>
        <w:tabs>
          <w:tab w:leader="none" w:pos="826"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Vesting Schedule</w:t>
      </w:r>
      <w:r>
        <w:rPr>
          <w:rFonts w:ascii="Arial" w:cs="Arial" w:eastAsia="Arial" w:hAnsi="Arial"/>
          <w:sz w:val="12"/>
          <w:szCs w:val="12"/>
          <w:color w:val="auto"/>
        </w:rPr>
        <w:t>. Except as provided in Section 4, and subject to Section 5, the Shares of Restricted Stock awarded by this Restricted Stock Agreement will vest in accordance with the vesting provisions set forth in the Notice of Grant. Shares of Restricted Stock scheduled to vest on a certain date or upon the occurrence of a certain condition will not vest in Participant in accordance with any of the provisions of this Restricted Stock Agreement, unless Participant will have been continuously a Service Provider from the Date of Grant until the date such vesting occurs.</w:t>
      </w:r>
    </w:p>
    <w:p>
      <w:pPr>
        <w:spacing w:after="0" w:line="36" w:lineRule="exact"/>
        <w:rPr>
          <w:rFonts w:ascii="Arial" w:cs="Arial" w:eastAsia="Arial" w:hAnsi="Arial"/>
          <w:sz w:val="12"/>
          <w:szCs w:val="12"/>
          <w:color w:val="auto"/>
        </w:rPr>
      </w:pPr>
    </w:p>
    <w:p>
      <w:pPr>
        <w:ind w:left="360" w:right="379" w:firstLine="334"/>
        <w:spacing w:after="0" w:line="250" w:lineRule="auto"/>
        <w:tabs>
          <w:tab w:leader="none" w:pos="826" w:val="left"/>
        </w:tabs>
        <w:numPr>
          <w:ilvl w:val="0"/>
          <w:numId w:val="147"/>
        </w:numPr>
        <w:rPr>
          <w:rFonts w:ascii="Arial" w:cs="Arial" w:eastAsia="Arial" w:hAnsi="Arial"/>
          <w:sz w:val="14"/>
          <w:szCs w:val="14"/>
          <w:color w:val="auto"/>
        </w:rPr>
      </w:pPr>
      <w:r>
        <w:rPr>
          <w:rFonts w:ascii="Arial" w:cs="Arial" w:eastAsia="Arial" w:hAnsi="Arial"/>
          <w:sz w:val="14"/>
          <w:szCs w:val="14"/>
          <w:u w:val="single" w:color="auto"/>
          <w:color w:val="auto"/>
        </w:rPr>
        <w:t>Administrator Discretion</w:t>
      </w:r>
      <w:r>
        <w:rPr>
          <w:rFonts w:ascii="Arial" w:cs="Arial" w:eastAsia="Arial" w:hAnsi="Arial"/>
          <w:sz w:val="14"/>
          <w:szCs w:val="14"/>
          <w:color w:val="auto"/>
        </w:rPr>
        <w:t>. The Administrator, in its discretion, may accelerate the vesting of the balance, or some lesser portion of the balance, of the unvested Restricted Stock at any time, subject to the terms of the Plan. If so accelerated, such Restricted Stock will be considered as having vested as of the date specified by the Administrator.</w:t>
      </w:r>
    </w:p>
    <w:p>
      <w:pPr>
        <w:spacing w:after="0" w:line="65" w:lineRule="exact"/>
        <w:rPr>
          <w:rFonts w:ascii="Arial" w:cs="Arial" w:eastAsia="Arial" w:hAnsi="Arial"/>
          <w:sz w:val="14"/>
          <w:szCs w:val="14"/>
          <w:color w:val="auto"/>
        </w:rPr>
      </w:pPr>
    </w:p>
    <w:p>
      <w:pPr>
        <w:ind w:left="360" w:right="379" w:firstLine="334"/>
        <w:spacing w:after="0" w:line="289" w:lineRule="auto"/>
        <w:tabs>
          <w:tab w:leader="none" w:pos="826"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Forfeiture Upon Termination as a Service Provider</w:t>
      </w:r>
      <w:r>
        <w:rPr>
          <w:rFonts w:ascii="Arial" w:cs="Arial" w:eastAsia="Arial" w:hAnsi="Arial"/>
          <w:sz w:val="12"/>
          <w:szCs w:val="12"/>
          <w:color w:val="auto"/>
        </w:rPr>
        <w:t>. Unless specifically provided otherwise in this Restricted Stock Agreement or other written agreement between Participant and the Company or any of its Subsidiaries or Parents, as applicable, if Participant ceases to be a Service Provider for any or no reason,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47" w:lineRule="exact"/>
        <w:rPr>
          <w:rFonts w:ascii="Arial" w:cs="Arial" w:eastAsia="Arial" w:hAnsi="Arial"/>
          <w:sz w:val="12"/>
          <w:szCs w:val="12"/>
          <w:color w:val="auto"/>
        </w:rPr>
      </w:pPr>
    </w:p>
    <w:p>
      <w:pPr>
        <w:ind w:left="360" w:right="459" w:firstLine="334"/>
        <w:spacing w:after="0" w:line="302" w:lineRule="auto"/>
        <w:tabs>
          <w:tab w:leader="none" w:pos="826" w:val="left"/>
        </w:tabs>
        <w:numPr>
          <w:ilvl w:val="0"/>
          <w:numId w:val="147"/>
        </w:numPr>
        <w:rPr>
          <w:rFonts w:ascii="Arial" w:cs="Arial" w:eastAsia="Arial" w:hAnsi="Arial"/>
          <w:sz w:val="12"/>
          <w:szCs w:val="12"/>
          <w:color w:val="auto"/>
        </w:rPr>
      </w:pPr>
      <w:r>
        <w:rPr>
          <w:rFonts w:ascii="Arial" w:cs="Arial" w:eastAsia="Arial" w:hAnsi="Arial"/>
          <w:sz w:val="12"/>
          <w:szCs w:val="12"/>
          <w:u w:val="single" w:color="auto"/>
          <w:color w:val="auto"/>
        </w:rPr>
        <w:t>Death of Participant</w:t>
      </w:r>
      <w:r>
        <w:rPr>
          <w:rFonts w:ascii="Arial" w:cs="Arial" w:eastAsia="Arial" w:hAnsi="Arial"/>
          <w:sz w:val="12"/>
          <w:szCs w:val="12"/>
          <w:color w:val="auto"/>
        </w:rPr>
        <w:t>. Any distribution or delivery to be made to Participant under this Restricted Stock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66" w:lineRule="exact"/>
        <w:rPr>
          <w:rFonts w:ascii="Arial" w:cs="Arial" w:eastAsia="Arial" w:hAnsi="Arial"/>
          <w:sz w:val="12"/>
          <w:szCs w:val="12"/>
          <w:color w:val="auto"/>
        </w:rPr>
      </w:pPr>
    </w:p>
    <w:p>
      <w:pPr>
        <w:ind w:left="4480" w:hanging="89"/>
        <w:spacing w:after="0"/>
        <w:tabs>
          <w:tab w:leader="none" w:pos="4480" w:val="left"/>
        </w:tabs>
        <w:numPr>
          <w:ilvl w:val="2"/>
          <w:numId w:val="147"/>
        </w:numPr>
        <w:rPr>
          <w:rFonts w:ascii="Arial" w:cs="Arial" w:eastAsia="Arial" w:hAnsi="Arial"/>
          <w:sz w:val="14"/>
          <w:szCs w:val="14"/>
          <w:color w:val="auto"/>
        </w:rPr>
      </w:pPr>
      <w:r>
        <w:rPr>
          <w:rFonts w:ascii="Arial" w:cs="Arial" w:eastAsia="Arial" w:hAnsi="Arial"/>
          <w:sz w:val="14"/>
          <w:szCs w:val="14"/>
          <w:color w:val="auto"/>
        </w:rPr>
        <w:t>2 -</w:t>
      </w:r>
    </w:p>
    <w:p>
      <w:pPr>
        <w:sectPr>
          <w:pgSz w:w="11900" w:h="16838" w:orient="portrait"/>
          <w:cols w:equalWidth="0" w:num="1">
            <w:col w:w="9019"/>
          </w:cols>
          <w:pgMar w:left="1440" w:top="240" w:right="1440" w:bottom="1440" w:gutter="0" w:footer="0" w:header="0"/>
        </w:sectPr>
      </w:pPr>
    </w:p>
    <w:bookmarkStart w:id="122" w:name="page123"/>
    <w:bookmarkEnd w:id="122"/>
    <w:p>
      <w:pPr>
        <w:ind w:left="820" w:hanging="126"/>
        <w:spacing w:after="0"/>
        <w:tabs>
          <w:tab w:leader="none" w:pos="820" w:val="left"/>
        </w:tabs>
        <w:numPr>
          <w:ilvl w:val="0"/>
          <w:numId w:val="148"/>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Tax Obligations</w:t>
      </w:r>
    </w:p>
    <w:p>
      <w:pPr>
        <w:spacing w:after="0" w:line="82" w:lineRule="exact"/>
        <w:rPr>
          <w:rFonts w:ascii="Arial" w:cs="Arial" w:eastAsia="Arial" w:hAnsi="Arial"/>
          <w:sz w:val="14"/>
          <w:szCs w:val="14"/>
          <w:color w:val="auto"/>
        </w:rPr>
      </w:pPr>
    </w:p>
    <w:p>
      <w:pPr>
        <w:ind w:left="360" w:right="399" w:firstLine="749"/>
        <w:spacing w:after="0" w:line="285" w:lineRule="auto"/>
        <w:tabs>
          <w:tab w:leader="none" w:pos="1289" w:val="left"/>
        </w:tabs>
        <w:numPr>
          <w:ilvl w:val="1"/>
          <w:numId w:val="148"/>
        </w:numPr>
        <w:rPr>
          <w:rFonts w:ascii="Arial" w:cs="Arial" w:eastAsia="Arial" w:hAnsi="Arial"/>
          <w:sz w:val="12"/>
          <w:szCs w:val="12"/>
          <w:color w:val="auto"/>
        </w:rPr>
      </w:pPr>
      <w:r>
        <w:rPr>
          <w:rFonts w:ascii="Arial" w:cs="Arial" w:eastAsia="Arial" w:hAnsi="Arial"/>
          <w:sz w:val="12"/>
          <w:szCs w:val="12"/>
          <w:u w:val="single" w:color="auto"/>
          <w:color w:val="auto"/>
        </w:rPr>
        <w:t>Responsibility for Taxes</w:t>
      </w:r>
      <w:r>
        <w:rPr>
          <w:rFonts w:ascii="Arial" w:cs="Arial" w:eastAsia="Arial" w:hAnsi="Arial"/>
          <w:sz w:val="12"/>
          <w:szCs w:val="12"/>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Shares of Restricted Stock,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release from escrow of the Shares of Restricted Stock, the filing of an 83(b) election with respect to the Shares of Restricted Stock, or the sale of Shares, and (iii) any other Company (or Service Recipient) taxes the responsibility for which the Participant has, or has agreed to bear, with respect to the Shares of Restricted Stock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Restricted Stock Agreement and the receipt of any dividends or other distributions, and (B) do not commit to and are under no obligation to structure the terms of the grant or any aspect of the Award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“83(b) Election”) with the IRS within thirty (30) days from the date of grant of the Restricted Stock Award.</w:t>
      </w:r>
    </w:p>
    <w:p>
      <w:pPr>
        <w:spacing w:after="0" w:line="238" w:lineRule="exact"/>
        <w:rPr>
          <w:rFonts w:ascii="Arial" w:cs="Arial" w:eastAsia="Arial" w:hAnsi="Arial"/>
          <w:sz w:val="12"/>
          <w:szCs w:val="12"/>
          <w:color w:val="auto"/>
        </w:rPr>
      </w:pPr>
    </w:p>
    <w:p>
      <w:pPr>
        <w:ind w:left="4480" w:hanging="89"/>
        <w:spacing w:after="0"/>
        <w:tabs>
          <w:tab w:leader="none" w:pos="4480" w:val="left"/>
        </w:tabs>
        <w:numPr>
          <w:ilvl w:val="2"/>
          <w:numId w:val="148"/>
        </w:numPr>
        <w:rPr>
          <w:rFonts w:ascii="Arial" w:cs="Arial" w:eastAsia="Arial" w:hAnsi="Arial"/>
          <w:sz w:val="14"/>
          <w:szCs w:val="14"/>
          <w:color w:val="auto"/>
        </w:rPr>
      </w:pPr>
      <w:r>
        <w:rPr>
          <w:rFonts w:ascii="Arial" w:cs="Arial" w:eastAsia="Arial" w:hAnsi="Arial"/>
          <w:sz w:val="14"/>
          <w:szCs w:val="14"/>
          <w:color w:val="auto"/>
        </w:rPr>
        <w:t>3 -</w:t>
      </w:r>
    </w:p>
    <w:p>
      <w:pPr>
        <w:sectPr>
          <w:pgSz w:w="11900" w:h="16838" w:orient="portrait"/>
          <w:cols w:equalWidth="0" w:num="1">
            <w:col w:w="9019"/>
          </w:cols>
          <w:pgMar w:left="1440" w:top="240" w:right="1440" w:bottom="1440" w:gutter="0" w:footer="0" w:header="0"/>
        </w:sectPr>
      </w:pPr>
    </w:p>
    <w:bookmarkStart w:id="123" w:name="page124"/>
    <w:bookmarkEnd w:id="123"/>
    <w:p>
      <w:pPr>
        <w:ind w:left="360" w:right="379" w:firstLine="749"/>
        <w:spacing w:after="0" w:line="285" w:lineRule="auto"/>
        <w:tabs>
          <w:tab w:leader="none" w:pos="1297" w:val="left"/>
        </w:tabs>
        <w:numPr>
          <w:ilvl w:val="0"/>
          <w:numId w:val="149"/>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Tax Withholding</w:t>
      </w:r>
      <w:r>
        <w:rPr>
          <w:rFonts w:ascii="Arial" w:cs="Arial" w:eastAsia="Arial" w:hAnsi="Arial"/>
          <w:sz w:val="12"/>
          <w:szCs w:val="12"/>
          <w:color w:val="auto"/>
        </w:rPr>
        <w:t>. Notwithstanding any contrary provision of this Restricted Stock Agreement, no certificate representing the Shares of Restricted Stock may be released from the escrow established pursuant to Section 14,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 withheld from Participant’s wages or other cash compensation paid to Participant by the applicable Service Recipient(s), (iv) delivering to the Company Shares that Participant owns and that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To the extent determined appropriate by the Administrator in its discretion, the Administrator will have the right (but not the obligation) to satisfy any Tax Obligations by reducing the number of Shares otherwise deliverable to Participant and, until determined otherwise by the Company, this will be the method by which such Tax Obligations are satisfied.</w:t>
      </w:r>
    </w:p>
    <w:p>
      <w:pPr>
        <w:spacing w:after="0" w:line="213" w:lineRule="exact"/>
        <w:rPr>
          <w:rFonts w:ascii="Arial" w:cs="Arial" w:eastAsia="Arial" w:hAnsi="Arial"/>
          <w:sz w:val="12"/>
          <w:szCs w:val="12"/>
          <w:color w:val="auto"/>
        </w:rPr>
      </w:pPr>
    </w:p>
    <w:p>
      <w:pPr>
        <w:ind w:left="360" w:right="459" w:firstLine="749"/>
        <w:spacing w:after="0" w:line="246" w:lineRule="auto"/>
        <w:tabs>
          <w:tab w:leader="none" w:pos="1289"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No Representations</w:t>
      </w:r>
      <w:r>
        <w:rPr>
          <w:rFonts w:ascii="Arial" w:cs="Arial" w:eastAsia="Arial" w:hAnsi="Arial"/>
          <w:sz w:val="14"/>
          <w:szCs w:val="14"/>
          <w:color w:val="auto"/>
        </w:rPr>
        <w:t>. Participant has reviewed with his or her own tax advisers the U.S. federal, state, local and non-U.S. tax consequences of this investment and the transactions contemplated by this Restricted Stock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Restricted Stock Agreement.</w:t>
      </w:r>
    </w:p>
    <w:p>
      <w:pPr>
        <w:spacing w:after="0" w:line="68" w:lineRule="exact"/>
        <w:rPr>
          <w:rFonts w:ascii="Arial" w:cs="Arial" w:eastAsia="Arial" w:hAnsi="Arial"/>
          <w:sz w:val="14"/>
          <w:szCs w:val="14"/>
          <w:color w:val="auto"/>
        </w:rPr>
      </w:pPr>
    </w:p>
    <w:p>
      <w:pPr>
        <w:ind w:left="360" w:right="479" w:firstLine="749"/>
        <w:spacing w:after="0" w:line="291" w:lineRule="auto"/>
        <w:tabs>
          <w:tab w:leader="none" w:pos="1297" w:val="left"/>
        </w:tabs>
        <w:numPr>
          <w:ilvl w:val="0"/>
          <w:numId w:val="149"/>
        </w:numPr>
        <w:rPr>
          <w:rFonts w:ascii="Arial" w:cs="Arial" w:eastAsia="Arial" w:hAnsi="Arial"/>
          <w:sz w:val="12"/>
          <w:szCs w:val="12"/>
          <w:color w:val="auto"/>
        </w:rPr>
      </w:pPr>
      <w:r>
        <w:rPr>
          <w:rFonts w:ascii="Arial" w:cs="Arial" w:eastAsia="Arial" w:hAnsi="Arial"/>
          <w:sz w:val="12"/>
          <w:szCs w:val="12"/>
          <w:u w:val="single" w:color="auto"/>
          <w:color w:val="auto"/>
        </w:rPr>
        <w:t>Company’s Obligation to Release Shares</w:t>
      </w:r>
      <w:r>
        <w:rPr>
          <w:rFonts w:ascii="Arial" w:cs="Arial" w:eastAsia="Arial" w:hAnsi="Arial"/>
          <w:sz w:val="12"/>
          <w:szCs w:val="12"/>
          <w:color w:val="auto"/>
        </w:rPr>
        <w:t>. For clarification purposes, in no event will the Company release Shares from the escrow established pursuant to Section 11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will permanently forfeit such Shares of Restricted Stock to which Participant’s Tax Obligation 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72" w:lineRule="exact"/>
        <w:rPr>
          <w:rFonts w:ascii="Arial" w:cs="Arial" w:eastAsia="Arial" w:hAnsi="Arial"/>
          <w:sz w:val="12"/>
          <w:szCs w:val="12"/>
          <w:color w:val="auto"/>
        </w:rPr>
      </w:pPr>
    </w:p>
    <w:p>
      <w:pPr>
        <w:ind w:left="4480" w:hanging="89"/>
        <w:spacing w:after="0"/>
        <w:tabs>
          <w:tab w:leader="none" w:pos="4480" w:val="left"/>
        </w:tabs>
        <w:numPr>
          <w:ilvl w:val="1"/>
          <w:numId w:val="149"/>
        </w:numPr>
        <w:rPr>
          <w:rFonts w:ascii="Arial" w:cs="Arial" w:eastAsia="Arial" w:hAnsi="Arial"/>
          <w:sz w:val="14"/>
          <w:szCs w:val="14"/>
          <w:color w:val="auto"/>
        </w:rPr>
      </w:pPr>
      <w:r>
        <w:rPr>
          <w:rFonts w:ascii="Arial" w:cs="Arial" w:eastAsia="Arial" w:hAnsi="Arial"/>
          <w:sz w:val="14"/>
          <w:szCs w:val="14"/>
          <w:color w:val="auto"/>
        </w:rPr>
        <w:t>4 -</w:t>
      </w:r>
    </w:p>
    <w:p>
      <w:pPr>
        <w:sectPr>
          <w:pgSz w:w="11900" w:h="16838" w:orient="portrait"/>
          <w:cols w:equalWidth="0" w:num="1">
            <w:col w:w="9019"/>
          </w:cols>
          <w:pgMar w:left="1440" w:top="240" w:right="1440" w:bottom="1440" w:gutter="0" w:footer="0" w:header="0"/>
        </w:sectPr>
      </w:pPr>
    </w:p>
    <w:bookmarkStart w:id="124" w:name="page125"/>
    <w:bookmarkEnd w:id="124"/>
    <w:p>
      <w:pPr>
        <w:ind w:left="360" w:right="419" w:firstLine="334"/>
        <w:spacing w:after="0" w:line="292" w:lineRule="auto"/>
        <w:tabs>
          <w:tab w:leader="none" w:pos="826"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Rights as Stockholder</w:t>
      </w:r>
      <w:r>
        <w:rPr>
          <w:rFonts w:ascii="Arial" w:cs="Arial" w:eastAsia="Arial" w:hAnsi="Arial"/>
          <w:sz w:val="12"/>
          <w:szCs w:val="12"/>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1(f), after such issuance, recordation and delivery, Participant will have all the rights of a stockholder of the Company with respect to voting such Shares and receipt of dividends and distributions on such Shares.</w:t>
      </w:r>
    </w:p>
    <w:p>
      <w:pPr>
        <w:spacing w:after="0" w:line="42" w:lineRule="exact"/>
        <w:rPr>
          <w:rFonts w:ascii="Arial" w:cs="Arial" w:eastAsia="Arial" w:hAnsi="Arial"/>
          <w:sz w:val="12"/>
          <w:szCs w:val="12"/>
          <w:color w:val="auto"/>
        </w:rPr>
      </w:pPr>
    </w:p>
    <w:p>
      <w:pPr>
        <w:ind w:left="360" w:right="499" w:firstLine="334"/>
        <w:spacing w:after="0" w:line="288" w:lineRule="auto"/>
        <w:tabs>
          <w:tab w:leader="none" w:pos="826"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No Guarantee of Continued Service</w:t>
      </w:r>
      <w:r>
        <w:rPr>
          <w:rFonts w:ascii="Arial" w:cs="Arial" w:eastAsia="Arial" w:hAnsi="Arial"/>
          <w:sz w:val="12"/>
          <w:szCs w:val="12"/>
          <w:color w:val="auto"/>
        </w:rPr>
        <w:t>. PARTICIPANT ACKNOWLEDGES AND AGREES THAT THE VESTING OF THE SHARES OF RESTRICTED STOCK PURSUANT TO THE VESTING SCHEDULE HEREOF IS EARNED ONLY BY CONTINUING AS A SERVICE PROVIDER, WHICH UNLESS PROVIDED OTHERWISE UNDER APPLICABLE LAW IS AT THE WILL OF THE COMPANY (OR THE SERVICE RECIPIENT) AND NOT THROUGH THE ACT OF BEING HIRED, BEING GRANTED THIS RESTRICTED STOCK AWARD OR ACQUIRING SHARES HEREUNDER. PARTICIPANT FURTHER ACKNOWLEDGES AND AGREES THAT THIS RESTRICTED STOCK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11" w:lineRule="exact"/>
        <w:rPr>
          <w:rFonts w:ascii="Arial" w:cs="Arial" w:eastAsia="Arial" w:hAnsi="Arial"/>
          <w:sz w:val="12"/>
          <w:szCs w:val="12"/>
          <w:color w:val="auto"/>
        </w:rPr>
      </w:pPr>
    </w:p>
    <w:p>
      <w:pPr>
        <w:ind w:left="900" w:hanging="206"/>
        <w:spacing w:after="0"/>
        <w:tabs>
          <w:tab w:leader="none" w:pos="900"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Nature of Grant</w:t>
      </w:r>
      <w:r>
        <w:rPr>
          <w:rFonts w:ascii="Arial" w:cs="Arial" w:eastAsia="Arial" w:hAnsi="Arial"/>
          <w:sz w:val="14"/>
          <w:szCs w:val="14"/>
          <w:color w:val="auto"/>
        </w:rPr>
        <w:t>. In accepting this Award of Restricted Stock, Participant acknowledges, understands and agrees that:</w:t>
      </w:r>
    </w:p>
    <w:p>
      <w:pPr>
        <w:spacing w:after="0" w:line="82" w:lineRule="exact"/>
        <w:rPr>
          <w:rFonts w:ascii="Arial" w:cs="Arial" w:eastAsia="Arial" w:hAnsi="Arial"/>
          <w:sz w:val="14"/>
          <w:szCs w:val="14"/>
          <w:color w:val="auto"/>
        </w:rPr>
      </w:pPr>
    </w:p>
    <w:p>
      <w:pPr>
        <w:ind w:left="360" w:right="459" w:firstLine="749"/>
        <w:spacing w:after="0" w:line="250" w:lineRule="auto"/>
        <w:tabs>
          <w:tab w:leader="none" w:pos="1289" w:val="left"/>
        </w:tabs>
        <w:numPr>
          <w:ilvl w:val="1"/>
          <w:numId w:val="150"/>
        </w:numPr>
        <w:rPr>
          <w:rFonts w:ascii="Arial" w:cs="Arial" w:eastAsia="Arial" w:hAnsi="Arial"/>
          <w:sz w:val="14"/>
          <w:szCs w:val="14"/>
          <w:color w:val="auto"/>
        </w:rPr>
      </w:pPr>
      <w:r>
        <w:rPr>
          <w:rFonts w:ascii="Arial" w:cs="Arial" w:eastAsia="Arial" w:hAnsi="Arial"/>
          <w:sz w:val="14"/>
          <w:szCs w:val="14"/>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65" w:lineRule="exact"/>
        <w:rPr>
          <w:rFonts w:ascii="Arial" w:cs="Arial" w:eastAsia="Arial" w:hAnsi="Arial"/>
          <w:sz w:val="14"/>
          <w:szCs w:val="14"/>
          <w:color w:val="auto"/>
        </w:rPr>
      </w:pPr>
    </w:p>
    <w:p>
      <w:pPr>
        <w:ind w:left="1300" w:hanging="191"/>
        <w:spacing w:after="0"/>
        <w:tabs>
          <w:tab w:leader="none" w:pos="1300" w:val="left"/>
        </w:tabs>
        <w:numPr>
          <w:ilvl w:val="1"/>
          <w:numId w:val="150"/>
        </w:numPr>
        <w:rPr>
          <w:rFonts w:ascii="Arial" w:cs="Arial" w:eastAsia="Arial" w:hAnsi="Arial"/>
          <w:sz w:val="12"/>
          <w:szCs w:val="12"/>
          <w:color w:val="auto"/>
        </w:rPr>
      </w:pPr>
      <w:r>
        <w:rPr>
          <w:rFonts w:ascii="Arial" w:cs="Arial" w:eastAsia="Arial" w:hAnsi="Arial"/>
          <w:sz w:val="12"/>
          <w:szCs w:val="12"/>
          <w:color w:val="auto"/>
        </w:rPr>
        <w:t>all decisions with respect to future grants of Restricted Stock or other grants, if any, will be at the sole discretion of the Administrator;</w:t>
      </w:r>
    </w:p>
    <w:p>
      <w:pPr>
        <w:spacing w:after="0" w:line="105" w:lineRule="exact"/>
        <w:rPr>
          <w:rFonts w:ascii="Arial" w:cs="Arial" w:eastAsia="Arial" w:hAnsi="Arial"/>
          <w:sz w:val="12"/>
          <w:szCs w:val="12"/>
          <w:color w:val="auto"/>
        </w:rPr>
      </w:pPr>
    </w:p>
    <w:p>
      <w:pPr>
        <w:ind w:left="1300" w:hanging="191"/>
        <w:spacing w:after="0"/>
        <w:tabs>
          <w:tab w:leader="none" w:pos="1300" w:val="left"/>
        </w:tabs>
        <w:numPr>
          <w:ilvl w:val="1"/>
          <w:numId w:val="150"/>
        </w:numPr>
        <w:rPr>
          <w:rFonts w:ascii="Arial" w:cs="Arial" w:eastAsia="Arial" w:hAnsi="Arial"/>
          <w:sz w:val="14"/>
          <w:szCs w:val="14"/>
          <w:color w:val="auto"/>
        </w:rPr>
      </w:pPr>
      <w:r>
        <w:rPr>
          <w:rFonts w:ascii="Arial" w:cs="Arial" w:eastAsia="Arial" w:hAnsi="Arial"/>
          <w:sz w:val="14"/>
          <w:szCs w:val="14"/>
          <w:color w:val="auto"/>
        </w:rPr>
        <w:t>Participant is voluntarily participating in the Plan;</w:t>
      </w:r>
    </w:p>
    <w:p>
      <w:pPr>
        <w:spacing w:after="0" w:line="113" w:lineRule="exact"/>
        <w:rPr>
          <w:rFonts w:ascii="Arial" w:cs="Arial" w:eastAsia="Arial" w:hAnsi="Arial"/>
          <w:sz w:val="14"/>
          <w:szCs w:val="14"/>
          <w:color w:val="auto"/>
        </w:rPr>
      </w:pPr>
    </w:p>
    <w:p>
      <w:pPr>
        <w:ind w:left="4480" w:hanging="89"/>
        <w:spacing w:after="0"/>
        <w:tabs>
          <w:tab w:leader="none" w:pos="4480" w:val="left"/>
        </w:tabs>
        <w:numPr>
          <w:ilvl w:val="2"/>
          <w:numId w:val="150"/>
        </w:numPr>
        <w:rPr>
          <w:rFonts w:ascii="Arial" w:cs="Arial" w:eastAsia="Arial" w:hAnsi="Arial"/>
          <w:sz w:val="14"/>
          <w:szCs w:val="14"/>
          <w:color w:val="auto"/>
        </w:rPr>
      </w:pPr>
      <w:r>
        <w:rPr>
          <w:rFonts w:ascii="Arial" w:cs="Arial" w:eastAsia="Arial" w:hAnsi="Arial"/>
          <w:sz w:val="14"/>
          <w:szCs w:val="14"/>
          <w:color w:val="auto"/>
        </w:rPr>
        <w:t>5 -</w:t>
      </w:r>
    </w:p>
    <w:p>
      <w:pPr>
        <w:sectPr>
          <w:pgSz w:w="11900" w:h="16838" w:orient="portrait"/>
          <w:cols w:equalWidth="0" w:num="1">
            <w:col w:w="9019"/>
          </w:cols>
          <w:pgMar w:left="1440" w:top="240" w:right="1440" w:bottom="1440" w:gutter="0" w:footer="0" w:header="0"/>
        </w:sectPr>
      </w:pPr>
    </w:p>
    <w:bookmarkStart w:id="125" w:name="page126"/>
    <w:bookmarkEnd w:id="125"/>
    <w:p>
      <w:pPr>
        <w:ind w:left="1300" w:hanging="191"/>
        <w:spacing w:after="0"/>
        <w:tabs>
          <w:tab w:leader="none" w:pos="1300" w:val="left"/>
        </w:tabs>
        <w:numPr>
          <w:ilvl w:val="0"/>
          <w:numId w:val="1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Shares of Restricted Stock are not intended to replace any pension rights or compensation;</w:t>
      </w:r>
    </w:p>
    <w:p>
      <w:pPr>
        <w:spacing w:after="0" w:line="82" w:lineRule="exact"/>
        <w:rPr>
          <w:rFonts w:ascii="Arial" w:cs="Arial" w:eastAsia="Arial" w:hAnsi="Arial"/>
          <w:sz w:val="14"/>
          <w:szCs w:val="14"/>
          <w:color w:val="auto"/>
        </w:rPr>
      </w:pPr>
    </w:p>
    <w:p>
      <w:pPr>
        <w:ind w:left="360" w:right="639" w:firstLine="749"/>
        <w:spacing w:after="0" w:line="250" w:lineRule="auto"/>
        <w:tabs>
          <w:tab w:leader="none" w:pos="1289"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65" w:lineRule="exact"/>
        <w:rPr>
          <w:rFonts w:ascii="Arial" w:cs="Arial" w:eastAsia="Arial" w:hAnsi="Arial"/>
          <w:sz w:val="14"/>
          <w:szCs w:val="14"/>
          <w:color w:val="auto"/>
        </w:rPr>
      </w:pPr>
    </w:p>
    <w:p>
      <w:pPr>
        <w:ind w:left="1280" w:hanging="171"/>
        <w:spacing w:after="0"/>
        <w:tabs>
          <w:tab w:leader="none" w:pos="12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future value of the underlying Shares is unknown, indeterminable and cannot be predicted;</w:t>
      </w:r>
    </w:p>
    <w:p>
      <w:pPr>
        <w:spacing w:after="0" w:line="82" w:lineRule="exact"/>
        <w:rPr>
          <w:rFonts w:ascii="Arial" w:cs="Arial" w:eastAsia="Arial" w:hAnsi="Arial"/>
          <w:sz w:val="14"/>
          <w:szCs w:val="14"/>
          <w:color w:val="auto"/>
        </w:rPr>
      </w:pPr>
    </w:p>
    <w:p>
      <w:pPr>
        <w:ind w:left="360" w:right="459" w:firstLine="749"/>
        <w:spacing w:after="0" w:line="288" w:lineRule="auto"/>
        <w:tabs>
          <w:tab w:leader="none" w:pos="1297" w:val="left"/>
        </w:tabs>
        <w:numPr>
          <w:ilvl w:val="0"/>
          <w:numId w:val="151"/>
        </w:numPr>
        <w:rPr>
          <w:rFonts w:ascii="Arial" w:cs="Arial" w:eastAsia="Arial" w:hAnsi="Arial"/>
          <w:sz w:val="12"/>
          <w:szCs w:val="12"/>
          <w:color w:val="auto"/>
        </w:rPr>
      </w:pPr>
      <w:r>
        <w:rPr>
          <w:rFonts w:ascii="Arial" w:cs="Arial" w:eastAsia="Arial" w:hAnsi="Arial"/>
          <w:sz w:val="12"/>
          <w:szCs w:val="12"/>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Restricted Stock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Award (including whether Participant may still be considered to be providing services while on a leave of absence and consistent with local law);</w:t>
      </w:r>
    </w:p>
    <w:p>
      <w:pPr>
        <w:spacing w:after="0" w:line="45" w:lineRule="exact"/>
        <w:rPr>
          <w:rFonts w:ascii="Arial" w:cs="Arial" w:eastAsia="Arial" w:hAnsi="Arial"/>
          <w:sz w:val="12"/>
          <w:szCs w:val="12"/>
          <w:color w:val="auto"/>
        </w:rPr>
      </w:pPr>
    </w:p>
    <w:p>
      <w:pPr>
        <w:ind w:left="360" w:right="399" w:firstLine="749"/>
        <w:spacing w:after="0" w:line="312" w:lineRule="auto"/>
        <w:tabs>
          <w:tab w:leader="none" w:pos="1297" w:val="left"/>
        </w:tabs>
        <w:numPr>
          <w:ilvl w:val="0"/>
          <w:numId w:val="151"/>
        </w:numPr>
        <w:rPr>
          <w:rFonts w:ascii="Arial" w:cs="Arial" w:eastAsia="Arial" w:hAnsi="Arial"/>
          <w:sz w:val="12"/>
          <w:szCs w:val="12"/>
          <w:color w:val="auto"/>
        </w:rPr>
      </w:pPr>
      <w:r>
        <w:rPr>
          <w:rFonts w:ascii="Arial" w:cs="Arial" w:eastAsia="Arial" w:hAnsi="Arial"/>
          <w:sz w:val="12"/>
          <w:szCs w:val="12"/>
          <w:color w:val="auto"/>
        </w:rPr>
        <w:t>unless otherwise provided in the Plan or by the Administrator in its discretion, the Shares of Restricted Stock and the benefits evidenced by this Restricted Stock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30" w:lineRule="exact"/>
        <w:rPr>
          <w:rFonts w:ascii="Arial" w:cs="Arial" w:eastAsia="Arial" w:hAnsi="Arial"/>
          <w:sz w:val="12"/>
          <w:szCs w:val="12"/>
          <w:color w:val="auto"/>
        </w:rPr>
      </w:pPr>
    </w:p>
    <w:p>
      <w:pPr>
        <w:ind w:left="1280" w:hanging="171"/>
        <w:spacing w:after="0"/>
        <w:tabs>
          <w:tab w:leader="none" w:pos="128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the following provisions apply only if Participant is providing services outside the United States:</w:t>
      </w:r>
    </w:p>
    <w:p>
      <w:pPr>
        <w:spacing w:after="0" w:line="82" w:lineRule="exact"/>
        <w:rPr>
          <w:rFonts w:ascii="Arial" w:cs="Arial" w:eastAsia="Arial" w:hAnsi="Arial"/>
          <w:sz w:val="14"/>
          <w:szCs w:val="14"/>
          <w:color w:val="auto"/>
        </w:rPr>
      </w:pPr>
    </w:p>
    <w:p>
      <w:pPr>
        <w:ind w:left="1600" w:hanging="160"/>
        <w:spacing w:after="0"/>
        <w:tabs>
          <w:tab w:leader="none" w:pos="1600" w:val="left"/>
        </w:tabs>
        <w:numPr>
          <w:ilvl w:val="1"/>
          <w:numId w:val="151"/>
        </w:numPr>
        <w:rPr>
          <w:rFonts w:ascii="Arial" w:cs="Arial" w:eastAsia="Arial" w:hAnsi="Arial"/>
          <w:sz w:val="14"/>
          <w:szCs w:val="14"/>
          <w:color w:val="auto"/>
        </w:rPr>
      </w:pPr>
      <w:r>
        <w:rPr>
          <w:rFonts w:ascii="Arial" w:cs="Arial" w:eastAsia="Arial" w:hAnsi="Arial"/>
          <w:sz w:val="14"/>
          <w:szCs w:val="14"/>
          <w:color w:val="auto"/>
        </w:rPr>
        <w:t>the Shares of Restricted Stock are not part of normal or expected compensation or salary for any purpose;</w:t>
      </w:r>
    </w:p>
    <w:p>
      <w:pPr>
        <w:spacing w:after="0" w:line="82" w:lineRule="exact"/>
        <w:rPr>
          <w:rFonts w:ascii="Arial" w:cs="Arial" w:eastAsia="Arial" w:hAnsi="Arial"/>
          <w:sz w:val="14"/>
          <w:szCs w:val="14"/>
          <w:color w:val="auto"/>
        </w:rPr>
      </w:pPr>
    </w:p>
    <w:p>
      <w:pPr>
        <w:jc w:val="both"/>
        <w:ind w:left="360" w:right="439" w:firstLine="1080"/>
        <w:spacing w:after="0" w:line="250" w:lineRule="auto"/>
        <w:tabs>
          <w:tab w:leader="none" w:pos="1636" w:val="left"/>
        </w:tabs>
        <w:numPr>
          <w:ilvl w:val="1"/>
          <w:numId w:val="151"/>
        </w:numPr>
        <w:rPr>
          <w:rFonts w:ascii="Arial" w:cs="Arial" w:eastAsia="Arial" w:hAnsi="Arial"/>
          <w:sz w:val="14"/>
          <w:szCs w:val="14"/>
          <w:color w:val="auto"/>
        </w:rPr>
      </w:pPr>
      <w:r>
        <w:rPr>
          <w:rFonts w:ascii="Arial" w:cs="Arial" w:eastAsia="Arial" w:hAnsi="Arial"/>
          <w:sz w:val="14"/>
          <w:szCs w:val="14"/>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Shares of Restricted Stock or the subsequent sale of any Shares; and</w:t>
      </w:r>
    </w:p>
    <w:p>
      <w:pPr>
        <w:spacing w:after="0" w:line="95" w:lineRule="exact"/>
        <w:rPr>
          <w:rFonts w:ascii="Arial" w:cs="Arial" w:eastAsia="Arial" w:hAnsi="Arial"/>
          <w:sz w:val="14"/>
          <w:szCs w:val="14"/>
          <w:color w:val="auto"/>
        </w:rPr>
      </w:pPr>
    </w:p>
    <w:p>
      <w:pPr>
        <w:ind w:left="4480" w:hanging="89"/>
        <w:spacing w:after="0"/>
        <w:tabs>
          <w:tab w:leader="none" w:pos="4480" w:val="left"/>
        </w:tabs>
        <w:numPr>
          <w:ilvl w:val="2"/>
          <w:numId w:val="151"/>
        </w:numPr>
        <w:rPr>
          <w:rFonts w:ascii="Arial" w:cs="Arial" w:eastAsia="Arial" w:hAnsi="Arial"/>
          <w:sz w:val="14"/>
          <w:szCs w:val="14"/>
          <w:color w:val="auto"/>
        </w:rPr>
      </w:pPr>
      <w:r>
        <w:rPr>
          <w:rFonts w:ascii="Arial" w:cs="Arial" w:eastAsia="Arial" w:hAnsi="Arial"/>
          <w:sz w:val="14"/>
          <w:szCs w:val="14"/>
          <w:color w:val="auto"/>
        </w:rPr>
        <w:t>6 -</w:t>
      </w:r>
    </w:p>
    <w:p>
      <w:pPr>
        <w:sectPr>
          <w:pgSz w:w="11900" w:h="16838" w:orient="portrait"/>
          <w:cols w:equalWidth="0" w:num="1">
            <w:col w:w="9019"/>
          </w:cols>
          <w:pgMar w:left="1440" w:top="240" w:right="1440" w:bottom="1440" w:gutter="0" w:footer="0" w:header="0"/>
        </w:sectPr>
      </w:pPr>
    </w:p>
    <w:bookmarkStart w:id="126" w:name="page127"/>
    <w:bookmarkEnd w:id="126"/>
    <w:p>
      <w:pPr>
        <w:ind w:left="360" w:right="459" w:firstLine="1080"/>
        <w:spacing w:after="0" w:line="291" w:lineRule="auto"/>
        <w:tabs>
          <w:tab w:leader="none" w:pos="1673" w:val="left"/>
        </w:tabs>
        <w:numPr>
          <w:ilvl w:val="1"/>
          <w:numId w:val="15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no claim or entitlement to compensation or damages shall arise from forfeiture of the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41" w:lineRule="exact"/>
        <w:rPr>
          <w:rFonts w:ascii="Arial" w:cs="Arial" w:eastAsia="Arial" w:hAnsi="Arial"/>
          <w:sz w:val="12"/>
          <w:szCs w:val="12"/>
          <w:color w:val="auto"/>
        </w:rPr>
      </w:pPr>
    </w:p>
    <w:p>
      <w:pPr>
        <w:ind w:left="360" w:right="579" w:firstLine="334"/>
        <w:spacing w:after="0" w:line="302" w:lineRule="auto"/>
        <w:tabs>
          <w:tab w:leader="none" w:pos="889" w:val="left"/>
        </w:tabs>
        <w:numPr>
          <w:ilvl w:val="0"/>
          <w:numId w:val="153"/>
        </w:numPr>
        <w:rPr>
          <w:rFonts w:ascii="Arial" w:cs="Arial" w:eastAsia="Arial" w:hAnsi="Arial"/>
          <w:sz w:val="12"/>
          <w:szCs w:val="12"/>
          <w:color w:val="auto"/>
        </w:rPr>
      </w:pPr>
      <w:r>
        <w:rPr>
          <w:rFonts w:ascii="Arial" w:cs="Arial" w:eastAsia="Arial" w:hAnsi="Arial"/>
          <w:sz w:val="12"/>
          <w:szCs w:val="12"/>
          <w:u w:val="single" w:color="auto"/>
          <w:color w:val="auto"/>
        </w:rPr>
        <w:t>No Advice Regarding Grant</w:t>
      </w:r>
      <w:r>
        <w:rPr>
          <w:rFonts w:ascii="Arial" w:cs="Arial" w:eastAsia="Arial" w:hAnsi="Arial"/>
          <w:sz w:val="12"/>
          <w:szCs w:val="12"/>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36" w:lineRule="exact"/>
        <w:rPr>
          <w:rFonts w:ascii="Arial" w:cs="Arial" w:eastAsia="Arial" w:hAnsi="Arial"/>
          <w:sz w:val="12"/>
          <w:szCs w:val="12"/>
          <w:color w:val="auto"/>
        </w:rPr>
      </w:pPr>
    </w:p>
    <w:p>
      <w:pPr>
        <w:ind w:left="360" w:right="479" w:firstLine="334"/>
        <w:spacing w:after="0" w:line="351" w:lineRule="auto"/>
        <w:tabs>
          <w:tab w:leader="none" w:pos="894" w:val="left"/>
        </w:tabs>
        <w:numPr>
          <w:ilvl w:val="0"/>
          <w:numId w:val="153"/>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u w:val="single" w:color="auto"/>
          <w:color w:val="auto"/>
        </w:rPr>
        <w:t>Data Privacy</w:t>
      </w:r>
      <w:r>
        <w:rPr>
          <w:rFonts w:ascii="Arial" w:cs="Arial" w:eastAsia="Arial" w:hAnsi="Arial"/>
          <w:sz w:val="11"/>
          <w:szCs w:val="11"/>
          <w:b w:val="1"/>
          <w:bCs w:val="1"/>
          <w:i w:val="1"/>
          <w:iCs w:val="1"/>
          <w:color w:val="auto"/>
        </w:rPr>
        <w:t>. Participant hereby explicitly and unambiguously consents to the collection, use and transfer, in electronic or other form, of Participant’s personal data as described in this Restricted Stock Agreement and any other Restricted Stock grant materials by and among, as applicable, the Service Recipients for the exclusive purpose of implementing, administering and managing Participant’s participation in the Plan.</w:t>
      </w:r>
    </w:p>
    <w:p>
      <w:pPr>
        <w:spacing w:after="0" w:line="95" w:lineRule="exact"/>
        <w:rPr>
          <w:sz w:val="20"/>
          <w:szCs w:val="20"/>
          <w:color w:val="auto"/>
        </w:rPr>
      </w:pPr>
    </w:p>
    <w:p>
      <w:pPr>
        <w:ind w:left="360" w:right="459" w:firstLine="331"/>
        <w:spacing w:after="0" w:line="297" w:lineRule="auto"/>
        <w:rPr>
          <w:sz w:val="20"/>
          <w:szCs w:val="20"/>
          <w:color w:val="auto"/>
        </w:rPr>
      </w:pPr>
      <w:r>
        <w:rPr>
          <w:rFonts w:ascii="Arial" w:cs="Arial" w:eastAsia="Arial" w:hAnsi="Arial"/>
          <w:sz w:val="12"/>
          <w:szCs w:val="12"/>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(“Data”), for the exclusive purpose of implementing, administering and managing the Plan.</w:t>
      </w:r>
    </w:p>
    <w:p>
      <w:pPr>
        <w:spacing w:after="0" w:line="120" w:lineRule="exact"/>
        <w:rPr>
          <w:sz w:val="20"/>
          <w:szCs w:val="20"/>
          <w:color w:val="auto"/>
        </w:rPr>
      </w:pPr>
    </w:p>
    <w:p>
      <w:pPr>
        <w:ind w:left="360" w:right="379" w:firstLine="331"/>
        <w:spacing w:after="0" w:line="316" w:lineRule="auto"/>
        <w:rPr>
          <w:sz w:val="20"/>
          <w:szCs w:val="20"/>
          <w:color w:val="auto"/>
        </w:rPr>
      </w:pPr>
      <w:r>
        <w:rPr>
          <w:rFonts w:ascii="Arial" w:cs="Arial" w:eastAsia="Arial" w:hAnsi="Arial"/>
          <w:sz w:val="11"/>
          <w:szCs w:val="11"/>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9019"/>
          </w:cols>
          <w:pgMar w:left="1440" w:top="240" w:right="1440" w:bottom="1440" w:gutter="0" w:footer="0" w:header="0"/>
        </w:sectPr>
      </w:pPr>
    </w:p>
    <w:bookmarkStart w:id="127" w:name="page128"/>
    <w:bookmarkEnd w:id="127"/>
    <w:p>
      <w:pPr>
        <w:ind w:left="360" w:right="379"/>
        <w:spacing w:after="0" w:line="292" w:lineRule="auto"/>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43" w:lineRule="exact"/>
        <w:rPr>
          <w:sz w:val="20"/>
          <w:szCs w:val="20"/>
          <w:color w:val="auto"/>
        </w:rPr>
      </w:pPr>
    </w:p>
    <w:p>
      <w:pPr>
        <w:ind w:left="360" w:right="719" w:firstLine="334"/>
        <w:spacing w:after="0" w:line="250" w:lineRule="auto"/>
        <w:tabs>
          <w:tab w:leader="none" w:pos="894"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Address for Notices</w:t>
      </w:r>
      <w:r>
        <w:rPr>
          <w:rFonts w:ascii="Arial" w:cs="Arial" w:eastAsia="Arial" w:hAnsi="Arial"/>
          <w:sz w:val="14"/>
          <w:szCs w:val="14"/>
          <w:color w:val="auto"/>
        </w:rPr>
        <w:t>. Any notice to be given to the Company under the terms of this Restricted Stock Agreement will be addressed to the Company at QuantumScape Corporation, 1730 Technology Drive, San Jose, CA 951108, or at such other address as the Company may hereafter designate in writing.</w:t>
      </w:r>
    </w:p>
    <w:p>
      <w:pPr>
        <w:spacing w:after="0" w:line="65" w:lineRule="exact"/>
        <w:rPr>
          <w:rFonts w:ascii="Arial" w:cs="Arial" w:eastAsia="Arial" w:hAnsi="Arial"/>
          <w:sz w:val="14"/>
          <w:szCs w:val="14"/>
          <w:color w:val="auto"/>
        </w:rPr>
      </w:pPr>
    </w:p>
    <w:p>
      <w:pPr>
        <w:ind w:left="360" w:right="479" w:firstLine="334"/>
        <w:spacing w:after="0" w:line="246" w:lineRule="auto"/>
        <w:tabs>
          <w:tab w:leader="none" w:pos="894"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Electronic Delivery and Acceptance</w:t>
      </w:r>
      <w:r>
        <w:rPr>
          <w:rFonts w:ascii="Arial" w:cs="Arial" w:eastAsia="Arial" w:hAnsi="Arial"/>
          <w:sz w:val="14"/>
          <w:szCs w:val="14"/>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68" w:lineRule="exact"/>
        <w:rPr>
          <w:rFonts w:ascii="Arial" w:cs="Arial" w:eastAsia="Arial" w:hAnsi="Arial"/>
          <w:sz w:val="14"/>
          <w:szCs w:val="14"/>
          <w:color w:val="auto"/>
        </w:rPr>
      </w:pPr>
    </w:p>
    <w:p>
      <w:pPr>
        <w:ind w:left="360" w:right="439" w:firstLine="334"/>
        <w:spacing w:after="0" w:line="259" w:lineRule="auto"/>
        <w:tabs>
          <w:tab w:leader="none" w:pos="894"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Captions</w:t>
      </w:r>
      <w:r>
        <w:rPr>
          <w:rFonts w:ascii="Arial" w:cs="Arial" w:eastAsia="Arial" w:hAnsi="Arial"/>
          <w:sz w:val="14"/>
          <w:szCs w:val="14"/>
          <w:color w:val="auto"/>
        </w:rPr>
        <w:t>. Captions provided herein are for convenience only and are not to serve as a basis for interpretation or construction of this Restricted Stock Agreement.</w:t>
      </w:r>
    </w:p>
    <w:p>
      <w:pPr>
        <w:spacing w:after="0" w:line="58" w:lineRule="exact"/>
        <w:rPr>
          <w:rFonts w:ascii="Arial" w:cs="Arial" w:eastAsia="Arial" w:hAnsi="Arial"/>
          <w:sz w:val="14"/>
          <w:szCs w:val="14"/>
          <w:color w:val="auto"/>
        </w:rPr>
      </w:pPr>
    </w:p>
    <w:p>
      <w:pPr>
        <w:ind w:left="360" w:right="459" w:firstLine="334"/>
        <w:spacing w:after="0" w:line="250" w:lineRule="auto"/>
        <w:tabs>
          <w:tab w:leader="none" w:pos="894"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Restricted Stock Agreement Severable</w:t>
      </w:r>
      <w:r>
        <w:rPr>
          <w:rFonts w:ascii="Arial" w:cs="Arial" w:eastAsia="Arial" w:hAnsi="Arial"/>
          <w:sz w:val="14"/>
          <w:szCs w:val="14"/>
          <w:color w:val="auto"/>
        </w:rPr>
        <w:t>. In the event that any provision in this Restricted Stock Agreement will be held invalid or unenforceable, such provision will be severable from, and such invalidity or unenforceability will not be construed to have any effect on, the remaining provisions of this Restricted Stock Agreement.</w:t>
      </w:r>
    </w:p>
    <w:p>
      <w:pPr>
        <w:spacing w:after="0" w:line="65" w:lineRule="exact"/>
        <w:rPr>
          <w:rFonts w:ascii="Arial" w:cs="Arial" w:eastAsia="Arial" w:hAnsi="Arial"/>
          <w:sz w:val="14"/>
          <w:szCs w:val="14"/>
          <w:color w:val="auto"/>
        </w:rPr>
      </w:pPr>
    </w:p>
    <w:p>
      <w:pPr>
        <w:jc w:val="both"/>
        <w:ind w:left="360" w:right="379" w:firstLine="334"/>
        <w:spacing w:after="0" w:line="247" w:lineRule="auto"/>
        <w:tabs>
          <w:tab w:leader="none" w:pos="894"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Restricted Stock Agreement shall not in any way be construed as a waiver of any such provision or provisions, nor prevent that party from thereafter enforcing each and every other provision of this Restricted Stock Agreement. The rights granted both parties herein are cumulative and shall not constitute a waiver of either party’s right to assert all other legal remedies available to it under the circumstances.</w:t>
      </w:r>
    </w:p>
    <w:p>
      <w:pPr>
        <w:spacing w:after="0" w:line="67" w:lineRule="exact"/>
        <w:rPr>
          <w:rFonts w:ascii="Arial" w:cs="Arial" w:eastAsia="Arial" w:hAnsi="Arial"/>
          <w:sz w:val="14"/>
          <w:szCs w:val="14"/>
          <w:color w:val="auto"/>
        </w:rPr>
      </w:pPr>
    </w:p>
    <w:p>
      <w:pPr>
        <w:ind w:left="360" w:right="499" w:firstLine="334"/>
        <w:spacing w:after="0" w:line="292" w:lineRule="auto"/>
        <w:tabs>
          <w:tab w:leader="none" w:pos="894" w:val="left"/>
        </w:tabs>
        <w:numPr>
          <w:ilvl w:val="0"/>
          <w:numId w:val="154"/>
        </w:numPr>
        <w:rPr>
          <w:rFonts w:ascii="Arial" w:cs="Arial" w:eastAsia="Arial" w:hAnsi="Arial"/>
          <w:sz w:val="12"/>
          <w:szCs w:val="12"/>
          <w:color w:val="auto"/>
        </w:rPr>
      </w:pPr>
      <w:r>
        <w:rPr>
          <w:rFonts w:ascii="Arial" w:cs="Arial" w:eastAsia="Arial" w:hAnsi="Arial"/>
          <w:sz w:val="12"/>
          <w:szCs w:val="12"/>
          <w:u w:val="single" w:color="auto"/>
          <w:color w:val="auto"/>
        </w:rPr>
        <w:t>Grant is Not Transferable</w:t>
      </w:r>
      <w:r>
        <w:rPr>
          <w:rFonts w:ascii="Arial" w:cs="Arial" w:eastAsia="Arial" w:hAnsi="Arial"/>
          <w:sz w:val="12"/>
          <w:szCs w:val="12"/>
          <w:color w:val="auto"/>
        </w:rPr>
        <w:t>. Except for the escrow described in Section 11 or transfer of the Shares to the Company or its assignees contemplated by this Restricted Stock Agreement, and except to the limited extent provided in Section 6, the unvested Shares subject to this Restricted Stock Agreement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 subject to this grant, or any right or privilege conferred hereby, or upon any attempted sale under any execution, attachment or similar process, this grant and the rights and privileges conferred hereby immediately will become null and void.</w:t>
      </w:r>
    </w:p>
    <w:p>
      <w:pPr>
        <w:spacing w:after="0" w:line="73" w:lineRule="exact"/>
        <w:rPr>
          <w:rFonts w:ascii="Arial" w:cs="Arial" w:eastAsia="Arial" w:hAnsi="Arial"/>
          <w:sz w:val="12"/>
          <w:szCs w:val="12"/>
          <w:color w:val="auto"/>
        </w:rPr>
      </w:pPr>
    </w:p>
    <w:p>
      <w:pPr>
        <w:ind w:left="4480" w:hanging="89"/>
        <w:spacing w:after="0"/>
        <w:tabs>
          <w:tab w:leader="none" w:pos="4480" w:val="left"/>
        </w:tabs>
        <w:numPr>
          <w:ilvl w:val="1"/>
          <w:numId w:val="154"/>
        </w:numPr>
        <w:rPr>
          <w:rFonts w:ascii="Arial" w:cs="Arial" w:eastAsia="Arial" w:hAnsi="Arial"/>
          <w:sz w:val="14"/>
          <w:szCs w:val="14"/>
          <w:color w:val="auto"/>
        </w:rPr>
      </w:pPr>
      <w:r>
        <w:rPr>
          <w:rFonts w:ascii="Arial" w:cs="Arial" w:eastAsia="Arial" w:hAnsi="Arial"/>
          <w:sz w:val="14"/>
          <w:szCs w:val="14"/>
          <w:color w:val="auto"/>
        </w:rPr>
        <w:t>8 -</w:t>
      </w:r>
    </w:p>
    <w:p>
      <w:pPr>
        <w:sectPr>
          <w:pgSz w:w="11900" w:h="16838" w:orient="portrait"/>
          <w:cols w:equalWidth="0" w:num="1">
            <w:col w:w="9019"/>
          </w:cols>
          <w:pgMar w:left="1440" w:top="240" w:right="1440" w:bottom="1440" w:gutter="0" w:footer="0" w:header="0"/>
        </w:sectPr>
      </w:pPr>
    </w:p>
    <w:bookmarkStart w:id="128" w:name="page129"/>
    <w:bookmarkEnd w:id="128"/>
    <w:p>
      <w:pPr>
        <w:jc w:val="both"/>
        <w:ind w:left="360" w:right="419" w:firstLine="334"/>
        <w:spacing w:after="0" w:line="302" w:lineRule="auto"/>
        <w:tabs>
          <w:tab w:leader="none" w:pos="8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Successors and Assigns</w:t>
      </w:r>
      <w:r>
        <w:rPr>
          <w:rFonts w:ascii="Arial" w:cs="Arial" w:eastAsia="Arial" w:hAnsi="Arial"/>
          <w:sz w:val="12"/>
          <w:szCs w:val="12"/>
          <w:color w:val="auto"/>
        </w:rPr>
        <w:t>. The Company may assign any of its rights under this Restricted Stock Agreement to single or multiple assignees, and this Restricted Stock Agreement shall inure to the benefit of the successors and assigns of the Company. Subject to the restrictions on transfer herein set forth, this Restricted Stock Agreement shall be binding upon Participant and his or her heirs, executors, administrators, successors and assigns. The rights and obligations of Participant under this Restricted Stock Agreement may be assigned only with the prior written consent of the Company.</w:t>
      </w:r>
    </w:p>
    <w:p>
      <w:pPr>
        <w:spacing w:after="0" w:line="36" w:lineRule="exact"/>
        <w:rPr>
          <w:rFonts w:ascii="Arial" w:cs="Arial" w:eastAsia="Arial" w:hAnsi="Arial"/>
          <w:sz w:val="12"/>
          <w:szCs w:val="12"/>
          <w:color w:val="auto"/>
        </w:rPr>
      </w:pPr>
    </w:p>
    <w:p>
      <w:pPr>
        <w:ind w:left="360" w:right="399" w:firstLine="334"/>
        <w:spacing w:after="0" w:line="289" w:lineRule="auto"/>
        <w:tabs>
          <w:tab w:leader="none" w:pos="8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Additional Conditions to Issuance of Stock</w:t>
      </w:r>
      <w:r>
        <w:rPr>
          <w:rFonts w:ascii="Arial" w:cs="Arial" w:eastAsia="Arial" w:hAnsi="Arial"/>
          <w:sz w:val="12"/>
          <w:szCs w:val="12"/>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Restricted Stock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Grant of the Shares of Restricted Stock as the Administrator may establish from time to time for reasons of administrative convenience.</w:t>
      </w:r>
    </w:p>
    <w:p>
      <w:pPr>
        <w:spacing w:after="0" w:line="43" w:lineRule="exact"/>
        <w:rPr>
          <w:rFonts w:ascii="Arial" w:cs="Arial" w:eastAsia="Arial" w:hAnsi="Arial"/>
          <w:sz w:val="12"/>
          <w:szCs w:val="12"/>
          <w:color w:val="auto"/>
        </w:rPr>
      </w:pPr>
    </w:p>
    <w:p>
      <w:pPr>
        <w:ind w:left="360" w:right="619" w:firstLine="334"/>
        <w:spacing w:after="0" w:line="342" w:lineRule="auto"/>
        <w:tabs>
          <w:tab w:leader="none" w:pos="8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Language</w:t>
      </w:r>
      <w:r>
        <w:rPr>
          <w:rFonts w:ascii="Arial" w:cs="Arial" w:eastAsia="Arial" w:hAnsi="Arial"/>
          <w:sz w:val="12"/>
          <w:szCs w:val="12"/>
          <w:color w:val="auto"/>
        </w:rPr>
        <w:t>. If Participant has received this Restricted Stock Agreement or any other document related to the Plan translated into a language other than English and if the meaning of the translated version is different than the English version, the English version will control.</w:t>
      </w:r>
    </w:p>
    <w:p>
      <w:pPr>
        <w:spacing w:after="0" w:line="12" w:lineRule="exact"/>
        <w:rPr>
          <w:rFonts w:ascii="Arial" w:cs="Arial" w:eastAsia="Arial" w:hAnsi="Arial"/>
          <w:sz w:val="12"/>
          <w:szCs w:val="12"/>
          <w:color w:val="auto"/>
        </w:rPr>
      </w:pPr>
    </w:p>
    <w:p>
      <w:pPr>
        <w:ind w:left="360" w:right="399" w:firstLine="334"/>
        <w:spacing w:after="0" w:line="294" w:lineRule="auto"/>
        <w:tabs>
          <w:tab w:leader="none" w:pos="8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Interpretation</w:t>
      </w:r>
      <w:r>
        <w:rPr>
          <w:rFonts w:ascii="Arial" w:cs="Arial" w:eastAsia="Arial" w:hAnsi="Arial"/>
          <w:sz w:val="12"/>
          <w:szCs w:val="12"/>
          <w:color w:val="auto"/>
        </w:rPr>
        <w:t>. The Administrator will have the power to interpret the Plan and this Restricted Stock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Restricted Stock Agreement.</w:t>
      </w:r>
    </w:p>
    <w:p>
      <w:pPr>
        <w:spacing w:after="0" w:line="41" w:lineRule="exact"/>
        <w:rPr>
          <w:rFonts w:ascii="Arial" w:cs="Arial" w:eastAsia="Arial" w:hAnsi="Arial"/>
          <w:sz w:val="12"/>
          <w:szCs w:val="12"/>
          <w:color w:val="auto"/>
        </w:rPr>
      </w:pPr>
    </w:p>
    <w:p>
      <w:pPr>
        <w:ind w:left="360" w:right="599" w:firstLine="334"/>
        <w:spacing w:after="0" w:line="312" w:lineRule="auto"/>
        <w:tabs>
          <w:tab w:leader="none" w:pos="894" w:val="left"/>
        </w:tabs>
        <w:numPr>
          <w:ilvl w:val="0"/>
          <w:numId w:val="155"/>
        </w:numPr>
        <w:rPr>
          <w:rFonts w:ascii="Arial" w:cs="Arial" w:eastAsia="Arial" w:hAnsi="Arial"/>
          <w:sz w:val="12"/>
          <w:szCs w:val="12"/>
          <w:color w:val="auto"/>
        </w:rPr>
      </w:pPr>
      <w:r>
        <w:rPr>
          <w:rFonts w:ascii="Arial" w:cs="Arial" w:eastAsia="Arial" w:hAnsi="Arial"/>
          <w:sz w:val="12"/>
          <w:szCs w:val="12"/>
          <w:u w:val="single" w:color="auto"/>
          <w:color w:val="auto"/>
        </w:rPr>
        <w:t>Amendment, Suspension or Termination of the Plan</w:t>
      </w:r>
      <w:r>
        <w:rPr>
          <w:rFonts w:ascii="Arial" w:cs="Arial" w:eastAsia="Arial" w:hAnsi="Arial"/>
          <w:sz w:val="12"/>
          <w:szCs w:val="12"/>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60" w:lineRule="exact"/>
        <w:rPr>
          <w:rFonts w:ascii="Arial" w:cs="Arial" w:eastAsia="Arial" w:hAnsi="Arial"/>
          <w:sz w:val="12"/>
          <w:szCs w:val="12"/>
          <w:color w:val="auto"/>
        </w:rPr>
      </w:pPr>
    </w:p>
    <w:p>
      <w:pPr>
        <w:ind w:left="4480" w:hanging="89"/>
        <w:spacing w:after="0"/>
        <w:tabs>
          <w:tab w:leader="none" w:pos="4480" w:val="left"/>
        </w:tabs>
        <w:numPr>
          <w:ilvl w:val="1"/>
          <w:numId w:val="155"/>
        </w:numPr>
        <w:rPr>
          <w:rFonts w:ascii="Arial" w:cs="Arial" w:eastAsia="Arial" w:hAnsi="Arial"/>
          <w:sz w:val="14"/>
          <w:szCs w:val="14"/>
          <w:color w:val="auto"/>
        </w:rPr>
      </w:pPr>
      <w:r>
        <w:rPr>
          <w:rFonts w:ascii="Arial" w:cs="Arial" w:eastAsia="Arial" w:hAnsi="Arial"/>
          <w:sz w:val="14"/>
          <w:szCs w:val="14"/>
          <w:color w:val="auto"/>
        </w:rPr>
        <w:t>9 -</w:t>
      </w:r>
    </w:p>
    <w:p>
      <w:pPr>
        <w:sectPr>
          <w:pgSz w:w="11900" w:h="16838" w:orient="portrait"/>
          <w:cols w:equalWidth="0" w:num="1">
            <w:col w:w="9019"/>
          </w:cols>
          <w:pgMar w:left="1440" w:top="240" w:right="1440" w:bottom="1440" w:gutter="0" w:footer="0" w:header="0"/>
        </w:sectPr>
      </w:pPr>
    </w:p>
    <w:bookmarkStart w:id="129" w:name="page130"/>
    <w:bookmarkEnd w:id="129"/>
    <w:p>
      <w:pPr>
        <w:ind w:left="360" w:right="399" w:firstLine="334"/>
        <w:spacing w:after="0" w:line="292" w:lineRule="auto"/>
        <w:tabs>
          <w:tab w:leader="none" w:pos="894"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Modifications to the Restricted Stock Agreement</w:t>
      </w:r>
      <w:r>
        <w:rPr>
          <w:rFonts w:ascii="Arial" w:cs="Arial" w:eastAsia="Arial" w:hAnsi="Arial"/>
          <w:sz w:val="12"/>
          <w:szCs w:val="12"/>
          <w:color w:val="auto"/>
        </w:rPr>
        <w:t>. This Restricted Stock Agreement constitutes the entire understanding of the parties on the subjects covered. Participant expressly warrants that he or she is not accepting this Restricted Stock Agreement in reliance on any promises, representations, or inducements other than those contained herein. Modifications to this Restricted Stock Agreement or the Plan can be made only in an express written contract executed by a duly authorized officer of the Company. Notwithstanding anything to the contrary in the Plan or this Restricted Stock Agreement, the Company reserves the right to revise this Restricted Stock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42" w:lineRule="exact"/>
        <w:rPr>
          <w:rFonts w:ascii="Arial" w:cs="Arial" w:eastAsia="Arial" w:hAnsi="Arial"/>
          <w:sz w:val="12"/>
          <w:szCs w:val="12"/>
          <w:color w:val="auto"/>
        </w:rPr>
      </w:pPr>
    </w:p>
    <w:p>
      <w:pPr>
        <w:ind w:left="360" w:right="439" w:firstLine="334"/>
        <w:spacing w:after="0" w:line="297" w:lineRule="auto"/>
        <w:tabs>
          <w:tab w:leader="none" w:pos="894"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Governing Law; Venue</w:t>
      </w:r>
      <w:r>
        <w:rPr>
          <w:rFonts w:ascii="Arial" w:cs="Arial" w:eastAsia="Arial" w:hAnsi="Arial"/>
          <w:sz w:val="12"/>
          <w:szCs w:val="12"/>
          <w:color w:val="auto"/>
        </w:rPr>
        <w:t>. This Restricted Stock Agreement and the Shares of Restricted Stock will be governed by the laws of California, without giving effect to the conflict of law principles thereof. For purposes of litigating any dispute that arises under this Restricted Stock Award or this Restricted Stock Agreement, the parties hereby submit to and consent to the jurisdiction of the State of California, and agree that such litigation will be conducted in the courts of Santa Clara County, California, or the U.S. federal courts for the Northern District of California, and no other courts, where this Award or Restricted Stock is made and/or to be performed.</w:t>
      </w:r>
    </w:p>
    <w:p>
      <w:pPr>
        <w:spacing w:after="0" w:line="39" w:lineRule="exact"/>
        <w:rPr>
          <w:rFonts w:ascii="Arial" w:cs="Arial" w:eastAsia="Arial" w:hAnsi="Arial"/>
          <w:sz w:val="12"/>
          <w:szCs w:val="12"/>
          <w:color w:val="auto"/>
        </w:rPr>
      </w:pPr>
    </w:p>
    <w:p>
      <w:pPr>
        <w:jc w:val="both"/>
        <w:ind w:left="360" w:right="439" w:firstLine="334"/>
        <w:spacing w:after="0" w:line="302" w:lineRule="auto"/>
        <w:tabs>
          <w:tab w:leader="none" w:pos="894"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Entire Agreement</w:t>
      </w:r>
      <w:r>
        <w:rPr>
          <w:rFonts w:ascii="Arial" w:cs="Arial" w:eastAsia="Arial" w:hAnsi="Arial"/>
          <w:sz w:val="12"/>
          <w:szCs w:val="12"/>
          <w:color w:val="auto"/>
        </w:rPr>
        <w:t>. The Plan is incorporated herein by reference. The Plan and this Restricted Stock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36" w:lineRule="exact"/>
        <w:rPr>
          <w:rFonts w:ascii="Arial" w:cs="Arial" w:eastAsia="Arial" w:hAnsi="Arial"/>
          <w:sz w:val="12"/>
          <w:szCs w:val="12"/>
          <w:color w:val="auto"/>
        </w:rPr>
      </w:pPr>
    </w:p>
    <w:p>
      <w:pPr>
        <w:ind w:left="360" w:right="479" w:firstLine="334"/>
        <w:spacing w:after="0" w:line="294" w:lineRule="auto"/>
        <w:tabs>
          <w:tab w:leader="none" w:pos="894" w:val="left"/>
        </w:tabs>
        <w:numPr>
          <w:ilvl w:val="0"/>
          <w:numId w:val="156"/>
        </w:numPr>
        <w:rPr>
          <w:rFonts w:ascii="Arial" w:cs="Arial" w:eastAsia="Arial" w:hAnsi="Arial"/>
          <w:sz w:val="12"/>
          <w:szCs w:val="12"/>
          <w:color w:val="auto"/>
        </w:rPr>
      </w:pPr>
      <w:r>
        <w:rPr>
          <w:rFonts w:ascii="Arial" w:cs="Arial" w:eastAsia="Arial" w:hAnsi="Arial"/>
          <w:sz w:val="12"/>
          <w:szCs w:val="12"/>
          <w:u w:val="single" w:color="auto"/>
          <w:color w:val="auto"/>
        </w:rPr>
        <w:t>Country Addendum</w:t>
      </w:r>
      <w:r>
        <w:rPr>
          <w:rFonts w:ascii="Arial" w:cs="Arial" w:eastAsia="Arial" w:hAnsi="Arial"/>
          <w:sz w:val="12"/>
          <w:szCs w:val="12"/>
          <w:color w:val="auto"/>
        </w:rPr>
        <w:t>. Notwithstanding any provisions in this Restricted Stock Agreement, the Restricted Stock grant shall be subject to any special terms and conditions set forth in an appendix (if any) to this Restricted Stock Agreement for any country whose laws are applicable to Participant and this Award of Restricted Stock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Restricted Stock Agreement.</w:t>
      </w:r>
    </w:p>
    <w:p>
      <w:pPr>
        <w:spacing w:after="0" w:line="41" w:lineRule="exact"/>
        <w:rPr>
          <w:rFonts w:ascii="Arial" w:cs="Arial" w:eastAsia="Arial" w:hAnsi="Arial"/>
          <w:sz w:val="12"/>
          <w:szCs w:val="12"/>
          <w:color w:val="auto"/>
        </w:rPr>
      </w:pPr>
    </w:p>
    <w:p>
      <w:pPr>
        <w:ind w:left="360" w:right="499" w:firstLine="334"/>
        <w:spacing w:after="0" w:line="246" w:lineRule="auto"/>
        <w:tabs>
          <w:tab w:leader="none" w:pos="894"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Tax Consequences</w:t>
      </w:r>
      <w:r>
        <w:rPr>
          <w:rFonts w:ascii="Arial" w:cs="Arial" w:eastAsia="Arial" w:hAnsi="Arial"/>
          <w:sz w:val="14"/>
          <w:szCs w:val="14"/>
          <w:color w:val="auto"/>
        </w:rPr>
        <w:t>. Participant has reviewed with his or her own tax advisors the U.S. federal, state, local and non-U.S. tax consequences of this investment and the transactions contemplated by this Restricted Stock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Restricted Stock Agreement.</w:t>
      </w:r>
    </w:p>
    <w:p>
      <w:pPr>
        <w:spacing w:after="0" w:line="68" w:lineRule="exact"/>
        <w:rPr>
          <w:rFonts w:ascii="Arial" w:cs="Arial" w:eastAsia="Arial" w:hAnsi="Arial"/>
          <w:sz w:val="14"/>
          <w:szCs w:val="14"/>
          <w:color w:val="auto"/>
        </w:rPr>
      </w:pPr>
    </w:p>
    <w:p>
      <w:pPr>
        <w:ind w:left="384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13" w:lineRule="exact"/>
        <w:rPr>
          <w:rFonts w:ascii="Arial" w:cs="Arial" w:eastAsia="Arial" w:hAnsi="Arial"/>
          <w:sz w:val="14"/>
          <w:szCs w:val="14"/>
          <w:color w:val="auto"/>
        </w:rPr>
      </w:pPr>
    </w:p>
    <w:p>
      <w:pPr>
        <w:ind w:left="4440" w:hanging="83"/>
        <w:spacing w:after="0"/>
        <w:tabs>
          <w:tab w:leader="none" w:pos="4440" w:val="left"/>
        </w:tabs>
        <w:numPr>
          <w:ilvl w:val="2"/>
          <w:numId w:val="156"/>
        </w:numPr>
        <w:rPr>
          <w:rFonts w:ascii="Arial" w:cs="Arial" w:eastAsia="Arial" w:hAnsi="Arial"/>
          <w:sz w:val="14"/>
          <w:szCs w:val="14"/>
          <w:color w:val="auto"/>
        </w:rPr>
      </w:pPr>
      <w:r>
        <w:rPr>
          <w:rFonts w:ascii="Arial" w:cs="Arial" w:eastAsia="Arial" w:hAnsi="Arial"/>
          <w:sz w:val="14"/>
          <w:szCs w:val="14"/>
          <w:color w:val="auto"/>
        </w:rPr>
        <w:t>10 -</w:t>
      </w:r>
    </w:p>
    <w:p>
      <w:pPr>
        <w:sectPr>
          <w:pgSz w:w="11900" w:h="16838" w:orient="portrait"/>
          <w:cols w:equalWidth="0" w:num="1">
            <w:col w:w="9019"/>
          </w:cols>
          <w:pgMar w:left="1440" w:top="240" w:right="1440" w:bottom="1440" w:gutter="0" w:footer="0" w:header="0"/>
        </w:sectPr>
      </w:pPr>
    </w:p>
    <w:bookmarkStart w:id="130" w:name="page131"/>
    <w:bookmarkEnd w:id="130"/>
    <w:p>
      <w:pPr>
        <w:jc w:val="right"/>
        <w:ind w:right="379"/>
        <w:spacing w:after="0"/>
        <w:rPr>
          <w:sz w:val="20"/>
          <w:szCs w:val="20"/>
          <w:color w:val="auto"/>
        </w:rPr>
      </w:pPr>
      <w:r>
        <w:rPr>
          <w:rFonts w:ascii="Arial" w:cs="Arial" w:eastAsia="Arial" w:hAnsi="Arial"/>
          <w:sz w:val="14"/>
          <w:szCs w:val="14"/>
          <w:b w:val="1"/>
          <w:bCs w:val="1"/>
          <w:color w:val="auto"/>
        </w:rPr>
        <w:t>Exhibit 10.12</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EMPLOYEE STOCK PURCHASE PLAN</w:t>
      </w:r>
    </w:p>
    <w:p>
      <w:pPr>
        <w:spacing w:after="0" w:line="166" w:lineRule="exact"/>
        <w:rPr>
          <w:sz w:val="20"/>
          <w:szCs w:val="20"/>
          <w:color w:val="auto"/>
        </w:rPr>
      </w:pPr>
    </w:p>
    <w:p>
      <w:pPr>
        <w:ind w:left="360" w:right="379" w:firstLine="334"/>
        <w:spacing w:after="0" w:line="291" w:lineRule="auto"/>
        <w:tabs>
          <w:tab w:leader="none" w:pos="928"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Purpose</w:t>
      </w:r>
      <w:r>
        <w:rPr>
          <w:rFonts w:ascii="Arial" w:cs="Arial" w:eastAsia="Arial" w:hAnsi="Arial"/>
          <w:sz w:val="12"/>
          <w:szCs w:val="12"/>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or by the Administrator, the Non-423 Component will operate and be administered in the same manner as the 423 Component.</w:t>
      </w:r>
    </w:p>
    <w:p>
      <w:pPr>
        <w:spacing w:after="0" w:line="122" w:lineRule="exact"/>
        <w:rPr>
          <w:rFonts w:ascii="Arial" w:cs="Arial" w:eastAsia="Arial" w:hAnsi="Arial"/>
          <w:sz w:val="12"/>
          <w:szCs w:val="12"/>
          <w:color w:val="auto"/>
        </w:rPr>
      </w:pPr>
    </w:p>
    <w:p>
      <w:pPr>
        <w:ind w:left="940" w:hanging="246"/>
        <w:spacing w:after="0"/>
        <w:tabs>
          <w:tab w:leader="none" w:pos="940"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1"/>
          <w:numId w:val="15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Administrator</w:t>
      </w:r>
      <w:r>
        <w:rPr>
          <w:rFonts w:ascii="Arial" w:cs="Arial" w:eastAsia="Arial" w:hAnsi="Arial"/>
          <w:sz w:val="12"/>
          <w:szCs w:val="12"/>
          <w:color w:val="auto"/>
        </w:rPr>
        <w:t>” means the Board or any Committee designated by the Board to administer the Plan pursuant to Section 14.</w:t>
      </w:r>
    </w:p>
    <w:p>
      <w:pPr>
        <w:spacing w:after="0" w:line="186" w:lineRule="exact"/>
        <w:rPr>
          <w:rFonts w:ascii="Arial" w:cs="Arial" w:eastAsia="Arial" w:hAnsi="Arial"/>
          <w:sz w:val="12"/>
          <w:szCs w:val="12"/>
          <w:color w:val="auto"/>
        </w:rPr>
      </w:pPr>
    </w:p>
    <w:p>
      <w:pPr>
        <w:ind w:left="1400" w:hanging="291"/>
        <w:spacing w:after="0"/>
        <w:tabs>
          <w:tab w:leader="none" w:pos="140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any entity, other than a Subsidiary, in which the Company has an equity or other ownership interest.</w:t>
      </w:r>
    </w:p>
    <w:p>
      <w:pPr>
        <w:spacing w:after="0" w:line="163" w:lineRule="exact"/>
        <w:rPr>
          <w:rFonts w:ascii="Arial" w:cs="Arial" w:eastAsia="Arial" w:hAnsi="Arial"/>
          <w:sz w:val="14"/>
          <w:szCs w:val="14"/>
          <w:color w:val="auto"/>
        </w:rPr>
      </w:pPr>
    </w:p>
    <w:p>
      <w:pPr>
        <w:ind w:left="360" w:right="399" w:firstLine="749"/>
        <w:spacing w:after="0" w:line="302" w:lineRule="auto"/>
        <w:tabs>
          <w:tab w:leader="none" w:pos="1391" w:val="left"/>
        </w:tabs>
        <w:numPr>
          <w:ilvl w:val="1"/>
          <w:numId w:val="15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Laws</w:t>
      </w:r>
      <w:r>
        <w:rPr>
          <w:rFonts w:ascii="Arial" w:cs="Arial" w:eastAsia="Arial" w:hAnsi="Arial"/>
          <w:sz w:val="12"/>
          <w:szCs w:val="1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17" w:lineRule="exact"/>
        <w:rPr>
          <w:rFonts w:ascii="Arial" w:cs="Arial" w:eastAsia="Arial" w:hAnsi="Arial"/>
          <w:sz w:val="12"/>
          <w:szCs w:val="12"/>
          <w:color w:val="auto"/>
        </w:rPr>
      </w:pPr>
    </w:p>
    <w:p>
      <w:pPr>
        <w:ind w:left="1400" w:hanging="291"/>
        <w:spacing w:after="0"/>
        <w:tabs>
          <w:tab w:leader="none" w:pos="140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Board</w:t>
      </w:r>
      <w:r>
        <w:rPr>
          <w:rFonts w:ascii="Arial" w:cs="Arial" w:eastAsia="Arial" w:hAnsi="Arial"/>
          <w:sz w:val="14"/>
          <w:szCs w:val="14"/>
          <w:color w:val="auto"/>
        </w:rPr>
        <w:t>” means the Board of Directors of the Company.</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1"/>
          <w:numId w:val="157"/>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Control</w:t>
      </w:r>
      <w:r>
        <w:rPr>
          <w:rFonts w:ascii="Arial" w:cs="Arial" w:eastAsia="Arial" w:hAnsi="Arial"/>
          <w:sz w:val="14"/>
          <w:szCs w:val="14"/>
          <w:color w:val="auto"/>
        </w:rPr>
        <w:t>” means the occurrence of any of the following events:</w:t>
      </w:r>
    </w:p>
    <w:p>
      <w:pPr>
        <w:spacing w:after="0" w:line="82" w:lineRule="exact"/>
        <w:rPr>
          <w:rFonts w:ascii="Arial" w:cs="Arial" w:eastAsia="Arial" w:hAnsi="Arial"/>
          <w:sz w:val="14"/>
          <w:szCs w:val="14"/>
          <w:color w:val="auto"/>
        </w:rPr>
      </w:pPr>
    </w:p>
    <w:p>
      <w:pPr>
        <w:ind w:left="360" w:right="379" w:firstLine="1080"/>
        <w:spacing w:after="0" w:line="288" w:lineRule="auto"/>
        <w:tabs>
          <w:tab w:leader="none" w:pos="1692" w:val="left"/>
        </w:tabs>
        <w:numPr>
          <w:ilvl w:val="2"/>
          <w:numId w:val="157"/>
        </w:numPr>
        <w:rPr>
          <w:rFonts w:ascii="Arial" w:cs="Arial" w:eastAsia="Arial" w:hAnsi="Arial"/>
          <w:sz w:val="12"/>
          <w:szCs w:val="12"/>
          <w:color w:val="auto"/>
        </w:rPr>
      </w:pPr>
      <w:r>
        <w:rPr>
          <w:rFonts w:ascii="Arial" w:cs="Arial" w:eastAsia="Arial" w:hAnsi="Arial"/>
          <w:sz w:val="12"/>
          <w:szCs w:val="12"/>
          <w:color w:val="auto"/>
        </w:rPr>
        <w:t>A change in the ownership of the Company which occurs on the date that any one person, or more than one person acting as a group (“</w:t>
      </w:r>
      <w:r>
        <w:rPr>
          <w:rFonts w:ascii="Arial" w:cs="Arial" w:eastAsia="Arial" w:hAnsi="Arial"/>
          <w:sz w:val="12"/>
          <w:szCs w:val="12"/>
          <w:u w:val="single" w:color="auto"/>
          <w:color w:val="auto"/>
        </w:rPr>
        <w:t>Person</w:t>
      </w:r>
      <w:r>
        <w:rPr>
          <w:rFonts w:ascii="Arial" w:cs="Arial" w:eastAsia="Arial" w:hAnsi="Arial"/>
          <w:sz w:val="12"/>
          <w:szCs w:val="12"/>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92" w:lineRule="exact"/>
        <w:rPr>
          <w:rFonts w:ascii="Arial" w:cs="Arial" w:eastAsia="Arial" w:hAnsi="Arial"/>
          <w:sz w:val="12"/>
          <w:szCs w:val="12"/>
          <w:color w:val="auto"/>
        </w:rPr>
      </w:pPr>
    </w:p>
    <w:p>
      <w:pPr>
        <w:ind w:left="360" w:right="399" w:firstLine="1080"/>
        <w:spacing w:after="0" w:line="259" w:lineRule="auto"/>
        <w:tabs>
          <w:tab w:leader="none" w:pos="1730" w:val="left"/>
        </w:tabs>
        <w:numPr>
          <w:ilvl w:val="2"/>
          <w:numId w:val="157"/>
        </w:numPr>
        <w:rPr>
          <w:rFonts w:ascii="Arial" w:cs="Arial" w:eastAsia="Arial" w:hAnsi="Arial"/>
          <w:sz w:val="14"/>
          <w:szCs w:val="14"/>
          <w:color w:val="auto"/>
        </w:rPr>
      </w:pPr>
      <w:r>
        <w:rPr>
          <w:rFonts w:ascii="Arial" w:cs="Arial" w:eastAsia="Arial" w:hAnsi="Arial"/>
          <w:sz w:val="14"/>
          <w:szCs w:val="14"/>
          <w:color w:val="auto"/>
        </w:rPr>
        <w:t>A change in the effective control of the Company which occurs on the date that a majority of members of the Board is replaced during any twelve (12) month period by Directors whose appointment or</w:t>
      </w:r>
    </w:p>
    <w:p>
      <w:pPr>
        <w:sectPr>
          <w:pgSz w:w="11900" w:h="16838" w:orient="portrait"/>
          <w:cols w:equalWidth="0" w:num="1">
            <w:col w:w="9019"/>
          </w:cols>
          <w:pgMar w:left="1440" w:top="127" w:right="1440" w:bottom="1440" w:gutter="0" w:footer="0" w:header="0"/>
        </w:sectPr>
      </w:pPr>
    </w:p>
    <w:bookmarkStart w:id="131" w:name="page132"/>
    <w:bookmarkEnd w:id="131"/>
    <w:p>
      <w:pPr>
        <w:ind w:left="360" w:right="37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6" w:lineRule="exact"/>
        <w:rPr>
          <w:sz w:val="20"/>
          <w:szCs w:val="20"/>
          <w:color w:val="auto"/>
        </w:rPr>
      </w:pPr>
    </w:p>
    <w:p>
      <w:pPr>
        <w:ind w:left="360" w:right="399" w:firstLine="1080"/>
        <w:spacing w:after="0" w:line="288" w:lineRule="auto"/>
        <w:tabs>
          <w:tab w:leader="none" w:pos="1767" w:val="left"/>
        </w:tabs>
        <w:numPr>
          <w:ilvl w:val="0"/>
          <w:numId w:val="158"/>
        </w:numPr>
        <w:rPr>
          <w:rFonts w:ascii="Arial" w:cs="Arial" w:eastAsia="Arial" w:hAnsi="Arial"/>
          <w:sz w:val="12"/>
          <w:szCs w:val="12"/>
          <w:color w:val="auto"/>
        </w:rPr>
      </w:pPr>
      <w:r>
        <w:rPr>
          <w:rFonts w:ascii="Arial" w:cs="Arial" w:eastAsia="Arial" w:hAnsi="Arial"/>
          <w:sz w:val="12"/>
          <w:szCs w:val="12"/>
          <w:color w:val="auto"/>
        </w:rPr>
        <w:t>A change in the ownership of a substantial portion of the Company’s assets which occurs on the date that any Person acquires (or has acquired during the twelve (12)-month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27" w:lineRule="exact"/>
        <w:rPr>
          <w:sz w:val="20"/>
          <w:szCs w:val="20"/>
          <w:color w:val="auto"/>
        </w:rPr>
      </w:pPr>
    </w:p>
    <w:p>
      <w:pPr>
        <w:ind w:left="360" w:right="679" w:firstLine="745"/>
        <w:spacing w:after="0" w:line="259" w:lineRule="auto"/>
        <w:rPr>
          <w:sz w:val="20"/>
          <w:szCs w:val="20"/>
          <w:color w:val="auto"/>
        </w:rPr>
      </w:pPr>
      <w:r>
        <w:rPr>
          <w:rFonts w:ascii="Arial" w:cs="Arial" w:eastAsia="Arial" w:hAnsi="Arial"/>
          <w:sz w:val="14"/>
          <w:szCs w:val="14"/>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0" w:lineRule="exact"/>
        <w:rPr>
          <w:sz w:val="20"/>
          <w:szCs w:val="20"/>
          <w:color w:val="auto"/>
        </w:rPr>
      </w:pPr>
    </w:p>
    <w:p>
      <w:pPr>
        <w:ind w:left="360" w:right="399" w:firstLine="745"/>
        <w:spacing w:after="0" w:line="259" w:lineRule="auto"/>
        <w:rPr>
          <w:sz w:val="20"/>
          <w:szCs w:val="20"/>
          <w:color w:val="auto"/>
        </w:rPr>
      </w:pPr>
      <w:r>
        <w:rPr>
          <w:rFonts w:ascii="Arial" w:cs="Arial" w:eastAsia="Arial" w:hAnsi="Arial"/>
          <w:sz w:val="14"/>
          <w:szCs w:val="14"/>
          <w:color w:val="auto"/>
        </w:rPr>
        <w:t>Notwithstanding the foregoing, a transaction will not be deemed a Change in Control unless the transaction qualifies as a change in control event within the meaning of Section 409A.</w:t>
      </w:r>
    </w:p>
    <w:p>
      <w:pPr>
        <w:spacing w:after="0" w:line="140" w:lineRule="exact"/>
        <w:rPr>
          <w:sz w:val="20"/>
          <w:szCs w:val="20"/>
          <w:color w:val="auto"/>
        </w:rPr>
      </w:pPr>
    </w:p>
    <w:p>
      <w:pPr>
        <w:ind w:left="360" w:right="859" w:firstLine="745"/>
        <w:spacing w:after="0" w:line="312" w:lineRule="auto"/>
        <w:rPr>
          <w:sz w:val="20"/>
          <w:szCs w:val="20"/>
          <w:color w:val="auto"/>
        </w:rPr>
      </w:pPr>
      <w:r>
        <w:rPr>
          <w:rFonts w:ascii="Arial" w:cs="Arial" w:eastAsia="Arial" w:hAnsi="Arial"/>
          <w:sz w:val="12"/>
          <w:szCs w:val="12"/>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11" w:lineRule="exact"/>
        <w:rPr>
          <w:sz w:val="20"/>
          <w:szCs w:val="20"/>
          <w:color w:val="auto"/>
        </w:rPr>
      </w:pPr>
    </w:p>
    <w:p>
      <w:pPr>
        <w:ind w:left="360" w:right="419" w:firstLine="749"/>
        <w:spacing w:after="0" w:line="312" w:lineRule="auto"/>
        <w:tabs>
          <w:tab w:leader="none" w:pos="1376" w:val="left"/>
        </w:tabs>
        <w:numPr>
          <w:ilvl w:val="0"/>
          <w:numId w:val="15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Code</w:t>
      </w:r>
      <w:r>
        <w:rPr>
          <w:rFonts w:ascii="Arial" w:cs="Arial" w:eastAsia="Arial" w:hAnsi="Arial"/>
          <w:sz w:val="12"/>
          <w:szCs w:val="12"/>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11" w:lineRule="exact"/>
        <w:rPr>
          <w:rFonts w:ascii="Arial" w:cs="Arial" w:eastAsia="Arial" w:hAnsi="Arial"/>
          <w:sz w:val="12"/>
          <w:szCs w:val="12"/>
          <w:color w:val="auto"/>
        </w:rPr>
      </w:pPr>
    </w:p>
    <w:p>
      <w:pPr>
        <w:ind w:left="1400" w:hanging="291"/>
        <w:spacing w:after="0"/>
        <w:tabs>
          <w:tab w:leader="none" w:pos="14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Committee</w:t>
      </w:r>
      <w:r>
        <w:rPr>
          <w:rFonts w:ascii="Arial" w:cs="Arial" w:eastAsia="Arial" w:hAnsi="Arial"/>
          <w:sz w:val="14"/>
          <w:szCs w:val="14"/>
          <w:color w:val="auto"/>
        </w:rPr>
        <w:t>” means a committee of the Board appointed in accordance with Section 14 hereof.</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Class A Common Stock of the Company.</w:t>
      </w:r>
    </w:p>
    <w:p>
      <w:pPr>
        <w:spacing w:after="0" w:line="163" w:lineRule="exact"/>
        <w:rPr>
          <w:rFonts w:ascii="Arial" w:cs="Arial" w:eastAsia="Arial" w:hAnsi="Arial"/>
          <w:sz w:val="14"/>
          <w:szCs w:val="14"/>
          <w:color w:val="auto"/>
        </w:rPr>
      </w:pPr>
    </w:p>
    <w:p>
      <w:pPr>
        <w:ind w:left="1380" w:hanging="271"/>
        <w:spacing w:after="0"/>
        <w:tabs>
          <w:tab w:leader="none" w:pos="138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w:t>
      </w:r>
      <w:r>
        <w:rPr>
          <w:rFonts w:ascii="Arial" w:cs="Arial" w:eastAsia="Arial" w:hAnsi="Arial"/>
          <w:sz w:val="14"/>
          <w:szCs w:val="14"/>
          <w:color w:val="auto"/>
        </w:rPr>
        <w:t>” means Kensington Capital Acquisition Corp., a Delaware corporation, or any successor thereto.</w:t>
      </w:r>
    </w:p>
    <w:p>
      <w:pPr>
        <w:spacing w:after="0" w:line="163" w:lineRule="exact"/>
        <w:rPr>
          <w:rFonts w:ascii="Arial" w:cs="Arial" w:eastAsia="Arial" w:hAnsi="Arial"/>
          <w:sz w:val="14"/>
          <w:szCs w:val="14"/>
          <w:color w:val="auto"/>
        </w:rPr>
      </w:pPr>
    </w:p>
    <w:p>
      <w:pPr>
        <w:jc w:val="both"/>
        <w:ind w:left="360" w:right="579" w:firstLine="749"/>
        <w:spacing w:after="0" w:line="312" w:lineRule="auto"/>
        <w:tabs>
          <w:tab w:leader="none" w:pos="1368" w:val="left"/>
        </w:tabs>
        <w:numPr>
          <w:ilvl w:val="0"/>
          <w:numId w:val="15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Compensation</w:t>
      </w:r>
      <w:r>
        <w:rPr>
          <w:rFonts w:ascii="Arial" w:cs="Arial" w:eastAsia="Arial" w:hAnsi="Arial"/>
          <w:sz w:val="12"/>
          <w:szCs w:val="12"/>
          <w:color w:val="auto"/>
        </w:rPr>
        <w:t>” includes a measure to be determined by the Administrator.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111" w:lineRule="exact"/>
        <w:rPr>
          <w:rFonts w:ascii="Arial" w:cs="Arial" w:eastAsia="Arial" w:hAnsi="Arial"/>
          <w:sz w:val="12"/>
          <w:szCs w:val="12"/>
          <w:color w:val="auto"/>
        </w:rPr>
      </w:pPr>
    </w:p>
    <w:p>
      <w:pPr>
        <w:ind w:left="360" w:right="939" w:firstLine="749"/>
        <w:spacing w:after="0" w:line="259" w:lineRule="auto"/>
        <w:tabs>
          <w:tab w:leader="none" w:pos="1398" w:val="left"/>
        </w:tabs>
        <w:numPr>
          <w:ilvl w:val="0"/>
          <w:numId w:val="15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Contributions</w:t>
      </w:r>
      <w:r>
        <w:rPr>
          <w:rFonts w:ascii="Arial" w:cs="Arial" w:eastAsia="Arial" w:hAnsi="Arial"/>
          <w:sz w:val="14"/>
          <w:szCs w:val="14"/>
          <w:color w:val="auto"/>
        </w:rPr>
        <w:t>” means the payroll deductions and other additional payments that the Company may permit to be made by a Participant to fund the exercise of options granted pursuant to the Plan.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0" w:right="1440" w:bottom="1440" w:gutter="0" w:footer="0" w:header="0"/>
        </w:sectPr>
      </w:pPr>
    </w:p>
    <w:bookmarkStart w:id="132" w:name="page133"/>
    <w:bookmarkEnd w:id="132"/>
    <w:p>
      <w:pPr>
        <w:ind w:left="360" w:right="459" w:firstLine="749"/>
        <w:spacing w:after="0" w:line="247" w:lineRule="auto"/>
        <w:tabs>
          <w:tab w:leader="none" w:pos="1368" w:val="left"/>
        </w:tabs>
        <w:numPr>
          <w:ilvl w:val="0"/>
          <w:numId w:val="16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4"/>
          <w:szCs w:val="14"/>
          <w:u w:val="single" w:color="auto"/>
          <w:color w:val="auto"/>
        </w:rPr>
        <w:t>Designated Company</w:t>
      </w:r>
      <w:r>
        <w:rPr>
          <w:rFonts w:ascii="Arial" w:cs="Arial" w:eastAsia="Arial" w:hAnsi="Arial"/>
          <w:sz w:val="14"/>
          <w:szCs w:val="14"/>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49" w:lineRule="exact"/>
        <w:rPr>
          <w:rFonts w:ascii="Arial" w:cs="Arial" w:eastAsia="Arial" w:hAnsi="Arial"/>
          <w:sz w:val="14"/>
          <w:szCs w:val="14"/>
          <w:color w:val="auto"/>
        </w:rPr>
      </w:pPr>
    </w:p>
    <w:p>
      <w:pPr>
        <w:ind w:left="1440" w:hanging="331"/>
        <w:spacing w:after="0"/>
        <w:tabs>
          <w:tab w:leader="none" w:pos="14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Director</w:t>
      </w:r>
      <w:r>
        <w:rPr>
          <w:rFonts w:ascii="Arial" w:cs="Arial" w:eastAsia="Arial" w:hAnsi="Arial"/>
          <w:sz w:val="14"/>
          <w:szCs w:val="14"/>
          <w:color w:val="auto"/>
        </w:rPr>
        <w:t>” means a member of the Board.</w:t>
      </w:r>
    </w:p>
    <w:p>
      <w:pPr>
        <w:spacing w:after="0" w:line="163" w:lineRule="exact"/>
        <w:rPr>
          <w:rFonts w:ascii="Arial" w:cs="Arial" w:eastAsia="Arial" w:hAnsi="Arial"/>
          <w:sz w:val="14"/>
          <w:szCs w:val="14"/>
          <w:color w:val="auto"/>
        </w:rPr>
      </w:pPr>
    </w:p>
    <w:p>
      <w:pPr>
        <w:ind w:left="360" w:right="459" w:firstLine="749"/>
        <w:spacing w:after="0" w:line="342" w:lineRule="auto"/>
        <w:tabs>
          <w:tab w:leader="none" w:pos="1398"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Effective Date</w:t>
      </w:r>
      <w:r>
        <w:rPr>
          <w:rFonts w:ascii="Arial" w:cs="Arial" w:eastAsia="Arial" w:hAnsi="Arial"/>
          <w:sz w:val="12"/>
          <w:szCs w:val="12"/>
          <w:color w:val="auto"/>
        </w:rPr>
        <w:t>” means the date of the consummation of the merger by and between the Company, QuantumScape Corporation, and certain other parties, pursuant to that certain Business Combination Agreement dated September 2, 2020 (such merger, the “</w:t>
      </w:r>
      <w:r>
        <w:rPr>
          <w:rFonts w:ascii="Arial" w:cs="Arial" w:eastAsia="Arial" w:hAnsi="Arial"/>
          <w:sz w:val="12"/>
          <w:szCs w:val="12"/>
          <w:u w:val="single" w:color="auto"/>
          <w:color w:val="auto"/>
        </w:rPr>
        <w:t>Merger</w:t>
      </w:r>
      <w:r>
        <w:rPr>
          <w:rFonts w:ascii="Arial" w:cs="Arial" w:eastAsia="Arial" w:hAnsi="Arial"/>
          <w:sz w:val="12"/>
          <w:szCs w:val="12"/>
          <w:color w:val="auto"/>
        </w:rPr>
        <w:t>”).</w:t>
      </w:r>
    </w:p>
    <w:p>
      <w:pPr>
        <w:spacing w:after="0" w:line="93" w:lineRule="exact"/>
        <w:rPr>
          <w:rFonts w:ascii="Arial" w:cs="Arial" w:eastAsia="Arial" w:hAnsi="Arial"/>
          <w:sz w:val="12"/>
          <w:szCs w:val="12"/>
          <w:color w:val="auto"/>
        </w:rPr>
      </w:pPr>
    </w:p>
    <w:p>
      <w:pPr>
        <w:ind w:left="360" w:right="379" w:firstLine="749"/>
        <w:spacing w:after="0" w:line="285" w:lineRule="auto"/>
        <w:tabs>
          <w:tab w:leader="none" w:pos="1398"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Eligible Employee</w:t>
      </w:r>
      <w:r>
        <w:rPr>
          <w:rFonts w:ascii="Arial" w:cs="Arial" w:eastAsia="Arial" w:hAnsi="Arial"/>
          <w:sz w:val="12"/>
          <w:szCs w:val="12"/>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296" w:lineRule="exact"/>
        <w:rPr>
          <w:rFonts w:ascii="Arial" w:cs="Arial" w:eastAsia="Arial" w:hAnsi="Arial"/>
          <w:sz w:val="12"/>
          <w:szCs w:val="12"/>
          <w:color w:val="auto"/>
        </w:rPr>
      </w:pPr>
    </w:p>
    <w:p>
      <w:pPr>
        <w:ind w:left="1400" w:hanging="291"/>
        <w:spacing w:after="0"/>
        <w:tabs>
          <w:tab w:leader="none" w:pos="14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Employer</w:t>
      </w:r>
      <w:r>
        <w:rPr>
          <w:rFonts w:ascii="Arial" w:cs="Arial" w:eastAsia="Arial" w:hAnsi="Arial"/>
          <w:sz w:val="14"/>
          <w:szCs w:val="14"/>
          <w:color w:val="auto"/>
        </w:rPr>
        <w:t>” means the employer of the applicable Eligible Employee(s).</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Enrollment Date</w:t>
      </w:r>
      <w:r>
        <w:rPr>
          <w:rFonts w:ascii="Arial" w:cs="Arial" w:eastAsia="Arial" w:hAnsi="Arial"/>
          <w:sz w:val="14"/>
          <w:szCs w:val="14"/>
          <w:color w:val="auto"/>
        </w:rPr>
        <w:t>” means the first Trading Day of each Offering Period.</w:t>
      </w:r>
    </w:p>
    <w:p>
      <w:pPr>
        <w:spacing w:after="0" w:line="163" w:lineRule="exact"/>
        <w:rPr>
          <w:rFonts w:ascii="Arial" w:cs="Arial" w:eastAsia="Arial" w:hAnsi="Arial"/>
          <w:sz w:val="14"/>
          <w:szCs w:val="14"/>
          <w:color w:val="auto"/>
        </w:rPr>
      </w:pPr>
    </w:p>
    <w:p>
      <w:pPr>
        <w:ind w:left="1380" w:hanging="271"/>
        <w:spacing w:after="0"/>
        <w:tabs>
          <w:tab w:leader="none" w:pos="138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Exchange Act</w:t>
      </w:r>
      <w:r>
        <w:rPr>
          <w:rFonts w:ascii="Arial" w:cs="Arial" w:eastAsia="Arial" w:hAnsi="Arial"/>
          <w:sz w:val="12"/>
          <w:szCs w:val="12"/>
          <w:color w:val="auto"/>
        </w:rPr>
        <w:t>” means the U.S. Securities Exchange Act of 1934, as amended, including the rules and regulations promulgated</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thereunder.</w:t>
      </w:r>
    </w:p>
    <w:p>
      <w:pPr>
        <w:spacing w:after="0" w:line="153" w:lineRule="exact"/>
        <w:rPr>
          <w:rFonts w:ascii="Arial" w:cs="Arial" w:eastAsia="Arial" w:hAnsi="Arial"/>
          <w:sz w:val="12"/>
          <w:szCs w:val="12"/>
          <w:color w:val="auto"/>
        </w:rPr>
      </w:pPr>
    </w:p>
    <w:p>
      <w:pPr>
        <w:jc w:val="both"/>
        <w:ind w:left="360" w:right="479" w:firstLine="749"/>
        <w:spacing w:after="0" w:line="247" w:lineRule="auto"/>
        <w:tabs>
          <w:tab w:leader="none" w:pos="1383"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Exercise Date</w:t>
      </w:r>
      <w:r>
        <w:rPr>
          <w:rFonts w:ascii="Arial" w:cs="Arial" w:eastAsia="Arial" w:hAnsi="Arial"/>
          <w:sz w:val="14"/>
          <w:szCs w:val="14"/>
          <w:color w:val="auto"/>
        </w:rPr>
        <w:t>” means such dates on which each outstanding option granted under the Plan will be exercised (except if the Plan has been terminated), as may be determined by the Administrator, in its discretion and on a uniform and nondiscriminatory basis from time to time prior to an Enrollment Date for all options to be granted on such Enrollment Date. Unless otherwise determined by the Administration, each Exercise Date will be the last day of the applicable Offering Period.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40" w:right="1440" w:bottom="1440" w:gutter="0" w:footer="0" w:header="0"/>
        </w:sectPr>
      </w:pPr>
    </w:p>
    <w:bookmarkStart w:id="133" w:name="page134"/>
    <w:bookmarkEnd w:id="133"/>
    <w:p>
      <w:pPr>
        <w:ind w:left="360" w:right="419" w:firstLine="749"/>
        <w:spacing w:after="0" w:line="259" w:lineRule="auto"/>
        <w:tabs>
          <w:tab w:leader="none" w:pos="1368" w:val="left"/>
        </w:tabs>
        <w:numPr>
          <w:ilvl w:val="0"/>
          <w:numId w:val="16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4"/>
          <w:szCs w:val="14"/>
          <w:u w:val="single" w:color="auto"/>
          <w:color w:val="auto"/>
        </w:rPr>
        <w:t>Fair Market Value</w:t>
      </w:r>
      <w:r>
        <w:rPr>
          <w:rFonts w:ascii="Arial" w:cs="Arial" w:eastAsia="Arial" w:hAnsi="Arial"/>
          <w:sz w:val="14"/>
          <w:szCs w:val="14"/>
          <w:color w:val="auto"/>
        </w:rPr>
        <w:t>” means, as of any date and unless the Administrator determines otherwise, the value of a share of Common Stock determined as follows:</w:t>
      </w:r>
    </w:p>
    <w:p>
      <w:pPr>
        <w:spacing w:after="0" w:line="58" w:lineRule="exact"/>
        <w:rPr>
          <w:rFonts w:ascii="Arial" w:cs="Arial" w:eastAsia="Arial" w:hAnsi="Arial"/>
          <w:sz w:val="14"/>
          <w:szCs w:val="14"/>
          <w:color w:val="auto"/>
        </w:rPr>
      </w:pPr>
    </w:p>
    <w:p>
      <w:pPr>
        <w:ind w:left="360" w:right="499" w:firstLine="1080"/>
        <w:spacing w:after="0" w:line="292" w:lineRule="auto"/>
        <w:tabs>
          <w:tab w:leader="none" w:pos="1697" w:val="left"/>
        </w:tabs>
        <w:numPr>
          <w:ilvl w:val="1"/>
          <w:numId w:val="161"/>
        </w:numPr>
        <w:rPr>
          <w:rFonts w:ascii="Arial" w:cs="Arial" w:eastAsia="Arial" w:hAnsi="Arial"/>
          <w:sz w:val="12"/>
          <w:szCs w:val="12"/>
          <w:color w:val="auto"/>
        </w:rPr>
      </w:pPr>
      <w:r>
        <w:rPr>
          <w:rFonts w:ascii="Arial" w:cs="Arial" w:eastAsia="Arial" w:hAnsi="Arial"/>
          <w:sz w:val="12"/>
          <w:szCs w:val="12"/>
          <w:color w:val="auto"/>
        </w:rPr>
        <w:t xml:space="preserve">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2"/>
          <w:szCs w:val="12"/>
          <w:i w:val="1"/>
          <w:iCs w:val="1"/>
          <w:color w:val="auto"/>
        </w:rPr>
        <w:t>The Wall Street Journal</w:t>
      </w:r>
      <w:r>
        <w:rPr>
          <w:rFonts w:ascii="Arial" w:cs="Arial" w:eastAsia="Arial" w:hAnsi="Arial"/>
          <w:sz w:val="12"/>
          <w:szCs w:val="12"/>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123" w:lineRule="exact"/>
        <w:rPr>
          <w:rFonts w:ascii="Arial" w:cs="Arial" w:eastAsia="Arial" w:hAnsi="Arial"/>
          <w:sz w:val="12"/>
          <w:szCs w:val="12"/>
          <w:color w:val="auto"/>
        </w:rPr>
      </w:pPr>
    </w:p>
    <w:p>
      <w:pPr>
        <w:ind w:left="1740" w:hanging="300"/>
        <w:spacing w:after="0"/>
        <w:tabs>
          <w:tab w:leader="none" w:pos="1740" w:val="left"/>
        </w:tabs>
        <w:numPr>
          <w:ilvl w:val="1"/>
          <w:numId w:val="161"/>
        </w:numPr>
        <w:rPr>
          <w:rFonts w:ascii="Arial" w:cs="Arial" w:eastAsia="Arial" w:hAnsi="Arial"/>
          <w:sz w:val="12"/>
          <w:szCs w:val="12"/>
          <w:color w:val="auto"/>
        </w:rPr>
      </w:pPr>
      <w:r>
        <w:rPr>
          <w:rFonts w:ascii="Arial" w:cs="Arial" w:eastAsia="Arial" w:hAnsi="Arial"/>
          <w:sz w:val="12"/>
          <w:szCs w:val="12"/>
          <w:color w:val="auto"/>
        </w:rPr>
        <w:t>In the absence of an established market for the Common Stock, the Fair Market Value thereof will be determined in good faith</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by the Administrator.</w:t>
      </w:r>
    </w:p>
    <w:p>
      <w:pPr>
        <w:spacing w:after="0" w:line="154" w:lineRule="exact"/>
        <w:rPr>
          <w:sz w:val="20"/>
          <w:szCs w:val="20"/>
          <w:color w:val="auto"/>
        </w:rPr>
      </w:pPr>
    </w:p>
    <w:p>
      <w:pPr>
        <w:ind w:left="360" w:right="439" w:firstLine="331"/>
        <w:spacing w:after="0" w:line="259" w:lineRule="auto"/>
        <w:rPr>
          <w:sz w:val="20"/>
          <w:szCs w:val="20"/>
          <w:color w:val="auto"/>
        </w:rPr>
      </w:pPr>
      <w:r>
        <w:rPr>
          <w:rFonts w:ascii="Arial" w:cs="Arial" w:eastAsia="Arial" w:hAnsi="Arial"/>
          <w:sz w:val="14"/>
          <w:szCs w:val="14"/>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0" w:lineRule="exact"/>
        <w:rPr>
          <w:sz w:val="20"/>
          <w:szCs w:val="20"/>
          <w:color w:val="auto"/>
        </w:rPr>
      </w:pPr>
    </w:p>
    <w:p>
      <w:pPr>
        <w:ind w:left="1400" w:hanging="291"/>
        <w:spacing w:after="0"/>
        <w:tabs>
          <w:tab w:leader="none" w:pos="14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Fiscal Year</w:t>
      </w:r>
      <w:r>
        <w:rPr>
          <w:rFonts w:ascii="Arial" w:cs="Arial" w:eastAsia="Arial" w:hAnsi="Arial"/>
          <w:sz w:val="14"/>
          <w:szCs w:val="14"/>
          <w:color w:val="auto"/>
        </w:rPr>
        <w:t>” means the fiscal year of the Company.</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New Exercise Date</w:t>
      </w:r>
      <w:r>
        <w:rPr>
          <w:rFonts w:ascii="Arial" w:cs="Arial" w:eastAsia="Arial" w:hAnsi="Arial"/>
          <w:sz w:val="14"/>
          <w:szCs w:val="14"/>
          <w:color w:val="auto"/>
        </w:rPr>
        <w:t>” means a new Exercise Date if the Administrator shortens any Offering Period then in progress.</w:t>
      </w:r>
    </w:p>
    <w:p>
      <w:pPr>
        <w:spacing w:after="0" w:line="163" w:lineRule="exact"/>
        <w:rPr>
          <w:rFonts w:ascii="Arial" w:cs="Arial" w:eastAsia="Arial" w:hAnsi="Arial"/>
          <w:sz w:val="14"/>
          <w:szCs w:val="14"/>
          <w:color w:val="auto"/>
        </w:rPr>
      </w:pPr>
    </w:p>
    <w:p>
      <w:pPr>
        <w:ind w:left="360" w:right="659" w:firstLine="749"/>
        <w:spacing w:after="0" w:line="286" w:lineRule="auto"/>
        <w:tabs>
          <w:tab w:leader="none" w:pos="142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Offering</w:t>
      </w:r>
      <w:r>
        <w:rPr>
          <w:rFonts w:ascii="Arial" w:cs="Arial" w:eastAsia="Arial" w:hAnsi="Arial"/>
          <w:sz w:val="12"/>
          <w:szCs w:val="12"/>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w:t>
      </w:r>
    </w:p>
    <w:p>
      <w:pPr>
        <w:spacing w:after="0" w:line="1" w:lineRule="exact"/>
        <w:rPr>
          <w:rFonts w:ascii="Arial" w:cs="Arial" w:eastAsia="Arial" w:hAnsi="Arial"/>
          <w:sz w:val="12"/>
          <w:szCs w:val="12"/>
          <w:color w:val="auto"/>
        </w:rPr>
      </w:pPr>
    </w:p>
    <w:p>
      <w:pPr>
        <w:ind w:left="360" w:right="399"/>
        <w:spacing w:after="0" w:line="244" w:lineRule="auto"/>
        <w:rPr>
          <w:rFonts w:ascii="Arial" w:cs="Arial" w:eastAsia="Arial" w:hAnsi="Arial"/>
          <w:sz w:val="12"/>
          <w:szCs w:val="12"/>
          <w:color w:val="auto"/>
        </w:rPr>
      </w:pPr>
      <w:r>
        <w:rPr>
          <w:rFonts w:ascii="Arial" w:cs="Arial" w:eastAsia="Arial" w:hAnsi="Arial"/>
          <w:sz w:val="14"/>
          <w:szCs w:val="14"/>
          <w:color w:val="auto"/>
        </w:rPr>
        <w:t>Section 1.423-2(a)(1), the terms of each Offering need not be identical provided that the terms of the Plan and an Offering together satisfy U.S. Treasury Regulation Section 1.423-2(a)(2) and (a)(3).</w:t>
      </w:r>
    </w:p>
    <w:p>
      <w:pPr>
        <w:spacing w:after="0" w:line="149" w:lineRule="exact"/>
        <w:rPr>
          <w:rFonts w:ascii="Arial" w:cs="Arial" w:eastAsia="Arial" w:hAnsi="Arial"/>
          <w:sz w:val="12"/>
          <w:szCs w:val="12"/>
          <w:color w:val="auto"/>
        </w:rPr>
      </w:pPr>
    </w:p>
    <w:p>
      <w:pPr>
        <w:ind w:left="360" w:right="839" w:firstLine="749"/>
        <w:spacing w:after="0" w:line="342" w:lineRule="auto"/>
        <w:tabs>
          <w:tab w:leader="none" w:pos="139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Offering Periods</w:t>
      </w:r>
      <w:r>
        <w:rPr>
          <w:rFonts w:ascii="Arial" w:cs="Arial" w:eastAsia="Arial" w:hAnsi="Arial"/>
          <w:sz w:val="12"/>
          <w:szCs w:val="12"/>
          <w:color w:val="auto"/>
        </w:rPr>
        <w:t>” means certain periods during with Shares may be purchased under the Plan that will be determined by the Administrator. The duration and timing of Offering Periods may be changed pursuant to Sections 4, 20 and 30.</w:t>
      </w:r>
    </w:p>
    <w:p>
      <w:pPr>
        <w:spacing w:after="0" w:line="93" w:lineRule="exact"/>
        <w:rPr>
          <w:rFonts w:ascii="Arial" w:cs="Arial" w:eastAsia="Arial" w:hAnsi="Arial"/>
          <w:sz w:val="12"/>
          <w:szCs w:val="12"/>
          <w:color w:val="auto"/>
        </w:rPr>
      </w:pPr>
    </w:p>
    <w:p>
      <w:pPr>
        <w:ind w:left="1400" w:hanging="291"/>
        <w:spacing w:after="0"/>
        <w:tabs>
          <w:tab w:leader="none" w:pos="14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w:t>
      </w:r>
      <w:r>
        <w:rPr>
          <w:rFonts w:ascii="Arial" w:cs="Arial" w:eastAsia="Arial" w:hAnsi="Arial"/>
          <w:sz w:val="14"/>
          <w:szCs w:val="14"/>
          <w:color w:val="auto"/>
        </w:rPr>
        <w:t>” means a “parent corporation,” whether now or hereafter existing, as defined in Section 424(e) of the Code.</w:t>
      </w:r>
    </w:p>
    <w:p>
      <w:pPr>
        <w:spacing w:after="0" w:line="163" w:lineRule="exact"/>
        <w:rPr>
          <w:rFonts w:ascii="Arial" w:cs="Arial" w:eastAsia="Arial" w:hAnsi="Arial"/>
          <w:sz w:val="14"/>
          <w:szCs w:val="14"/>
          <w:color w:val="auto"/>
        </w:rPr>
      </w:pPr>
    </w:p>
    <w:p>
      <w:pPr>
        <w:ind w:left="1400" w:hanging="291"/>
        <w:spacing w:after="0"/>
        <w:tabs>
          <w:tab w:leader="none" w:pos="140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Participant</w:t>
      </w:r>
      <w:r>
        <w:rPr>
          <w:rFonts w:ascii="Arial" w:cs="Arial" w:eastAsia="Arial" w:hAnsi="Arial"/>
          <w:sz w:val="14"/>
          <w:szCs w:val="14"/>
          <w:color w:val="auto"/>
        </w:rPr>
        <w:t>” means an Eligible Employee who participates in the Plan.</w:t>
      </w:r>
    </w:p>
    <w:p>
      <w:pPr>
        <w:spacing w:after="0" w:line="164" w:lineRule="exact"/>
        <w:rPr>
          <w:sz w:val="20"/>
          <w:szCs w:val="20"/>
          <w:color w:val="auto"/>
        </w:rPr>
      </w:pPr>
    </w:p>
    <w:p>
      <w:pPr>
        <w:ind w:left="1460" w:hanging="351"/>
        <w:spacing w:after="0"/>
        <w:tabs>
          <w:tab w:leader="none" w:pos="14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Plan</w:t>
      </w:r>
      <w:r>
        <w:rPr>
          <w:rFonts w:ascii="Arial" w:cs="Arial" w:eastAsia="Arial" w:hAnsi="Arial"/>
          <w:sz w:val="14"/>
          <w:szCs w:val="14"/>
          <w:color w:val="auto"/>
        </w:rPr>
        <w:t>” means this QuantumScape Corporation 2020 Employee Stock Purchase Plan.</w:t>
      </w:r>
    </w:p>
    <w:p>
      <w:pPr>
        <w:spacing w:after="0" w:line="163" w:lineRule="exact"/>
        <w:rPr>
          <w:rFonts w:ascii="Arial" w:cs="Arial" w:eastAsia="Arial" w:hAnsi="Arial"/>
          <w:sz w:val="14"/>
          <w:szCs w:val="14"/>
          <w:color w:val="auto"/>
        </w:rPr>
      </w:pPr>
    </w:p>
    <w:p>
      <w:pPr>
        <w:ind w:left="360" w:right="419" w:firstLine="749"/>
        <w:spacing w:after="0" w:line="297" w:lineRule="auto"/>
        <w:tabs>
          <w:tab w:leader="none" w:pos="1466" w:val="left"/>
        </w:tabs>
        <w:numPr>
          <w:ilvl w:val="0"/>
          <w:numId w:val="16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Period</w:t>
      </w:r>
      <w:r>
        <w:rPr>
          <w:rFonts w:ascii="Arial" w:cs="Arial" w:eastAsia="Arial" w:hAnsi="Arial"/>
          <w:sz w:val="12"/>
          <w:szCs w:val="12"/>
          <w:color w:val="auto"/>
        </w:rPr>
        <w:t>” means the period, as determined by the Administrator in its discretion on a uniform and nondiscriminatory basis, commencing on the Enrollment Date and ending with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applicable Offering Period. Unless otherwise determined by the Administrator, a Purchase Period shall have the same duration as the Offering Period.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40" w:right="1440" w:bottom="1440" w:gutter="0" w:footer="0" w:header="0"/>
        </w:sectPr>
      </w:pPr>
    </w:p>
    <w:bookmarkStart w:id="134" w:name="page135"/>
    <w:bookmarkEnd w:id="134"/>
    <w:p>
      <w:pPr>
        <w:ind w:left="360" w:right="479" w:firstLine="749"/>
        <w:spacing w:after="0" w:line="297" w:lineRule="auto"/>
        <w:tabs>
          <w:tab w:leader="none" w:pos="1451" w:val="left"/>
        </w:tabs>
        <w:numPr>
          <w:ilvl w:val="1"/>
          <w:numId w:val="16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t>
      </w:r>
      <w:r>
        <w:rPr>
          <w:rFonts w:ascii="Arial" w:cs="Arial" w:eastAsia="Arial" w:hAnsi="Arial"/>
          <w:sz w:val="12"/>
          <w:szCs w:val="12"/>
          <w:u w:val="single" w:color="auto"/>
          <w:color w:val="auto"/>
        </w:rPr>
        <w:t>Purchase Price</w:t>
      </w:r>
      <w:r>
        <w:rPr>
          <w:rFonts w:ascii="Arial" w:cs="Arial" w:eastAsia="Arial" w:hAnsi="Arial"/>
          <w:sz w:val="12"/>
          <w:szCs w:val="12"/>
          <w:color w:val="auto"/>
        </w:rPr>
        <w:t>” means the price per Share of the Shares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on the Enrollment Date or the Fair Market Value of a Share on the Exercise Date and at all times in compliance with Section 423 of the Code (or any successor rule or provision or any other Applicable Law, regulation or stock exchange rule).</w:t>
      </w:r>
    </w:p>
    <w:p>
      <w:pPr>
        <w:spacing w:after="0" w:line="120" w:lineRule="exact"/>
        <w:rPr>
          <w:rFonts w:ascii="Arial" w:cs="Arial" w:eastAsia="Arial" w:hAnsi="Arial"/>
          <w:sz w:val="12"/>
          <w:szCs w:val="12"/>
          <w:color w:val="auto"/>
        </w:rPr>
      </w:pPr>
    </w:p>
    <w:p>
      <w:pPr>
        <w:ind w:left="360" w:right="379" w:firstLine="749"/>
        <w:spacing w:after="0" w:line="250" w:lineRule="auto"/>
        <w:tabs>
          <w:tab w:leader="none" w:pos="1466" w:val="left"/>
        </w:tabs>
        <w:numPr>
          <w:ilvl w:val="1"/>
          <w:numId w:val="1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Section 409A</w:t>
      </w:r>
      <w:r>
        <w:rPr>
          <w:rFonts w:ascii="Arial" w:cs="Arial" w:eastAsia="Arial" w:hAnsi="Arial"/>
          <w:sz w:val="14"/>
          <w:szCs w:val="14"/>
          <w:color w:val="auto"/>
        </w:rPr>
        <w:t>” means Section 409A of the Code and the regulations and guidance thereunder, and formal, effective guidance of either general applicability or direct applicability thereunder, and any applicable state law equivalent, as each may be promulgated, amended or modified from time to time.</w:t>
      </w:r>
    </w:p>
    <w:p>
      <w:pPr>
        <w:spacing w:after="0" w:line="146" w:lineRule="exact"/>
        <w:rPr>
          <w:rFonts w:ascii="Arial" w:cs="Arial" w:eastAsia="Arial" w:hAnsi="Arial"/>
          <w:sz w:val="14"/>
          <w:szCs w:val="14"/>
          <w:color w:val="auto"/>
        </w:rPr>
      </w:pPr>
    </w:p>
    <w:p>
      <w:pPr>
        <w:ind w:left="1460" w:hanging="351"/>
        <w:spacing w:after="0"/>
        <w:tabs>
          <w:tab w:leader="none" w:pos="1460" w:val="left"/>
        </w:tabs>
        <w:numPr>
          <w:ilvl w:val="1"/>
          <w:numId w:val="16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Subsidiary</w:t>
      </w:r>
      <w:r>
        <w:rPr>
          <w:rFonts w:ascii="Arial" w:cs="Arial" w:eastAsia="Arial" w:hAnsi="Arial"/>
          <w:sz w:val="12"/>
          <w:szCs w:val="12"/>
          <w:color w:val="auto"/>
        </w:rPr>
        <w:t>” means a “subsidiary corporation,” whether now or hereafter existing, as defined in Section 424(f) of the Code.</w:t>
      </w:r>
    </w:p>
    <w:p>
      <w:pPr>
        <w:spacing w:after="0" w:line="186" w:lineRule="exact"/>
        <w:rPr>
          <w:rFonts w:ascii="Arial" w:cs="Arial" w:eastAsia="Arial" w:hAnsi="Arial"/>
          <w:sz w:val="12"/>
          <w:szCs w:val="12"/>
          <w:color w:val="auto"/>
        </w:rPr>
      </w:pPr>
    </w:p>
    <w:p>
      <w:pPr>
        <w:ind w:left="360" w:right="619" w:firstLine="749"/>
        <w:spacing w:after="0" w:line="259" w:lineRule="auto"/>
        <w:tabs>
          <w:tab w:leader="none" w:pos="1418" w:val="left"/>
        </w:tabs>
        <w:numPr>
          <w:ilvl w:val="1"/>
          <w:numId w:val="1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Trading Day</w:t>
      </w:r>
      <w:r>
        <w:rPr>
          <w:rFonts w:ascii="Arial" w:cs="Arial" w:eastAsia="Arial" w:hAnsi="Arial"/>
          <w:sz w:val="14"/>
          <w:szCs w:val="14"/>
          <w:color w:val="auto"/>
        </w:rPr>
        <w:t>” means a day that the primary stock exchange (or national market system, or other trading platform, as applicable) upon which the Common Stock is listed is open for trading.</w:t>
      </w:r>
    </w:p>
    <w:p>
      <w:pPr>
        <w:spacing w:after="0" w:line="139" w:lineRule="exact"/>
        <w:rPr>
          <w:rFonts w:ascii="Arial" w:cs="Arial" w:eastAsia="Arial" w:hAnsi="Arial"/>
          <w:sz w:val="14"/>
          <w:szCs w:val="14"/>
          <w:color w:val="auto"/>
        </w:rPr>
      </w:pPr>
    </w:p>
    <w:p>
      <w:pPr>
        <w:jc w:val="both"/>
        <w:ind w:left="360" w:right="399" w:firstLine="749"/>
        <w:spacing w:after="0" w:line="312" w:lineRule="auto"/>
        <w:tabs>
          <w:tab w:leader="none" w:pos="1466" w:val="left"/>
        </w:tabs>
        <w:numPr>
          <w:ilvl w:val="1"/>
          <w:numId w:val="164"/>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U.S. Treasury Regulations</w:t>
      </w:r>
      <w:r>
        <w:rPr>
          <w:rFonts w:ascii="Arial" w:cs="Arial" w:eastAsia="Arial" w:hAnsi="Arial"/>
          <w:sz w:val="12"/>
          <w:szCs w:val="12"/>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11" w:lineRule="exact"/>
        <w:rPr>
          <w:rFonts w:ascii="Arial" w:cs="Arial" w:eastAsia="Arial" w:hAnsi="Arial"/>
          <w:sz w:val="12"/>
          <w:szCs w:val="12"/>
          <w:color w:val="auto"/>
        </w:rPr>
      </w:pPr>
    </w:p>
    <w:p>
      <w:pPr>
        <w:ind w:left="940" w:hanging="246"/>
        <w:spacing w:after="0"/>
        <w:tabs>
          <w:tab w:leader="none" w:pos="940"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Eligibility</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579" w:firstLine="749"/>
        <w:spacing w:after="0" w:line="259" w:lineRule="auto"/>
        <w:tabs>
          <w:tab w:leader="none" w:pos="1391" w:val="left"/>
        </w:tabs>
        <w:numPr>
          <w:ilvl w:val="1"/>
          <w:numId w:val="165"/>
        </w:numPr>
        <w:rPr>
          <w:rFonts w:ascii="Arial" w:cs="Arial" w:eastAsia="Arial" w:hAnsi="Arial"/>
          <w:sz w:val="14"/>
          <w:szCs w:val="14"/>
          <w:color w:val="auto"/>
        </w:rPr>
      </w:pPr>
      <w:r>
        <w:rPr>
          <w:rFonts w:ascii="Arial" w:cs="Arial" w:eastAsia="Arial" w:hAnsi="Arial"/>
          <w:sz w:val="14"/>
          <w:szCs w:val="14"/>
          <w:u w:val="single" w:color="auto"/>
          <w:color w:val="auto"/>
        </w:rPr>
        <w:t>Generally</w:t>
      </w:r>
      <w:r>
        <w:rPr>
          <w:rFonts w:ascii="Arial" w:cs="Arial" w:eastAsia="Arial" w:hAnsi="Arial"/>
          <w:sz w:val="14"/>
          <w:szCs w:val="14"/>
          <w:color w:val="auto"/>
        </w:rPr>
        <w:t>. Any individual who is an Eligible Employee on a given Enrollment Date subsequent to the first Offering Period will be eligible to participate in the Plan, subject to the requirements of Section 5.</w:t>
      </w:r>
    </w:p>
    <w:p>
      <w:pPr>
        <w:spacing w:after="0" w:line="139" w:lineRule="exact"/>
        <w:rPr>
          <w:rFonts w:ascii="Arial" w:cs="Arial" w:eastAsia="Arial" w:hAnsi="Arial"/>
          <w:sz w:val="14"/>
          <w:szCs w:val="14"/>
          <w:color w:val="auto"/>
        </w:rPr>
      </w:pPr>
    </w:p>
    <w:p>
      <w:pPr>
        <w:ind w:left="360" w:right="559" w:firstLine="749"/>
        <w:spacing w:after="0" w:line="294" w:lineRule="auto"/>
        <w:tabs>
          <w:tab w:leader="none" w:pos="1398" w:val="left"/>
        </w:tabs>
        <w:numPr>
          <w:ilvl w:val="1"/>
          <w:numId w:val="165"/>
        </w:numPr>
        <w:rPr>
          <w:rFonts w:ascii="Arial" w:cs="Arial" w:eastAsia="Arial" w:hAnsi="Arial"/>
          <w:sz w:val="12"/>
          <w:szCs w:val="12"/>
          <w:color w:val="auto"/>
        </w:rPr>
      </w:pPr>
      <w:r>
        <w:rPr>
          <w:rFonts w:ascii="Arial" w:cs="Arial" w:eastAsia="Arial" w:hAnsi="Arial"/>
          <w:sz w:val="12"/>
          <w:szCs w:val="12"/>
          <w:u w:val="single" w:color="auto"/>
          <w:color w:val="auto"/>
        </w:rPr>
        <w:t>Non-U.S. Employees</w:t>
      </w:r>
      <w:r>
        <w:rPr>
          <w:rFonts w:ascii="Arial" w:cs="Arial" w:eastAsia="Arial" w:hAnsi="Arial"/>
          <w:sz w:val="12"/>
          <w:szCs w:val="12"/>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22" w:lineRule="exact"/>
        <w:rPr>
          <w:rFonts w:ascii="Arial" w:cs="Arial" w:eastAsia="Arial" w:hAnsi="Arial"/>
          <w:sz w:val="12"/>
          <w:szCs w:val="12"/>
          <w:color w:val="auto"/>
        </w:rPr>
      </w:pPr>
    </w:p>
    <w:p>
      <w:pPr>
        <w:ind w:left="360" w:right="419" w:firstLine="749"/>
        <w:spacing w:after="0" w:line="290" w:lineRule="auto"/>
        <w:tabs>
          <w:tab w:leader="none" w:pos="1391" w:val="left"/>
        </w:tabs>
        <w:numPr>
          <w:ilvl w:val="1"/>
          <w:numId w:val="165"/>
        </w:numPr>
        <w:rPr>
          <w:rFonts w:ascii="Arial" w:cs="Arial" w:eastAsia="Arial" w:hAnsi="Arial"/>
          <w:sz w:val="12"/>
          <w:szCs w:val="12"/>
          <w:color w:val="auto"/>
        </w:rPr>
      </w:pPr>
      <w:r>
        <w:rPr>
          <w:rFonts w:ascii="Arial" w:cs="Arial" w:eastAsia="Arial" w:hAnsi="Arial"/>
          <w:sz w:val="12"/>
          <w:szCs w:val="12"/>
          <w:u w:val="single" w:color="auto"/>
          <w:color w:val="auto"/>
        </w:rPr>
        <w:t>Limitations</w:t>
      </w:r>
      <w:r>
        <w:rPr>
          <w:rFonts w:ascii="Arial" w:cs="Arial" w:eastAsia="Arial" w:hAnsi="Arial"/>
          <w:sz w:val="12"/>
          <w:szCs w:val="12"/>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89" w:lineRule="exact"/>
        <w:rPr>
          <w:rFonts w:ascii="Arial" w:cs="Arial" w:eastAsia="Arial" w:hAnsi="Arial"/>
          <w:sz w:val="12"/>
          <w:szCs w:val="12"/>
          <w:color w:val="auto"/>
        </w:rPr>
      </w:pPr>
    </w:p>
    <w:p>
      <w:pPr>
        <w:ind w:left="360" w:right="379" w:firstLine="334"/>
        <w:spacing w:after="0" w:line="250" w:lineRule="auto"/>
        <w:tabs>
          <w:tab w:leader="none" w:pos="928" w:val="left"/>
        </w:tabs>
        <w:numPr>
          <w:ilvl w:val="0"/>
          <w:numId w:val="165"/>
        </w:numPr>
        <w:rPr>
          <w:rFonts w:ascii="Arial" w:cs="Arial" w:eastAsia="Arial" w:hAnsi="Arial"/>
          <w:sz w:val="14"/>
          <w:szCs w:val="14"/>
          <w:color w:val="auto"/>
        </w:rPr>
      </w:pPr>
      <w:r>
        <w:rPr>
          <w:rFonts w:ascii="Arial" w:cs="Arial" w:eastAsia="Arial" w:hAnsi="Arial"/>
          <w:sz w:val="14"/>
          <w:szCs w:val="14"/>
          <w:u w:val="single" w:color="auto"/>
          <w:color w:val="auto"/>
        </w:rPr>
        <w:t>Offering Periods</w:t>
      </w:r>
      <w:r>
        <w:rPr>
          <w:rFonts w:ascii="Arial" w:cs="Arial" w:eastAsia="Arial" w:hAnsi="Arial"/>
          <w:sz w:val="14"/>
          <w:szCs w:val="14"/>
          <w:color w:val="auto"/>
        </w:rPr>
        <w:t>. Offering Periods will be periods, as will be determined by the Administrator from time to time, in its discretion and on a uniform and nondiscriminatory basis, prior to an Enrollment Date for all options to be granted on such Enrollment Date. The Administrator will have the power to change the duration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40" w:right="1440" w:bottom="1440" w:gutter="0" w:footer="0" w:header="0"/>
        </w:sectPr>
      </w:pPr>
    </w:p>
    <w:bookmarkStart w:id="135" w:name="page136"/>
    <w:bookmarkEnd w:id="135"/>
    <w:p>
      <w:pPr>
        <w:ind w:left="360" w:right="37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46" w:lineRule="exact"/>
        <w:rPr>
          <w:sz w:val="20"/>
          <w:szCs w:val="20"/>
          <w:color w:val="auto"/>
        </w:rPr>
      </w:pPr>
    </w:p>
    <w:p>
      <w:pPr>
        <w:ind w:left="360" w:right="399" w:firstLine="334"/>
        <w:spacing w:after="0" w:line="247" w:lineRule="auto"/>
        <w:tabs>
          <w:tab w:leader="none" w:pos="928"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Participation</w:t>
      </w:r>
      <w:r>
        <w:rPr>
          <w:rFonts w:ascii="Arial" w:cs="Arial" w:eastAsia="Arial" w:hAnsi="Arial"/>
          <w:sz w:val="14"/>
          <w:szCs w:val="14"/>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149" w:lineRule="exact"/>
        <w:rPr>
          <w:rFonts w:ascii="Arial" w:cs="Arial" w:eastAsia="Arial" w:hAnsi="Arial"/>
          <w:sz w:val="14"/>
          <w:szCs w:val="14"/>
          <w:color w:val="auto"/>
        </w:rPr>
      </w:pPr>
    </w:p>
    <w:p>
      <w:pPr>
        <w:ind w:left="940" w:hanging="246"/>
        <w:spacing w:after="0"/>
        <w:tabs>
          <w:tab w:leader="none" w:pos="940"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Contributions</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19" w:firstLine="749"/>
        <w:spacing w:after="0" w:line="289" w:lineRule="auto"/>
        <w:tabs>
          <w:tab w:leader="none" w:pos="1383" w:val="left"/>
        </w:tabs>
        <w:numPr>
          <w:ilvl w:val="1"/>
          <w:numId w:val="166"/>
        </w:numPr>
        <w:rPr>
          <w:rFonts w:ascii="Arial" w:cs="Arial" w:eastAsia="Arial" w:hAnsi="Arial"/>
          <w:sz w:val="12"/>
          <w:szCs w:val="12"/>
          <w:color w:val="auto"/>
        </w:rPr>
      </w:pPr>
      <w:r>
        <w:rPr>
          <w:rFonts w:ascii="Arial" w:cs="Arial" w:eastAsia="Arial" w:hAnsi="Arial"/>
          <w:sz w:val="12"/>
          <w:szCs w:val="12"/>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or such other limit established by the Administrator from time to time in its discretion and on a uniform and nondiscretionary basis for all options to be granted on an Enrollment Date in an Offering,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28" w:lineRule="exact"/>
        <w:rPr>
          <w:rFonts w:ascii="Arial" w:cs="Arial" w:eastAsia="Arial" w:hAnsi="Arial"/>
          <w:sz w:val="12"/>
          <w:szCs w:val="12"/>
          <w:color w:val="auto"/>
        </w:rPr>
      </w:pPr>
    </w:p>
    <w:p>
      <w:pPr>
        <w:jc w:val="both"/>
        <w:ind w:left="360" w:right="559" w:firstLine="749"/>
        <w:spacing w:after="0" w:line="302" w:lineRule="auto"/>
        <w:tabs>
          <w:tab w:leader="none" w:pos="139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Enrollment Date.</w:t>
      </w:r>
    </w:p>
    <w:p>
      <w:pPr>
        <w:spacing w:after="0" w:line="117" w:lineRule="exact"/>
        <w:rPr>
          <w:rFonts w:ascii="Arial" w:cs="Arial" w:eastAsia="Arial" w:hAnsi="Arial"/>
          <w:sz w:val="12"/>
          <w:szCs w:val="12"/>
          <w:color w:val="auto"/>
        </w:rPr>
      </w:pPr>
    </w:p>
    <w:p>
      <w:pPr>
        <w:ind w:left="360" w:right="379" w:firstLine="749"/>
        <w:spacing w:after="0" w:line="259" w:lineRule="auto"/>
        <w:tabs>
          <w:tab w:leader="none" w:pos="1383" w:val="left"/>
        </w:tabs>
        <w:numPr>
          <w:ilvl w:val="1"/>
          <w:numId w:val="166"/>
        </w:numPr>
        <w:rPr>
          <w:rFonts w:ascii="Arial" w:cs="Arial" w:eastAsia="Arial" w:hAnsi="Arial"/>
          <w:sz w:val="14"/>
          <w:szCs w:val="14"/>
          <w:color w:val="auto"/>
        </w:rPr>
      </w:pPr>
      <w:r>
        <w:rPr>
          <w:rFonts w:ascii="Arial" w:cs="Arial" w:eastAsia="Arial" w:hAnsi="Arial"/>
          <w:sz w:val="14"/>
          <w:szCs w:val="14"/>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39" w:lineRule="exact"/>
        <w:rPr>
          <w:rFonts w:ascii="Arial" w:cs="Arial" w:eastAsia="Arial" w:hAnsi="Arial"/>
          <w:sz w:val="14"/>
          <w:szCs w:val="14"/>
          <w:color w:val="auto"/>
        </w:rPr>
      </w:pPr>
    </w:p>
    <w:p>
      <w:pPr>
        <w:ind w:left="360" w:right="419" w:firstLine="749"/>
        <w:spacing w:after="0" w:line="284" w:lineRule="auto"/>
        <w:tabs>
          <w:tab w:leader="none" w:pos="1391" w:val="left"/>
        </w:tabs>
        <w:numPr>
          <w:ilvl w:val="1"/>
          <w:numId w:val="166"/>
        </w:numPr>
        <w:rPr>
          <w:rFonts w:ascii="Arial" w:cs="Arial" w:eastAsia="Arial" w:hAnsi="Arial"/>
          <w:sz w:val="12"/>
          <w:szCs w:val="12"/>
          <w:color w:val="auto"/>
        </w:rPr>
      </w:pPr>
      <w:r>
        <w:rPr>
          <w:rFonts w:ascii="Arial" w:cs="Arial" w:eastAsia="Arial" w:hAnsi="Arial"/>
          <w:sz w:val="12"/>
          <w:szCs w:val="12"/>
          <w:color w:val="auto"/>
        </w:rPr>
        <w:t>A Participant may discontinue his or her participation in the Plan as provided under Section 10. Until and unless determined otherwise by the Administrator, in its sole discretion, during any Offering Period, a Participant may not increase the rate of his or her Contributions and may only decrease the rate of his or her Contributions (including to zero percent (0%)) one (1) time. A Participant may make a Contribution rate adjustment pursuant to this subsection (d) by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w:t>
      </w:r>
    </w:p>
    <w:p>
      <w:pPr>
        <w:spacing w:after="0" w:line="2" w:lineRule="exact"/>
        <w:rPr>
          <w:rFonts w:ascii="Arial" w:cs="Arial" w:eastAsia="Arial" w:hAnsi="Arial"/>
          <w:sz w:val="12"/>
          <w:szCs w:val="12"/>
          <w:color w:val="auto"/>
        </w:rPr>
      </w:pPr>
    </w:p>
    <w:p>
      <w:pPr>
        <w:ind w:left="360" w:right="419"/>
        <w:spacing w:after="0" w:line="293" w:lineRule="auto"/>
        <w:rPr>
          <w:rFonts w:ascii="Arial" w:cs="Arial" w:eastAsia="Arial" w:hAnsi="Arial"/>
          <w:sz w:val="12"/>
          <w:szCs w:val="12"/>
          <w:color w:val="auto"/>
        </w:rPr>
      </w:pPr>
      <w:r>
        <w:rPr>
          <w:rFonts w:ascii="Arial" w:cs="Arial" w:eastAsia="Arial" w:hAnsi="Arial"/>
          <w:sz w:val="12"/>
          <w:szCs w:val="12"/>
          <w:color w:val="auto"/>
        </w:rPr>
        <w:t>the Offering Period and future Offering Periods and Purchase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Offering Period, and may establish such other conditions or limitations as it deems appropriate for Plan administration. Any change in the rate of Contributions made pursuant to this Section 6(d) will be effective as of the first full payroll period following five (5) business days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0" w:right="1440" w:bottom="1440" w:gutter="0" w:footer="0" w:header="0"/>
        </w:sectPr>
      </w:pPr>
    </w:p>
    <w:bookmarkStart w:id="136" w:name="page137"/>
    <w:bookmarkEnd w:id="136"/>
    <w:p>
      <w:pPr>
        <w:ind w:left="360" w:right="45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after the date on which the change is made by the Participant (unless the Administrator, in its sole discretion, elects to process a given change in payroll deduction rate more quickly).</w:t>
      </w:r>
    </w:p>
    <w:p>
      <w:pPr>
        <w:spacing w:after="0" w:line="140" w:lineRule="exact"/>
        <w:rPr>
          <w:sz w:val="20"/>
          <w:szCs w:val="20"/>
          <w:color w:val="auto"/>
        </w:rPr>
      </w:pPr>
    </w:p>
    <w:p>
      <w:pPr>
        <w:ind w:left="360" w:right="399" w:firstLine="749"/>
        <w:spacing w:after="0" w:line="302" w:lineRule="auto"/>
        <w:tabs>
          <w:tab w:leader="none" w:pos="1391" w:val="left"/>
        </w:tabs>
        <w:numPr>
          <w:ilvl w:val="1"/>
          <w:numId w:val="167"/>
        </w:numPr>
        <w:rPr>
          <w:rFonts w:ascii="Arial" w:cs="Arial" w:eastAsia="Arial" w:hAnsi="Arial"/>
          <w:sz w:val="12"/>
          <w:szCs w:val="12"/>
          <w:color w:val="auto"/>
        </w:rPr>
      </w:pPr>
      <w:r>
        <w:rPr>
          <w:rFonts w:ascii="Arial" w:cs="Arial" w:eastAsia="Arial" w:hAnsi="Arial"/>
          <w:sz w:val="12"/>
          <w:szCs w:val="12"/>
          <w:color w:val="auto"/>
        </w:rPr>
        <w:t>Notwithstanding the foregoing, to the extent necessary to comply with Section 423(b)(8) of the Code and Section 3(d), a Participant’s Contributions may be decreased to zero percent (0%) by the Administrator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17" w:lineRule="exact"/>
        <w:rPr>
          <w:rFonts w:ascii="Arial" w:cs="Arial" w:eastAsia="Arial" w:hAnsi="Arial"/>
          <w:sz w:val="12"/>
          <w:szCs w:val="12"/>
          <w:color w:val="auto"/>
        </w:rPr>
      </w:pPr>
    </w:p>
    <w:p>
      <w:pPr>
        <w:jc w:val="both"/>
        <w:ind w:left="360" w:right="499" w:firstLine="749"/>
        <w:spacing w:after="0" w:line="312" w:lineRule="auto"/>
        <w:tabs>
          <w:tab w:leader="none" w:pos="1376" w:val="left"/>
        </w:tabs>
        <w:numPr>
          <w:ilvl w:val="1"/>
          <w:numId w:val="167"/>
        </w:numPr>
        <w:rPr>
          <w:rFonts w:ascii="Arial" w:cs="Arial" w:eastAsia="Arial" w:hAnsi="Arial"/>
          <w:sz w:val="12"/>
          <w:szCs w:val="12"/>
          <w:color w:val="auto"/>
        </w:rPr>
      </w:pPr>
      <w:r>
        <w:rPr>
          <w:rFonts w:ascii="Arial" w:cs="Arial" w:eastAsia="Arial" w:hAnsi="Arial"/>
          <w:sz w:val="12"/>
          <w:szCs w:val="12"/>
          <w:color w:val="auto"/>
        </w:rPr>
        <w:t>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under Section 423 of the Code; or (iii) the Participants are participating in the Non-423 Component.</w:t>
      </w:r>
    </w:p>
    <w:p>
      <w:pPr>
        <w:spacing w:after="0" w:line="111" w:lineRule="exact"/>
        <w:rPr>
          <w:rFonts w:ascii="Arial" w:cs="Arial" w:eastAsia="Arial" w:hAnsi="Arial"/>
          <w:sz w:val="12"/>
          <w:szCs w:val="12"/>
          <w:color w:val="auto"/>
        </w:rPr>
      </w:pPr>
    </w:p>
    <w:p>
      <w:pPr>
        <w:ind w:left="360" w:right="399" w:firstLine="749"/>
        <w:spacing w:after="0" w:line="289" w:lineRule="auto"/>
        <w:tabs>
          <w:tab w:leader="none" w:pos="1391" w:val="left"/>
        </w:tabs>
        <w:numPr>
          <w:ilvl w:val="1"/>
          <w:numId w:val="167"/>
        </w:numPr>
        <w:rPr>
          <w:rFonts w:ascii="Arial" w:cs="Arial" w:eastAsia="Arial" w:hAnsi="Arial"/>
          <w:sz w:val="12"/>
          <w:szCs w:val="12"/>
          <w:color w:val="auto"/>
        </w:rPr>
      </w:pPr>
      <w:r>
        <w:rPr>
          <w:rFonts w:ascii="Arial" w:cs="Arial" w:eastAsia="Arial" w:hAnsi="Arial"/>
          <w:sz w:val="12"/>
          <w:szCs w:val="12"/>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24" w:lineRule="exact"/>
        <w:rPr>
          <w:rFonts w:ascii="Arial" w:cs="Arial" w:eastAsia="Arial" w:hAnsi="Arial"/>
          <w:sz w:val="12"/>
          <w:szCs w:val="12"/>
          <w:color w:val="auto"/>
        </w:rPr>
      </w:pPr>
    </w:p>
    <w:p>
      <w:pPr>
        <w:ind w:left="360" w:right="419" w:firstLine="334"/>
        <w:spacing w:after="0" w:line="287" w:lineRule="auto"/>
        <w:tabs>
          <w:tab w:leader="none" w:pos="928" w:val="left"/>
        </w:tabs>
        <w:numPr>
          <w:ilvl w:val="0"/>
          <w:numId w:val="168"/>
        </w:numPr>
        <w:rPr>
          <w:rFonts w:ascii="Arial" w:cs="Arial" w:eastAsia="Arial" w:hAnsi="Arial"/>
          <w:sz w:val="12"/>
          <w:szCs w:val="12"/>
          <w:color w:val="auto"/>
        </w:rPr>
      </w:pPr>
      <w:r>
        <w:rPr>
          <w:rFonts w:ascii="Arial" w:cs="Arial" w:eastAsia="Arial" w:hAnsi="Arial"/>
          <w:sz w:val="12"/>
          <w:szCs w:val="12"/>
          <w:u w:val="single" w:color="auto"/>
          <w:color w:val="auto"/>
        </w:rPr>
        <w:t>Grant of Option</w:t>
      </w:r>
      <w:r>
        <w:rPr>
          <w:rFonts w:ascii="Arial" w:cs="Arial" w:eastAsia="Arial" w:hAnsi="Arial"/>
          <w:sz w:val="12"/>
          <w:szCs w:val="12"/>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a maximum number shares of Common Stock to be determined by the Administrator (subject to any adjustment pursuant to Section 18) and provided further that such purchase will be subject to the limitations set forth in Sections 3(d) and 13 and in the subscription agreement. The Eligible Employee may accept the grant of such option (i) with respect to the first Offering Period by submitting a properly completed subscription agreement in accordance with the requirements of Section 5 on or before the Enrollment Date,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pacing w:after="0" w:line="293" w:lineRule="exact"/>
        <w:rPr>
          <w:rFonts w:ascii="Arial" w:cs="Arial" w:eastAsia="Arial" w:hAnsi="Arial"/>
          <w:sz w:val="12"/>
          <w:szCs w:val="12"/>
          <w:color w:val="auto"/>
        </w:rPr>
      </w:pPr>
    </w:p>
    <w:p>
      <w:pPr>
        <w:ind w:left="940" w:hanging="246"/>
        <w:spacing w:after="0"/>
        <w:tabs>
          <w:tab w:leader="none" w:pos="940"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Exercise of Option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619" w:firstLine="749"/>
        <w:spacing w:after="0" w:line="259" w:lineRule="auto"/>
        <w:tabs>
          <w:tab w:leader="none" w:pos="1391" w:val="left"/>
        </w:tabs>
        <w:numPr>
          <w:ilvl w:val="1"/>
          <w:numId w:val="168"/>
        </w:numPr>
        <w:rPr>
          <w:rFonts w:ascii="Arial" w:cs="Arial" w:eastAsia="Arial" w:hAnsi="Arial"/>
          <w:sz w:val="14"/>
          <w:szCs w:val="14"/>
          <w:color w:val="auto"/>
        </w:rPr>
      </w:pPr>
      <w:r>
        <w:rPr>
          <w:rFonts w:ascii="Arial" w:cs="Arial" w:eastAsia="Arial" w:hAnsi="Arial"/>
          <w:sz w:val="14"/>
          <w:szCs w:val="14"/>
          <w:color w:val="auto"/>
        </w:rPr>
        <w:t>Unless a Participant withdraws from the Plan as provided in Section 10 (or Participant’s participation is terminated as provided in Section 11), his or her option for the purchase of shares of Common</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137" w:name="page138"/>
    <w:bookmarkEnd w:id="137"/>
    <w:p>
      <w:pPr>
        <w:ind w:left="360" w:right="379"/>
        <w:spacing w:after="0" w:line="29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24" w:lineRule="exact"/>
        <w:rPr>
          <w:sz w:val="20"/>
          <w:szCs w:val="20"/>
          <w:color w:val="auto"/>
        </w:rPr>
      </w:pPr>
    </w:p>
    <w:p>
      <w:pPr>
        <w:ind w:left="360" w:right="399" w:firstLine="749"/>
        <w:spacing w:after="0" w:line="287" w:lineRule="auto"/>
        <w:tabs>
          <w:tab w:leader="none" w:pos="1398" w:val="left"/>
        </w:tabs>
        <w:numPr>
          <w:ilvl w:val="1"/>
          <w:numId w:val="169"/>
        </w:numPr>
        <w:rPr>
          <w:rFonts w:ascii="Arial" w:cs="Arial" w:eastAsia="Arial" w:hAnsi="Arial"/>
          <w:sz w:val="12"/>
          <w:szCs w:val="12"/>
          <w:color w:val="auto"/>
        </w:rPr>
      </w:pPr>
      <w:r>
        <w:rPr>
          <w:rFonts w:ascii="Arial" w:cs="Arial" w:eastAsia="Arial" w:hAnsi="Arial"/>
          <w:sz w:val="12"/>
          <w:szCs w:val="12"/>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30" w:lineRule="exact"/>
        <w:rPr>
          <w:rFonts w:ascii="Arial" w:cs="Arial" w:eastAsia="Arial" w:hAnsi="Arial"/>
          <w:sz w:val="12"/>
          <w:szCs w:val="12"/>
          <w:color w:val="auto"/>
        </w:rPr>
      </w:pPr>
    </w:p>
    <w:p>
      <w:pPr>
        <w:ind w:left="360" w:right="399" w:firstLine="334"/>
        <w:spacing w:after="0" w:line="291" w:lineRule="auto"/>
        <w:tabs>
          <w:tab w:leader="none" w:pos="928"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Delivery</w:t>
      </w:r>
      <w:r>
        <w:rPr>
          <w:rFonts w:ascii="Arial" w:cs="Arial" w:eastAsia="Arial" w:hAnsi="Arial"/>
          <w:sz w:val="12"/>
          <w:szCs w:val="12"/>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122" w:lineRule="exact"/>
        <w:rPr>
          <w:rFonts w:ascii="Arial" w:cs="Arial" w:eastAsia="Arial" w:hAnsi="Arial"/>
          <w:sz w:val="12"/>
          <w:szCs w:val="12"/>
          <w:color w:val="auto"/>
        </w:rPr>
      </w:pPr>
    </w:p>
    <w:p>
      <w:pPr>
        <w:ind w:left="1000" w:hanging="306"/>
        <w:spacing w:after="0"/>
        <w:tabs>
          <w:tab w:leader="none" w:pos="1000" w:val="left"/>
        </w:tabs>
        <w:numPr>
          <w:ilvl w:val="0"/>
          <w:numId w:val="170"/>
        </w:numPr>
        <w:rPr>
          <w:rFonts w:ascii="Arial" w:cs="Arial" w:eastAsia="Arial" w:hAnsi="Arial"/>
          <w:sz w:val="14"/>
          <w:szCs w:val="14"/>
          <w:color w:val="auto"/>
        </w:rPr>
      </w:pPr>
      <w:r>
        <w:rPr>
          <w:rFonts w:ascii="Arial" w:cs="Arial" w:eastAsia="Arial" w:hAnsi="Arial"/>
          <w:sz w:val="14"/>
          <w:szCs w:val="14"/>
          <w:u w:val="single" w:color="auto"/>
          <w:color w:val="auto"/>
        </w:rPr>
        <w:t>Withdrawal</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399" w:firstLine="749"/>
        <w:spacing w:after="0" w:line="289" w:lineRule="auto"/>
        <w:tabs>
          <w:tab w:leader="none" w:pos="1383" w:val="left"/>
        </w:tabs>
        <w:numPr>
          <w:ilvl w:val="1"/>
          <w:numId w:val="170"/>
        </w:numPr>
        <w:rPr>
          <w:rFonts w:ascii="Arial" w:cs="Arial" w:eastAsia="Arial" w:hAnsi="Arial"/>
          <w:sz w:val="12"/>
          <w:szCs w:val="12"/>
          <w:color w:val="auto"/>
        </w:rPr>
      </w:pPr>
      <w:r>
        <w:rPr>
          <w:rFonts w:ascii="Arial" w:cs="Arial" w:eastAsia="Arial" w:hAnsi="Arial"/>
          <w:sz w:val="12"/>
          <w:szCs w:val="12"/>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2"/>
          <w:szCs w:val="12"/>
          <w:u w:val="single" w:color="auto"/>
          <w:color w:val="auto"/>
        </w:rPr>
        <w:t>Exhibit B</w:t>
      </w:r>
      <w:r>
        <w:rPr>
          <w:rFonts w:ascii="Arial" w:cs="Arial" w:eastAsia="Arial" w:hAnsi="Arial"/>
          <w:sz w:val="12"/>
          <w:szCs w:val="12"/>
          <w:color w:val="auto"/>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0" w:right="1440" w:bottom="1440" w:gutter="0" w:footer="0" w:header="0"/>
        </w:sectPr>
      </w:pPr>
    </w:p>
    <w:bookmarkStart w:id="138" w:name="page139"/>
    <w:bookmarkEnd w:id="138"/>
    <w:p>
      <w:pPr>
        <w:ind w:left="360" w:right="479" w:firstLine="749"/>
        <w:spacing w:after="0" w:line="250" w:lineRule="auto"/>
        <w:tabs>
          <w:tab w:leader="none" w:pos="1391" w:val="left"/>
        </w:tabs>
        <w:numPr>
          <w:ilvl w:val="1"/>
          <w:numId w:val="17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46" w:lineRule="exact"/>
        <w:rPr>
          <w:rFonts w:ascii="Arial" w:cs="Arial" w:eastAsia="Arial" w:hAnsi="Arial"/>
          <w:sz w:val="14"/>
          <w:szCs w:val="14"/>
          <w:color w:val="auto"/>
        </w:rPr>
      </w:pPr>
    </w:p>
    <w:p>
      <w:pPr>
        <w:ind w:left="360" w:right="419" w:firstLine="334"/>
        <w:spacing w:after="0" w:line="288" w:lineRule="auto"/>
        <w:tabs>
          <w:tab w:leader="none" w:pos="99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Termination of Employment</w:t>
      </w:r>
      <w:r>
        <w:rPr>
          <w:rFonts w:ascii="Arial" w:cs="Arial" w:eastAsia="Arial" w:hAnsi="Arial"/>
          <w:sz w:val="12"/>
          <w:szCs w:val="12"/>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292" w:lineRule="exact"/>
        <w:rPr>
          <w:rFonts w:ascii="Arial" w:cs="Arial" w:eastAsia="Arial" w:hAnsi="Arial"/>
          <w:sz w:val="12"/>
          <w:szCs w:val="12"/>
          <w:color w:val="auto"/>
        </w:rPr>
      </w:pPr>
    </w:p>
    <w:p>
      <w:pPr>
        <w:ind w:left="360" w:right="579" w:firstLine="334"/>
        <w:spacing w:after="0" w:line="312" w:lineRule="auto"/>
        <w:tabs>
          <w:tab w:leader="none" w:pos="995"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Interest</w:t>
      </w:r>
      <w:r>
        <w:rPr>
          <w:rFonts w:ascii="Arial" w:cs="Arial" w:eastAsia="Arial" w:hAnsi="Arial"/>
          <w:sz w:val="12"/>
          <w:szCs w:val="12"/>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111" w:lineRule="exact"/>
        <w:rPr>
          <w:rFonts w:ascii="Arial" w:cs="Arial" w:eastAsia="Arial" w:hAnsi="Arial"/>
          <w:sz w:val="12"/>
          <w:szCs w:val="12"/>
          <w:color w:val="auto"/>
        </w:rPr>
      </w:pPr>
    </w:p>
    <w:p>
      <w:pPr>
        <w:ind w:left="1000" w:hanging="306"/>
        <w:spacing w:after="0"/>
        <w:tabs>
          <w:tab w:leader="none" w:pos="1000"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Stock</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19" w:firstLine="749"/>
        <w:spacing w:after="0" w:line="294" w:lineRule="auto"/>
        <w:tabs>
          <w:tab w:leader="none" w:pos="1391" w:val="left"/>
        </w:tabs>
        <w:numPr>
          <w:ilvl w:val="1"/>
          <w:numId w:val="172"/>
        </w:numPr>
        <w:rPr>
          <w:rFonts w:ascii="Arial" w:cs="Arial" w:eastAsia="Arial" w:hAnsi="Arial"/>
          <w:sz w:val="12"/>
          <w:szCs w:val="12"/>
          <w:color w:val="auto"/>
        </w:rPr>
      </w:pPr>
      <w:r>
        <w:rPr>
          <w:rFonts w:ascii="Arial" w:cs="Arial" w:eastAsia="Arial" w:hAnsi="Arial"/>
          <w:sz w:val="12"/>
          <w:szCs w:val="12"/>
          <w:color w:val="auto"/>
        </w:rPr>
        <w:t>Subject to adjustment upon changes in capitalization of the Company as provided in Section 19 hereof, the maximum number of shares of Common Stock that will be made available for sale under the Plan will be 7,600,000 shares of Common Stock. The number of shares of Common Stock available for issuance under the Plan will be increased on the first day of each Fiscal Year beginning with the 2022 Fiscal Year equal to the least of (i) 7,600,000 shares of Common Stock, (ii) one percent (1%) of the outstanding shares of all classes Company common stock on the last day of the immediately preceding Fiscal Year, or (iii) an amount determined by the Administrator no later than the last day of the immediately preceding Fiscal Year. The shares of Common Stock may be authorized, but unissued, or reacquired Common Stock.</w:t>
      </w:r>
    </w:p>
    <w:p>
      <w:pPr>
        <w:spacing w:after="0" w:line="122" w:lineRule="exact"/>
        <w:rPr>
          <w:rFonts w:ascii="Arial" w:cs="Arial" w:eastAsia="Arial" w:hAnsi="Arial"/>
          <w:sz w:val="12"/>
          <w:szCs w:val="12"/>
          <w:color w:val="auto"/>
        </w:rPr>
      </w:pPr>
    </w:p>
    <w:p>
      <w:pPr>
        <w:ind w:left="360" w:right="579" w:firstLine="749"/>
        <w:spacing w:after="0" w:line="312" w:lineRule="auto"/>
        <w:tabs>
          <w:tab w:leader="none" w:pos="1398" w:val="left"/>
        </w:tabs>
        <w:numPr>
          <w:ilvl w:val="1"/>
          <w:numId w:val="172"/>
        </w:numPr>
        <w:rPr>
          <w:rFonts w:ascii="Arial" w:cs="Arial" w:eastAsia="Arial" w:hAnsi="Arial"/>
          <w:sz w:val="12"/>
          <w:szCs w:val="12"/>
          <w:color w:val="auto"/>
        </w:rPr>
      </w:pPr>
      <w:r>
        <w:rPr>
          <w:rFonts w:ascii="Arial" w:cs="Arial" w:eastAsia="Arial" w:hAnsi="Arial"/>
          <w:sz w:val="12"/>
          <w:szCs w:val="12"/>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11" w:lineRule="exact"/>
        <w:rPr>
          <w:rFonts w:ascii="Arial" w:cs="Arial" w:eastAsia="Arial" w:hAnsi="Arial"/>
          <w:sz w:val="12"/>
          <w:szCs w:val="12"/>
          <w:color w:val="auto"/>
        </w:rPr>
      </w:pPr>
    </w:p>
    <w:p>
      <w:pPr>
        <w:ind w:left="360" w:right="679" w:firstLine="749"/>
        <w:spacing w:after="0" w:line="259" w:lineRule="auto"/>
        <w:tabs>
          <w:tab w:leader="none" w:pos="1391" w:val="left"/>
        </w:tabs>
        <w:numPr>
          <w:ilvl w:val="1"/>
          <w:numId w:val="172"/>
        </w:numPr>
        <w:rPr>
          <w:rFonts w:ascii="Arial" w:cs="Arial" w:eastAsia="Arial" w:hAnsi="Arial"/>
          <w:sz w:val="14"/>
          <w:szCs w:val="14"/>
          <w:color w:val="auto"/>
        </w:rPr>
      </w:pPr>
      <w:r>
        <w:rPr>
          <w:rFonts w:ascii="Arial" w:cs="Arial" w:eastAsia="Arial" w:hAnsi="Arial"/>
          <w:sz w:val="14"/>
          <w:szCs w:val="14"/>
          <w:color w:val="auto"/>
        </w:rPr>
        <w:t>Shares of Common Stock to be delivered to a Participant under the Plan will be registered in the name of the Participant or, if so required under Applicable Laws, in the name of the Participant and his or her spouse.</w:t>
      </w:r>
    </w:p>
    <w:p>
      <w:pPr>
        <w:spacing w:after="0" w:line="139" w:lineRule="exact"/>
        <w:rPr>
          <w:rFonts w:ascii="Arial" w:cs="Arial" w:eastAsia="Arial" w:hAnsi="Arial"/>
          <w:sz w:val="14"/>
          <w:szCs w:val="14"/>
          <w:color w:val="auto"/>
        </w:rPr>
      </w:pPr>
    </w:p>
    <w:p>
      <w:pPr>
        <w:ind w:left="360" w:right="399" w:firstLine="334"/>
        <w:spacing w:after="0" w:line="245" w:lineRule="auto"/>
        <w:tabs>
          <w:tab w:leader="none" w:pos="995"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Administration</w:t>
      </w:r>
      <w:r>
        <w:rPr>
          <w:rFonts w:ascii="Arial" w:cs="Arial" w:eastAsia="Arial" w:hAnsi="Arial"/>
          <w:sz w:val="14"/>
          <w:szCs w:val="14"/>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0" w:right="1440" w:bottom="1440" w:gutter="0" w:footer="0" w:header="0"/>
        </w:sectPr>
      </w:pPr>
    </w:p>
    <w:bookmarkStart w:id="139" w:name="page140"/>
    <w:bookmarkEnd w:id="139"/>
    <w:p>
      <w:pPr>
        <w:ind w:left="360" w:right="379"/>
        <w:spacing w:after="0" w:line="28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sub-plans, and appendices to the enrollment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6" w:lineRule="exact"/>
        <w:rPr>
          <w:sz w:val="20"/>
          <w:szCs w:val="20"/>
          <w:color w:val="auto"/>
        </w:rPr>
      </w:pPr>
    </w:p>
    <w:p>
      <w:pPr>
        <w:ind w:left="360" w:right="459" w:firstLine="334"/>
        <w:spacing w:after="0" w:line="302" w:lineRule="auto"/>
        <w:tabs>
          <w:tab w:leader="none" w:pos="995" w:val="left"/>
        </w:tabs>
        <w:numPr>
          <w:ilvl w:val="0"/>
          <w:numId w:val="173"/>
        </w:numPr>
        <w:rPr>
          <w:rFonts w:ascii="Arial" w:cs="Arial" w:eastAsia="Arial" w:hAnsi="Arial"/>
          <w:sz w:val="12"/>
          <w:szCs w:val="12"/>
          <w:color w:val="auto"/>
        </w:rPr>
      </w:pPr>
      <w:r>
        <w:rPr>
          <w:rFonts w:ascii="Arial" w:cs="Arial" w:eastAsia="Arial" w:hAnsi="Arial"/>
          <w:sz w:val="12"/>
          <w:szCs w:val="12"/>
          <w:u w:val="single" w:color="auto"/>
          <w:color w:val="auto"/>
        </w:rPr>
        <w:t>Transferability</w:t>
      </w:r>
      <w:r>
        <w:rPr>
          <w:rFonts w:ascii="Arial" w:cs="Arial" w:eastAsia="Arial" w:hAnsi="Arial"/>
          <w:sz w:val="12"/>
          <w:szCs w:val="12"/>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17" w:lineRule="exact"/>
        <w:rPr>
          <w:rFonts w:ascii="Arial" w:cs="Arial" w:eastAsia="Arial" w:hAnsi="Arial"/>
          <w:sz w:val="12"/>
          <w:szCs w:val="12"/>
          <w:color w:val="auto"/>
        </w:rPr>
      </w:pPr>
    </w:p>
    <w:p>
      <w:pPr>
        <w:ind w:left="360" w:right="379" w:firstLine="334"/>
        <w:spacing w:after="0" w:line="294" w:lineRule="auto"/>
        <w:tabs>
          <w:tab w:leader="none" w:pos="995" w:val="left"/>
        </w:tabs>
        <w:numPr>
          <w:ilvl w:val="0"/>
          <w:numId w:val="173"/>
        </w:numPr>
        <w:rPr>
          <w:rFonts w:ascii="Arial" w:cs="Arial" w:eastAsia="Arial" w:hAnsi="Arial"/>
          <w:sz w:val="12"/>
          <w:szCs w:val="12"/>
          <w:color w:val="auto"/>
        </w:rPr>
      </w:pPr>
      <w:r>
        <w:rPr>
          <w:rFonts w:ascii="Arial" w:cs="Arial" w:eastAsia="Arial" w:hAnsi="Arial"/>
          <w:sz w:val="12"/>
          <w:szCs w:val="12"/>
          <w:u w:val="single" w:color="auto"/>
          <w:color w:val="auto"/>
        </w:rPr>
        <w:t>Use of Funds</w:t>
      </w:r>
      <w:r>
        <w:rPr>
          <w:rFonts w:ascii="Arial" w:cs="Arial" w:eastAsia="Arial" w:hAnsi="Arial"/>
          <w:sz w:val="12"/>
          <w:szCs w:val="12"/>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of Common Stock are issued, Participants will only have the rights of an unsecured creditor with respect to such shares.</w:t>
      </w:r>
    </w:p>
    <w:p>
      <w:pPr>
        <w:spacing w:after="0" w:line="122" w:lineRule="exact"/>
        <w:rPr>
          <w:rFonts w:ascii="Arial" w:cs="Arial" w:eastAsia="Arial" w:hAnsi="Arial"/>
          <w:sz w:val="12"/>
          <w:szCs w:val="12"/>
          <w:color w:val="auto"/>
        </w:rPr>
      </w:pPr>
    </w:p>
    <w:p>
      <w:pPr>
        <w:ind w:left="360" w:right="399" w:firstLine="334"/>
        <w:spacing w:after="0" w:line="250" w:lineRule="auto"/>
        <w:tabs>
          <w:tab w:leader="none" w:pos="995"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Reports</w:t>
      </w:r>
      <w:r>
        <w:rPr>
          <w:rFonts w:ascii="Arial" w:cs="Arial" w:eastAsia="Arial" w:hAnsi="Arial"/>
          <w:sz w:val="14"/>
          <w:szCs w:val="14"/>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46" w:lineRule="exact"/>
        <w:rPr>
          <w:rFonts w:ascii="Arial" w:cs="Arial" w:eastAsia="Arial" w:hAnsi="Arial"/>
          <w:sz w:val="14"/>
          <w:szCs w:val="14"/>
          <w:color w:val="auto"/>
        </w:rPr>
      </w:pPr>
    </w:p>
    <w:p>
      <w:pPr>
        <w:ind w:left="1000" w:hanging="306"/>
        <w:spacing w:after="0"/>
        <w:tabs>
          <w:tab w:leader="none" w:pos="1000"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Adjustments, Dissolution, Liquidation, Merger or Change in Control</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59" w:firstLine="749"/>
        <w:spacing w:after="0" w:line="294" w:lineRule="auto"/>
        <w:tabs>
          <w:tab w:leader="none" w:pos="1391" w:val="left"/>
        </w:tabs>
        <w:numPr>
          <w:ilvl w:val="1"/>
          <w:numId w:val="173"/>
        </w:numPr>
        <w:rPr>
          <w:rFonts w:ascii="Arial" w:cs="Arial" w:eastAsia="Arial" w:hAnsi="Arial"/>
          <w:sz w:val="12"/>
          <w:szCs w:val="12"/>
          <w:color w:val="auto"/>
        </w:rPr>
      </w:pPr>
      <w:r>
        <w:rPr>
          <w:rFonts w:ascii="Arial" w:cs="Arial" w:eastAsia="Arial" w:hAnsi="Arial"/>
          <w:sz w:val="12"/>
          <w:szCs w:val="12"/>
          <w:u w:val="single" w:color="auto"/>
          <w:color w:val="auto"/>
        </w:rPr>
        <w:t>Adjustments</w:t>
      </w:r>
      <w:r>
        <w:rPr>
          <w:rFonts w:ascii="Arial" w:cs="Arial" w:eastAsia="Arial" w:hAnsi="Arial"/>
          <w:sz w:val="12"/>
          <w:szCs w:val="12"/>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40" w:name="page141"/>
    <w:bookmarkEnd w:id="140"/>
    <w:p>
      <w:pPr>
        <w:ind w:left="3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shares of Common Stock covered by each option under the Plan that has not yet been exercised, and the numerical limits of Sections 7 and 13.</w:t>
      </w:r>
    </w:p>
    <w:p>
      <w:pPr>
        <w:spacing w:after="0" w:line="187" w:lineRule="exact"/>
        <w:rPr>
          <w:sz w:val="20"/>
          <w:szCs w:val="20"/>
          <w:color w:val="auto"/>
        </w:rPr>
      </w:pPr>
    </w:p>
    <w:p>
      <w:pPr>
        <w:ind w:left="360" w:right="539" w:firstLine="749"/>
        <w:spacing w:after="0" w:line="294" w:lineRule="auto"/>
        <w:tabs>
          <w:tab w:leader="none" w:pos="1398" w:val="left"/>
        </w:tabs>
        <w:numPr>
          <w:ilvl w:val="1"/>
          <w:numId w:val="174"/>
        </w:numPr>
        <w:rPr>
          <w:rFonts w:ascii="Arial" w:cs="Arial" w:eastAsia="Arial" w:hAnsi="Arial"/>
          <w:sz w:val="12"/>
          <w:szCs w:val="12"/>
          <w:color w:val="auto"/>
        </w:rPr>
      </w:pPr>
      <w:r>
        <w:rPr>
          <w:rFonts w:ascii="Arial" w:cs="Arial" w:eastAsia="Arial" w:hAnsi="Arial"/>
          <w:sz w:val="12"/>
          <w:szCs w:val="12"/>
          <w:u w:val="single" w:color="auto"/>
          <w:color w:val="auto"/>
        </w:rPr>
        <w:t>Dissolution or Liquidation</w:t>
      </w:r>
      <w:r>
        <w:rPr>
          <w:rFonts w:ascii="Arial" w:cs="Arial" w:eastAsia="Arial" w:hAnsi="Arial"/>
          <w:sz w:val="12"/>
          <w:szCs w:val="12"/>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22" w:lineRule="exact"/>
        <w:rPr>
          <w:rFonts w:ascii="Arial" w:cs="Arial" w:eastAsia="Arial" w:hAnsi="Arial"/>
          <w:sz w:val="12"/>
          <w:szCs w:val="12"/>
          <w:color w:val="auto"/>
        </w:rPr>
      </w:pPr>
    </w:p>
    <w:p>
      <w:pPr>
        <w:ind w:left="360" w:right="439" w:firstLine="749"/>
        <w:spacing w:after="0" w:line="292" w:lineRule="auto"/>
        <w:tabs>
          <w:tab w:leader="none" w:pos="1391" w:val="left"/>
        </w:tabs>
        <w:numPr>
          <w:ilvl w:val="1"/>
          <w:numId w:val="174"/>
        </w:numPr>
        <w:rPr>
          <w:rFonts w:ascii="Arial" w:cs="Arial" w:eastAsia="Arial" w:hAnsi="Arial"/>
          <w:sz w:val="12"/>
          <w:szCs w:val="12"/>
          <w:color w:val="auto"/>
        </w:rPr>
      </w:pPr>
      <w:r>
        <w:rPr>
          <w:rFonts w:ascii="Arial" w:cs="Arial" w:eastAsia="Arial" w:hAnsi="Arial"/>
          <w:sz w:val="12"/>
          <w:szCs w:val="12"/>
          <w:u w:val="single" w:color="auto"/>
          <w:color w:val="auto"/>
        </w:rPr>
        <w:t>Merger or Change in Control</w:t>
      </w:r>
      <w:r>
        <w:rPr>
          <w:rFonts w:ascii="Arial" w:cs="Arial" w:eastAsia="Arial" w:hAnsi="Arial"/>
          <w:sz w:val="12"/>
          <w:szCs w:val="12"/>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23" w:lineRule="exact"/>
        <w:rPr>
          <w:rFonts w:ascii="Arial" w:cs="Arial" w:eastAsia="Arial" w:hAnsi="Arial"/>
          <w:sz w:val="12"/>
          <w:szCs w:val="12"/>
          <w:color w:val="auto"/>
        </w:rPr>
      </w:pPr>
    </w:p>
    <w:p>
      <w:pPr>
        <w:ind w:left="1000" w:hanging="306"/>
        <w:spacing w:after="0"/>
        <w:tabs>
          <w:tab w:leader="none" w:pos="100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Amendment or Termination</w:t>
      </w:r>
      <w:r>
        <w:rPr>
          <w:rFonts w:ascii="Arial" w:cs="Arial" w:eastAsia="Arial" w:hAnsi="Arial"/>
          <w:sz w:val="14"/>
          <w:szCs w:val="14"/>
          <w:color w:val="auto"/>
        </w:rPr>
        <w:t>.</w:t>
      </w:r>
    </w:p>
    <w:p>
      <w:pPr>
        <w:spacing w:after="0" w:line="163" w:lineRule="exact"/>
        <w:rPr>
          <w:rFonts w:ascii="Arial" w:cs="Arial" w:eastAsia="Arial" w:hAnsi="Arial"/>
          <w:sz w:val="14"/>
          <w:szCs w:val="14"/>
          <w:color w:val="auto"/>
        </w:rPr>
      </w:pPr>
    </w:p>
    <w:p>
      <w:pPr>
        <w:ind w:left="360" w:right="419" w:firstLine="749"/>
        <w:spacing w:after="0" w:line="292" w:lineRule="auto"/>
        <w:tabs>
          <w:tab w:leader="none" w:pos="1388" w:val="left"/>
        </w:tabs>
        <w:numPr>
          <w:ilvl w:val="1"/>
          <w:numId w:val="175"/>
        </w:numPr>
        <w:rPr>
          <w:rFonts w:ascii="Arial" w:cs="Arial" w:eastAsia="Arial" w:hAnsi="Arial"/>
          <w:sz w:val="12"/>
          <w:szCs w:val="12"/>
          <w:color w:val="auto"/>
        </w:rPr>
      </w:pPr>
      <w:r>
        <w:rPr>
          <w:rFonts w:ascii="Arial" w:cs="Arial" w:eastAsia="Arial" w:hAnsi="Arial"/>
          <w:sz w:val="12"/>
          <w:szCs w:val="12"/>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23" w:lineRule="exact"/>
        <w:rPr>
          <w:rFonts w:ascii="Arial" w:cs="Arial" w:eastAsia="Arial" w:hAnsi="Arial"/>
          <w:sz w:val="12"/>
          <w:szCs w:val="12"/>
          <w:color w:val="auto"/>
        </w:rPr>
      </w:pPr>
    </w:p>
    <w:p>
      <w:pPr>
        <w:ind w:left="360" w:right="399" w:firstLine="749"/>
        <w:spacing w:after="0" w:line="292" w:lineRule="auto"/>
        <w:tabs>
          <w:tab w:leader="none" w:pos="1396" w:val="left"/>
        </w:tabs>
        <w:numPr>
          <w:ilvl w:val="1"/>
          <w:numId w:val="175"/>
        </w:numPr>
        <w:rPr>
          <w:rFonts w:ascii="Arial" w:cs="Arial" w:eastAsia="Arial" w:hAnsi="Arial"/>
          <w:sz w:val="12"/>
          <w:szCs w:val="12"/>
          <w:color w:val="auto"/>
        </w:rPr>
      </w:pPr>
      <w:r>
        <w:rPr>
          <w:rFonts w:ascii="Arial" w:cs="Arial" w:eastAsia="Arial" w:hAnsi="Arial"/>
          <w:sz w:val="12"/>
          <w:szCs w:val="12"/>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23" w:lineRule="exact"/>
        <w:rPr>
          <w:rFonts w:ascii="Arial" w:cs="Arial" w:eastAsia="Arial" w:hAnsi="Arial"/>
          <w:sz w:val="12"/>
          <w:szCs w:val="12"/>
          <w:color w:val="auto"/>
        </w:rPr>
      </w:pPr>
    </w:p>
    <w:p>
      <w:pPr>
        <w:ind w:left="360" w:right="739" w:firstLine="749"/>
        <w:spacing w:after="0" w:line="250" w:lineRule="auto"/>
        <w:tabs>
          <w:tab w:leader="none" w:pos="1391" w:val="left"/>
        </w:tabs>
        <w:numPr>
          <w:ilvl w:val="1"/>
          <w:numId w:val="175"/>
        </w:numPr>
        <w:rPr>
          <w:rFonts w:ascii="Arial" w:cs="Arial" w:eastAsia="Arial" w:hAnsi="Arial"/>
          <w:sz w:val="14"/>
          <w:szCs w:val="14"/>
          <w:color w:val="auto"/>
        </w:rPr>
      </w:pPr>
      <w:r>
        <w:rPr>
          <w:rFonts w:ascii="Arial" w:cs="Arial" w:eastAsia="Arial" w:hAnsi="Arial"/>
          <w:sz w:val="14"/>
          <w:szCs w:val="14"/>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65" w:lineRule="exact"/>
        <w:rPr>
          <w:rFonts w:ascii="Arial" w:cs="Arial" w:eastAsia="Arial" w:hAnsi="Arial"/>
          <w:sz w:val="14"/>
          <w:szCs w:val="14"/>
          <w:color w:val="auto"/>
        </w:rPr>
      </w:pPr>
    </w:p>
    <w:p>
      <w:pPr>
        <w:ind w:left="360" w:right="659" w:firstLine="1080"/>
        <w:spacing w:after="0" w:line="342" w:lineRule="auto"/>
        <w:tabs>
          <w:tab w:leader="none" w:pos="1700" w:val="left"/>
        </w:tabs>
        <w:numPr>
          <w:ilvl w:val="2"/>
          <w:numId w:val="175"/>
        </w:numPr>
        <w:rPr>
          <w:rFonts w:ascii="Arial" w:cs="Arial" w:eastAsia="Arial" w:hAnsi="Arial"/>
          <w:sz w:val="12"/>
          <w:szCs w:val="12"/>
          <w:color w:val="auto"/>
        </w:rPr>
      </w:pPr>
      <w:r>
        <w:rPr>
          <w:rFonts w:ascii="Arial" w:cs="Arial" w:eastAsia="Arial" w:hAnsi="Arial"/>
          <w:sz w:val="12"/>
          <w:szCs w:val="12"/>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240" w:right="1440" w:bottom="1440" w:gutter="0" w:footer="0" w:header="0"/>
        </w:sectPr>
      </w:pPr>
    </w:p>
    <w:bookmarkStart w:id="141" w:name="page142"/>
    <w:bookmarkEnd w:id="141"/>
    <w:p>
      <w:pPr>
        <w:ind w:left="360" w:right="819" w:firstLine="1080"/>
        <w:spacing w:after="0" w:line="259" w:lineRule="auto"/>
        <w:tabs>
          <w:tab w:leader="none" w:pos="1737" w:val="left"/>
        </w:tabs>
        <w:numPr>
          <w:ilvl w:val="0"/>
          <w:numId w:val="17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altering the Purchase Price for any Offering Period or Purchase Period including an Offering Period or Purchase Period underway at the time of the change in Purchase Price;</w:t>
      </w:r>
    </w:p>
    <w:p>
      <w:pPr>
        <w:spacing w:after="0" w:line="139" w:lineRule="exact"/>
        <w:rPr>
          <w:rFonts w:ascii="Arial" w:cs="Arial" w:eastAsia="Arial" w:hAnsi="Arial"/>
          <w:sz w:val="14"/>
          <w:szCs w:val="14"/>
          <w:color w:val="auto"/>
        </w:rPr>
      </w:pPr>
    </w:p>
    <w:p>
      <w:pPr>
        <w:ind w:left="360" w:right="479" w:firstLine="1080"/>
        <w:spacing w:after="0" w:line="259" w:lineRule="auto"/>
        <w:tabs>
          <w:tab w:leader="none" w:pos="1775" w:val="left"/>
        </w:tabs>
        <w:numPr>
          <w:ilvl w:val="0"/>
          <w:numId w:val="176"/>
        </w:numPr>
        <w:rPr>
          <w:rFonts w:ascii="Arial" w:cs="Arial" w:eastAsia="Arial" w:hAnsi="Arial"/>
          <w:sz w:val="14"/>
          <w:szCs w:val="14"/>
          <w:color w:val="auto"/>
        </w:rPr>
      </w:pPr>
      <w:r>
        <w:rPr>
          <w:rFonts w:ascii="Arial" w:cs="Arial" w:eastAsia="Arial" w:hAnsi="Arial"/>
          <w:sz w:val="14"/>
          <w:szCs w:val="14"/>
          <w:color w:val="auto"/>
        </w:rPr>
        <w:t>shortening any Offering Period or Purchase Period by setting a New Exercise Date, including an Offering Period or Purchase Period underway at the time of the Administrator action;</w:t>
      </w:r>
    </w:p>
    <w:p>
      <w:pPr>
        <w:spacing w:after="0" w:line="220" w:lineRule="exact"/>
        <w:rPr>
          <w:rFonts w:ascii="Arial" w:cs="Arial" w:eastAsia="Arial" w:hAnsi="Arial"/>
          <w:sz w:val="14"/>
          <w:szCs w:val="14"/>
          <w:color w:val="auto"/>
        </w:rPr>
      </w:pPr>
    </w:p>
    <w:p>
      <w:pPr>
        <w:ind w:left="1780" w:hanging="340"/>
        <w:spacing w:after="0"/>
        <w:tabs>
          <w:tab w:leader="none" w:pos="17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reducing the maximum percentage of Compensation a Participant may elect to set aside as Contributions; and</w:t>
      </w:r>
    </w:p>
    <w:p>
      <w:pPr>
        <w:spacing w:after="0" w:line="163" w:lineRule="exact"/>
        <w:rPr>
          <w:rFonts w:ascii="Arial" w:cs="Arial" w:eastAsia="Arial" w:hAnsi="Arial"/>
          <w:sz w:val="14"/>
          <w:szCs w:val="14"/>
          <w:color w:val="auto"/>
        </w:rPr>
      </w:pPr>
    </w:p>
    <w:p>
      <w:pPr>
        <w:ind w:left="1740" w:hanging="300"/>
        <w:spacing w:after="0"/>
        <w:tabs>
          <w:tab w:leader="none" w:pos="174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reducing the maximum number of shares of Common Stock a Participant may purchase during any Offering Period or Purchase</w:t>
      </w:r>
    </w:p>
    <w:p>
      <w:pPr>
        <w:spacing w:after="0" w:line="34" w:lineRule="exact"/>
        <w:rPr>
          <w:rFonts w:ascii="Arial" w:cs="Arial" w:eastAsia="Arial" w:hAnsi="Arial"/>
          <w:sz w:val="12"/>
          <w:szCs w:val="12"/>
          <w:color w:val="auto"/>
        </w:rPr>
      </w:pPr>
    </w:p>
    <w:p>
      <w:pPr>
        <w:ind w:left="360"/>
        <w:spacing w:after="0"/>
        <w:rPr>
          <w:rFonts w:ascii="Arial" w:cs="Arial" w:eastAsia="Arial" w:hAnsi="Arial"/>
          <w:sz w:val="12"/>
          <w:szCs w:val="12"/>
          <w:color w:val="auto"/>
        </w:rPr>
      </w:pPr>
      <w:r>
        <w:rPr>
          <w:rFonts w:ascii="Arial" w:cs="Arial" w:eastAsia="Arial" w:hAnsi="Arial"/>
          <w:sz w:val="14"/>
          <w:szCs w:val="14"/>
          <w:color w:val="auto"/>
        </w:rPr>
        <w:t>Period.</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Such modifications or amendments will not require stockholder approval or the consent of any Participants.</w:t>
      </w:r>
    </w:p>
    <w:p>
      <w:pPr>
        <w:spacing w:after="0" w:line="164" w:lineRule="exact"/>
        <w:rPr>
          <w:sz w:val="20"/>
          <w:szCs w:val="20"/>
          <w:color w:val="auto"/>
        </w:rPr>
      </w:pPr>
    </w:p>
    <w:p>
      <w:pPr>
        <w:jc w:val="both"/>
        <w:ind w:left="360" w:right="499" w:firstLine="334"/>
        <w:spacing w:after="0" w:line="250" w:lineRule="auto"/>
        <w:tabs>
          <w:tab w:leader="none" w:pos="995" w:val="left"/>
        </w:tabs>
        <w:numPr>
          <w:ilvl w:val="0"/>
          <w:numId w:val="177"/>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46" w:lineRule="exact"/>
        <w:rPr>
          <w:rFonts w:ascii="Arial" w:cs="Arial" w:eastAsia="Arial" w:hAnsi="Arial"/>
          <w:sz w:val="14"/>
          <w:szCs w:val="14"/>
          <w:color w:val="auto"/>
        </w:rPr>
      </w:pPr>
    </w:p>
    <w:p>
      <w:pPr>
        <w:ind w:left="360" w:right="379" w:firstLine="334"/>
        <w:spacing w:after="0" w:line="246" w:lineRule="auto"/>
        <w:tabs>
          <w:tab w:leader="none" w:pos="995" w:val="left"/>
        </w:tabs>
        <w:numPr>
          <w:ilvl w:val="0"/>
          <w:numId w:val="177"/>
        </w:numPr>
        <w:rPr>
          <w:rFonts w:ascii="Arial" w:cs="Arial" w:eastAsia="Arial" w:hAnsi="Arial"/>
          <w:sz w:val="14"/>
          <w:szCs w:val="14"/>
          <w:color w:val="auto"/>
        </w:rPr>
      </w:pPr>
      <w:r>
        <w:rPr>
          <w:rFonts w:ascii="Arial" w:cs="Arial" w:eastAsia="Arial" w:hAnsi="Arial"/>
          <w:sz w:val="14"/>
          <w:szCs w:val="14"/>
          <w:u w:val="single" w:color="auto"/>
          <w:color w:val="auto"/>
        </w:rPr>
        <w:t>Conditions Upon Issuance of Shares</w:t>
      </w:r>
      <w:r>
        <w:rPr>
          <w:rFonts w:ascii="Arial" w:cs="Arial" w:eastAsia="Arial" w:hAnsi="Arial"/>
          <w:sz w:val="14"/>
          <w:szCs w:val="14"/>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49" w:lineRule="exact"/>
        <w:rPr>
          <w:sz w:val="20"/>
          <w:szCs w:val="20"/>
          <w:color w:val="auto"/>
        </w:rPr>
      </w:pPr>
    </w:p>
    <w:p>
      <w:pPr>
        <w:jc w:val="both"/>
        <w:ind w:left="360" w:right="379" w:firstLine="331"/>
        <w:spacing w:after="0" w:line="312" w:lineRule="auto"/>
        <w:rPr>
          <w:sz w:val="20"/>
          <w:szCs w:val="20"/>
          <w:color w:val="auto"/>
        </w:rPr>
      </w:pPr>
      <w:r>
        <w:rPr>
          <w:rFonts w:ascii="Arial" w:cs="Arial" w:eastAsia="Arial" w:hAnsi="Arial"/>
          <w:sz w:val="12"/>
          <w:szCs w:val="1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11" w:lineRule="exact"/>
        <w:rPr>
          <w:sz w:val="20"/>
          <w:szCs w:val="20"/>
          <w:color w:val="auto"/>
        </w:rPr>
      </w:pPr>
    </w:p>
    <w:p>
      <w:pPr>
        <w:ind w:left="360" w:right="399" w:firstLine="334"/>
        <w:spacing w:after="0" w:line="288" w:lineRule="auto"/>
        <w:tabs>
          <w:tab w:leader="none" w:pos="995" w:val="left"/>
        </w:tabs>
        <w:numPr>
          <w:ilvl w:val="0"/>
          <w:numId w:val="178"/>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xml:space="preserve"> The 423 Component of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shall have no obligation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27" w:lineRule="exact"/>
        <w:rPr>
          <w:rFonts w:ascii="Arial" w:cs="Arial" w:eastAsia="Arial" w:hAnsi="Arial"/>
          <w:sz w:val="12"/>
          <w:szCs w:val="12"/>
          <w:color w:val="auto"/>
        </w:rPr>
      </w:pPr>
    </w:p>
    <w:p>
      <w:pPr>
        <w:ind w:left="360" w:right="819" w:firstLine="334"/>
        <w:spacing w:after="0" w:line="342" w:lineRule="auto"/>
        <w:tabs>
          <w:tab w:leader="none" w:pos="995" w:val="left"/>
        </w:tabs>
        <w:numPr>
          <w:ilvl w:val="0"/>
          <w:numId w:val="178"/>
        </w:numPr>
        <w:rPr>
          <w:rFonts w:ascii="Arial" w:cs="Arial" w:eastAsia="Arial" w:hAnsi="Arial"/>
          <w:sz w:val="12"/>
          <w:szCs w:val="12"/>
          <w:color w:val="auto"/>
        </w:rPr>
      </w:pPr>
      <w:r>
        <w:rPr>
          <w:rFonts w:ascii="Arial" w:cs="Arial" w:eastAsia="Arial" w:hAnsi="Arial"/>
          <w:sz w:val="12"/>
          <w:szCs w:val="12"/>
          <w:u w:val="single" w:color="auto"/>
          <w:color w:val="auto"/>
        </w:rPr>
        <w:t>Term of Plan</w:t>
      </w:r>
      <w:r>
        <w:rPr>
          <w:rFonts w:ascii="Arial" w:cs="Arial" w:eastAsia="Arial" w:hAnsi="Arial"/>
          <w:sz w:val="12"/>
          <w:szCs w:val="12"/>
          <w:color w:val="auto"/>
        </w:rPr>
        <w:t>. The Plan will become effective upon the later to occur of (a) its adoption by the Board, (b) approval by the Company’s stockholders or (c) the Effective Date. It will continue in effect for a term of twenty (20) years, unless sooner terminated under Section 19.</w:t>
      </w:r>
    </w:p>
    <w:p>
      <w:pPr>
        <w:spacing w:after="0" w:line="93" w:lineRule="exact"/>
        <w:rPr>
          <w:rFonts w:ascii="Arial" w:cs="Arial" w:eastAsia="Arial" w:hAnsi="Arial"/>
          <w:sz w:val="12"/>
          <w:szCs w:val="12"/>
          <w:color w:val="auto"/>
        </w:rPr>
      </w:pPr>
    </w:p>
    <w:p>
      <w:pPr>
        <w:ind w:left="360" w:right="399" w:firstLine="334"/>
        <w:spacing w:after="0" w:line="342" w:lineRule="auto"/>
        <w:tabs>
          <w:tab w:leader="none" w:pos="995" w:val="left"/>
        </w:tabs>
        <w:numPr>
          <w:ilvl w:val="0"/>
          <w:numId w:val="178"/>
        </w:numPr>
        <w:rPr>
          <w:rFonts w:ascii="Arial" w:cs="Arial" w:eastAsia="Arial" w:hAnsi="Arial"/>
          <w:sz w:val="12"/>
          <w:szCs w:val="12"/>
          <w:color w:val="auto"/>
        </w:rPr>
      </w:pPr>
      <w:r>
        <w:rPr>
          <w:rFonts w:ascii="Arial" w:cs="Arial" w:eastAsia="Arial" w:hAnsi="Arial"/>
          <w:sz w:val="12"/>
          <w:szCs w:val="12"/>
          <w:u w:val="single" w:color="auto"/>
          <w:color w:val="auto"/>
        </w:rPr>
        <w:t>Stockholder Approval</w:t>
      </w:r>
      <w:r>
        <w:rPr>
          <w:rFonts w:ascii="Arial" w:cs="Arial" w:eastAsia="Arial" w:hAnsi="Arial"/>
          <w:sz w:val="12"/>
          <w:szCs w:val="1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40" w:right="1440" w:bottom="1440" w:gutter="0" w:footer="0" w:header="0"/>
        </w:sectPr>
      </w:pPr>
    </w:p>
    <w:bookmarkStart w:id="142" w:name="page143"/>
    <w:bookmarkEnd w:id="142"/>
    <w:p>
      <w:pPr>
        <w:ind w:left="360" w:right="559" w:firstLine="334"/>
        <w:spacing w:after="0" w:line="259" w:lineRule="auto"/>
        <w:tabs>
          <w:tab w:leader="none" w:pos="995"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Governing Law</w:t>
      </w:r>
      <w:r>
        <w:rPr>
          <w:rFonts w:ascii="Arial" w:cs="Arial" w:eastAsia="Arial" w:hAnsi="Arial"/>
          <w:sz w:val="14"/>
          <w:szCs w:val="14"/>
          <w:color w:val="auto"/>
        </w:rPr>
        <w:t>. The Plan will be governed by, and construed in accordance with, the laws of the State of California (except its choice-of-law provisions).</w:t>
      </w:r>
    </w:p>
    <w:p>
      <w:pPr>
        <w:spacing w:after="0" w:line="139" w:lineRule="exact"/>
        <w:rPr>
          <w:rFonts w:ascii="Arial" w:cs="Arial" w:eastAsia="Arial" w:hAnsi="Arial"/>
          <w:sz w:val="14"/>
          <w:szCs w:val="14"/>
          <w:color w:val="auto"/>
        </w:rPr>
      </w:pPr>
    </w:p>
    <w:p>
      <w:pPr>
        <w:ind w:left="360" w:right="419" w:firstLine="334"/>
        <w:spacing w:after="0" w:line="250" w:lineRule="auto"/>
        <w:tabs>
          <w:tab w:leader="none" w:pos="995"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No Right to Employment</w:t>
      </w:r>
      <w:r>
        <w:rPr>
          <w:rFonts w:ascii="Arial" w:cs="Arial" w:eastAsia="Arial" w:hAnsi="Arial"/>
          <w:sz w:val="14"/>
          <w:szCs w:val="14"/>
          <w:color w:val="auto"/>
        </w:rPr>
        <w:t>. Participation in the Plan by a Participant will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46" w:lineRule="exact"/>
        <w:rPr>
          <w:rFonts w:ascii="Arial" w:cs="Arial" w:eastAsia="Arial" w:hAnsi="Arial"/>
          <w:sz w:val="14"/>
          <w:szCs w:val="14"/>
          <w:color w:val="auto"/>
        </w:rPr>
      </w:pPr>
    </w:p>
    <w:p>
      <w:pPr>
        <w:ind w:left="360" w:right="399" w:firstLine="334"/>
        <w:spacing w:after="0" w:line="312" w:lineRule="auto"/>
        <w:tabs>
          <w:tab w:leader="none" w:pos="995"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11" w:lineRule="exact"/>
        <w:rPr>
          <w:rFonts w:ascii="Arial" w:cs="Arial" w:eastAsia="Arial" w:hAnsi="Arial"/>
          <w:sz w:val="12"/>
          <w:szCs w:val="12"/>
          <w:color w:val="auto"/>
        </w:rPr>
      </w:pPr>
    </w:p>
    <w:p>
      <w:pPr>
        <w:ind w:left="360" w:right="1019" w:firstLine="334"/>
        <w:spacing w:after="0" w:line="259" w:lineRule="auto"/>
        <w:tabs>
          <w:tab w:leader="none" w:pos="995"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Compliance with Applicable Laws</w:t>
      </w:r>
      <w:r>
        <w:rPr>
          <w:rFonts w:ascii="Arial" w:cs="Arial" w:eastAsia="Arial" w:hAnsi="Arial"/>
          <w:sz w:val="14"/>
          <w:szCs w:val="14"/>
          <w:color w:val="auto"/>
        </w:rPr>
        <w:t>. The terms of this Plan are intended to comply with all Applicable Laws and will be construed accordingly.</w:t>
      </w:r>
    </w:p>
    <w:p>
      <w:pPr>
        <w:spacing w:after="0" w:line="139" w:lineRule="exact"/>
        <w:rPr>
          <w:rFonts w:ascii="Arial" w:cs="Arial" w:eastAsia="Arial" w:hAnsi="Arial"/>
          <w:sz w:val="14"/>
          <w:szCs w:val="14"/>
          <w:color w:val="auto"/>
        </w:rPr>
      </w:pPr>
    </w:p>
    <w:p>
      <w:pPr>
        <w:jc w:val="both"/>
        <w:ind w:left="360" w:right="599" w:firstLine="334"/>
        <w:spacing w:after="0" w:line="302" w:lineRule="auto"/>
        <w:tabs>
          <w:tab w:leader="none" w:pos="995"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Automatic Transfer to Low Price Offering Period</w:t>
      </w:r>
      <w:r>
        <w:rPr>
          <w:rFonts w:ascii="Arial" w:cs="Arial" w:eastAsia="Arial" w:hAnsi="Arial"/>
          <w:sz w:val="12"/>
          <w:szCs w:val="12"/>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240"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A</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EMPLOYEE STOCK PURCHASE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SUBSCRIPTION AGREEMENT</w:t>
      </w:r>
    </w:p>
    <w:p>
      <w:pPr>
        <w:spacing w:after="0" w:line="186" w:lineRule="exact"/>
        <w:rPr>
          <w:sz w:val="20"/>
          <w:szCs w:val="20"/>
          <w:color w:val="auto"/>
        </w:rPr>
      </w:pPr>
    </w:p>
    <w:p>
      <w:pPr>
        <w:ind w:left="760"/>
        <w:spacing w:after="0"/>
        <w:tabs>
          <w:tab w:leader="none" w:pos="7120" w:val="left"/>
        </w:tabs>
        <w:rPr>
          <w:sz w:val="20"/>
          <w:szCs w:val="20"/>
          <w:color w:val="auto"/>
        </w:rPr>
      </w:pPr>
      <w:r>
        <w:rPr>
          <w:rFonts w:ascii="Arial" w:cs="Arial" w:eastAsia="Arial" w:hAnsi="Arial"/>
          <w:sz w:val="14"/>
          <w:szCs w:val="14"/>
          <w:color w:val="auto"/>
        </w:rPr>
        <w:t>Original Application</w:t>
      </w:r>
      <w:r>
        <w:rPr>
          <w:sz w:val="20"/>
          <w:szCs w:val="20"/>
          <w:color w:val="auto"/>
        </w:rPr>
        <w:tab/>
      </w:r>
      <w:r>
        <w:rPr>
          <w:rFonts w:ascii="Arial" w:cs="Arial" w:eastAsia="Arial" w:hAnsi="Arial"/>
          <w:sz w:val="12"/>
          <w:szCs w:val="12"/>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5059680</wp:posOffset>
            </wp:positionH>
            <wp:positionV relativeFrom="paragraph">
              <wp:posOffset>-10795</wp:posOffset>
            </wp:positionV>
            <wp:extent cx="42926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429260" cy="6350"/>
                    </a:xfrm>
                    <a:prstGeom prst="rect">
                      <a:avLst/>
                    </a:prstGeom>
                    <a:noFill/>
                  </pic:spPr>
                </pic:pic>
              </a:graphicData>
            </a:graphic>
          </wp:anchor>
        </w:drawing>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4"/>
          <w:szCs w:val="14"/>
          <w:color w:val="auto"/>
        </w:rPr>
        <w:t>Change in Payroll Deduction Rate</w:t>
      </w:r>
    </w:p>
    <w:p>
      <w:pPr>
        <w:spacing w:after="0" w:line="164" w:lineRule="exact"/>
        <w:rPr>
          <w:sz w:val="20"/>
          <w:szCs w:val="20"/>
          <w:color w:val="auto"/>
        </w:rPr>
      </w:pPr>
    </w:p>
    <w:p>
      <w:pPr>
        <w:ind w:left="360" w:right="459" w:firstLine="334"/>
        <w:spacing w:after="0" w:line="312" w:lineRule="auto"/>
        <w:tabs>
          <w:tab w:leader="none" w:pos="1537" w:val="left"/>
        </w:tabs>
        <w:numPr>
          <w:ilvl w:val="0"/>
          <w:numId w:val="180"/>
        </w:numPr>
        <w:rPr>
          <w:rFonts w:ascii="Arial" w:cs="Arial" w:eastAsia="Arial" w:hAnsi="Arial"/>
          <w:sz w:val="12"/>
          <w:szCs w:val="12"/>
          <w:color w:val="auto"/>
        </w:rPr>
      </w:pPr>
      <w:r>
        <w:rPr>
          <w:rFonts w:ascii="Arial" w:cs="Arial" w:eastAsia="Arial" w:hAnsi="Arial"/>
          <w:sz w:val="12"/>
          <w:szCs w:val="12"/>
          <w:color w:val="auto"/>
        </w:rPr>
        <w:t>hereby elects to participate in the QuantumScape Corporation 2020 Employee Stock Purchase Plan (the “</w:t>
      </w:r>
      <w:r>
        <w:rPr>
          <w:rFonts w:ascii="Arial" w:cs="Arial" w:eastAsia="Arial" w:hAnsi="Arial"/>
          <w:sz w:val="12"/>
          <w:szCs w:val="12"/>
          <w:u w:val="single" w:color="auto"/>
          <w:color w:val="auto"/>
        </w:rPr>
        <w:t>Plan</w:t>
      </w:r>
      <w:r>
        <w:rPr>
          <w:rFonts w:ascii="Arial" w:cs="Arial" w:eastAsia="Arial" w:hAnsi="Arial"/>
          <w:sz w:val="12"/>
          <w:szCs w:val="12"/>
          <w:color w:val="auto"/>
        </w:rPr>
        <w:t>”) and subscribes to purchase shares of the Company’s Common Stock in accordance with this Subscription Agreement and the Plan. Unless otherwise defined herein, the terms defined in the 2020 Employee Stock Purchase Plan (the “Plan”) shall have the same defined meanings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-250190</wp:posOffset>
            </wp:positionV>
            <wp:extent cx="42926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429260" cy="6350"/>
                    </a:xfrm>
                    <a:prstGeom prst="rect">
                      <a:avLst/>
                    </a:prstGeom>
                    <a:noFill/>
                  </pic:spPr>
                </pic:pic>
              </a:graphicData>
            </a:graphic>
          </wp:anchor>
        </w:drawing>
      </w:r>
    </w:p>
    <w:p>
      <w:pPr>
        <w:spacing w:after="0" w:line="91" w:lineRule="exact"/>
        <w:rPr>
          <w:sz w:val="20"/>
          <w:szCs w:val="20"/>
          <w:color w:val="auto"/>
        </w:rPr>
      </w:pPr>
    </w:p>
    <w:p>
      <w:pPr>
        <w:ind w:left="360" w:right="519" w:firstLine="331"/>
        <w:spacing w:after="0" w:line="297" w:lineRule="auto"/>
        <w:rPr>
          <w:sz w:val="20"/>
          <w:szCs w:val="20"/>
          <w:color w:val="auto"/>
        </w:rPr>
      </w:pPr>
      <w:r>
        <w:rPr>
          <w:rFonts w:ascii="Arial" w:cs="Arial" w:eastAsia="Arial" w:hAnsi="Arial"/>
          <w:sz w:val="12"/>
          <w:szCs w:val="12"/>
          <w:color w:val="auto"/>
        </w:rPr>
        <w:t>2. I hereby authorize and consent to payroll deductions from each paycheck in the amount of % (from 0 to fifteen percent (15%)) of my Compensation on each payday during the Offering Period in accordance with the Plan. (Please note that no fractional percentages are permitted.) I understand that only my first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-450850</wp:posOffset>
            </wp:positionV>
            <wp:extent cx="8572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85725" cy="6350"/>
                    </a:xfrm>
                    <a:prstGeom prst="rect">
                      <a:avLst/>
                    </a:prstGeom>
                    <a:noFill/>
                  </pic:spPr>
                </pic:pic>
              </a:graphicData>
            </a:graphic>
          </wp:anchor>
        </w:drawing>
      </w:r>
    </w:p>
    <w:p>
      <w:pPr>
        <w:spacing w:after="0" w:line="100" w:lineRule="exact"/>
        <w:rPr>
          <w:sz w:val="20"/>
          <w:szCs w:val="20"/>
          <w:color w:val="auto"/>
        </w:rPr>
      </w:pPr>
    </w:p>
    <w:p>
      <w:pPr>
        <w:ind w:left="360" w:right="379" w:firstLine="334"/>
        <w:spacing w:after="0" w:line="302" w:lineRule="auto"/>
        <w:tabs>
          <w:tab w:leader="none" w:pos="92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17" w:lineRule="exact"/>
        <w:rPr>
          <w:rFonts w:ascii="Arial" w:cs="Arial" w:eastAsia="Arial" w:hAnsi="Arial"/>
          <w:sz w:val="12"/>
          <w:szCs w:val="12"/>
          <w:color w:val="auto"/>
        </w:rPr>
      </w:pPr>
    </w:p>
    <w:p>
      <w:pPr>
        <w:ind w:left="360" w:right="479" w:firstLine="334"/>
        <w:spacing w:after="0" w:line="259" w:lineRule="auto"/>
        <w:tabs>
          <w:tab w:leader="none" w:pos="928" w:val="left"/>
        </w:tabs>
        <w:numPr>
          <w:ilvl w:val="0"/>
          <w:numId w:val="181"/>
        </w:numPr>
        <w:rPr>
          <w:rFonts w:ascii="Arial" w:cs="Arial" w:eastAsia="Arial" w:hAnsi="Arial"/>
          <w:sz w:val="14"/>
          <w:szCs w:val="14"/>
          <w:color w:val="auto"/>
        </w:rPr>
      </w:pPr>
      <w:r>
        <w:rPr>
          <w:rFonts w:ascii="Arial" w:cs="Arial" w:eastAsia="Arial" w:hAnsi="Arial"/>
          <w:sz w:val="14"/>
          <w:szCs w:val="14"/>
          <w:color w:val="auto"/>
        </w:rPr>
        <w:t>I have received a copy of the complete Plan and its accompanying prospectus. I understand that my participation in the Plan is in all respects subject to the terms of the Plan.</w:t>
      </w:r>
    </w:p>
    <w:p>
      <w:pPr>
        <w:spacing w:after="0" w:line="12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660" w:type="dxa"/>
            <w:vAlign w:val="bottom"/>
          </w:tcPr>
          <w:p>
            <w:pPr>
              <w:ind w:left="340"/>
              <w:spacing w:after="0"/>
              <w:rPr>
                <w:sz w:val="20"/>
                <w:szCs w:val="20"/>
                <w:color w:val="auto"/>
              </w:rPr>
            </w:pPr>
            <w:r>
              <w:rPr>
                <w:rFonts w:ascii="Arial" w:cs="Arial" w:eastAsia="Arial" w:hAnsi="Arial"/>
                <w:sz w:val="14"/>
                <w:szCs w:val="14"/>
                <w:color w:val="auto"/>
                <w:w w:val="87"/>
              </w:rPr>
              <w:t>5.  Shares of Common Stock purchased for me under the Plan should be issued in the name(s) of</w:t>
            </w:r>
          </w:p>
        </w:tc>
        <w:tc>
          <w:tcPr>
            <w:tcW w:w="680" w:type="dxa"/>
            <w:vAlign w:val="bottom"/>
            <w:tcBorders>
              <w:bottom w:val="single" w:sz="8" w:color="auto"/>
            </w:tcBorders>
          </w:tcPr>
          <w:p>
            <w:pPr>
              <w:spacing w:after="0"/>
              <w:rPr>
                <w:sz w:val="14"/>
                <w:szCs w:val="14"/>
                <w:color w:val="auto"/>
              </w:rPr>
            </w:pPr>
          </w:p>
        </w:tc>
        <w:tc>
          <w:tcPr>
            <w:tcW w:w="1700" w:type="dxa"/>
            <w:vAlign w:val="bottom"/>
          </w:tcPr>
          <w:p>
            <w:pPr>
              <w:ind w:left="40"/>
              <w:spacing w:after="0"/>
              <w:rPr>
                <w:sz w:val="20"/>
                <w:szCs w:val="20"/>
                <w:color w:val="auto"/>
              </w:rPr>
            </w:pPr>
            <w:r>
              <w:rPr>
                <w:rFonts w:ascii="Arial" w:cs="Arial" w:eastAsia="Arial" w:hAnsi="Arial"/>
                <w:sz w:val="14"/>
                <w:szCs w:val="14"/>
                <w:color w:val="auto"/>
                <w:w w:val="90"/>
              </w:rPr>
              <w:t>(Eligible Employee or Eligible</w:t>
            </w:r>
          </w:p>
        </w:tc>
      </w:tr>
      <w:tr>
        <w:trPr>
          <w:trHeight w:val="172"/>
        </w:trPr>
        <w:tc>
          <w:tcPr>
            <w:tcW w:w="5660" w:type="dxa"/>
            <w:vAlign w:val="bottom"/>
          </w:tcPr>
          <w:p>
            <w:pPr>
              <w:spacing w:after="0"/>
              <w:rPr>
                <w:sz w:val="20"/>
                <w:szCs w:val="20"/>
                <w:color w:val="auto"/>
              </w:rPr>
            </w:pPr>
            <w:r>
              <w:rPr>
                <w:rFonts w:ascii="Arial" w:cs="Arial" w:eastAsia="Arial" w:hAnsi="Arial"/>
                <w:sz w:val="14"/>
                <w:szCs w:val="14"/>
                <w:color w:val="auto"/>
              </w:rPr>
              <w:t>Employee and spouse only).</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52" w:lineRule="exact"/>
        <w:rPr>
          <w:sz w:val="20"/>
          <w:szCs w:val="20"/>
          <w:color w:val="auto"/>
        </w:rPr>
      </w:pPr>
    </w:p>
    <w:p>
      <w:pPr>
        <w:ind w:left="360" w:right="379" w:firstLine="334"/>
        <w:spacing w:after="0" w:line="284" w:lineRule="auto"/>
        <w:tabs>
          <w:tab w:leader="none" w:pos="928" w:val="left"/>
        </w:tabs>
        <w:numPr>
          <w:ilvl w:val="1"/>
          <w:numId w:val="182"/>
        </w:numPr>
        <w:rPr>
          <w:rFonts w:ascii="Arial" w:cs="Arial" w:eastAsia="Arial" w:hAnsi="Arial"/>
          <w:sz w:val="12"/>
          <w:szCs w:val="12"/>
          <w:color w:val="auto"/>
        </w:rPr>
      </w:pPr>
      <w:r>
        <w:rPr>
          <w:rFonts w:ascii="Arial" w:cs="Arial" w:eastAsia="Arial" w:hAnsi="Arial"/>
          <w:sz w:val="12"/>
          <w:szCs w:val="12"/>
          <w:color w:val="auto"/>
        </w:rPr>
        <w:t xml:space="preserve">If I am a U.S. taxpayer, I understand that if I dispose of any shares received by me pursuant to the Plan within two (2) years after the Enrollment Date (the first day of the Offering Period during which I purchased such shares) or one (1) year after the applicable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2"/>
          <w:szCs w:val="12"/>
          <w:u w:val="single" w:color="auto"/>
          <w:color w:val="auto"/>
        </w:rPr>
        <w:t>I hereby agree to notify the Company</w:t>
      </w:r>
      <w:r>
        <w:rPr>
          <w:rFonts w:ascii="Arial" w:cs="Arial" w:eastAsia="Arial" w:hAnsi="Arial"/>
          <w:sz w:val="12"/>
          <w:szCs w:val="12"/>
          <w:color w:val="auto"/>
        </w:rPr>
        <w:t xml:space="preserve"> </w:t>
      </w:r>
      <w:r>
        <w:rPr>
          <w:rFonts w:ascii="Arial" w:cs="Arial" w:eastAsia="Arial" w:hAnsi="Arial"/>
          <w:sz w:val="12"/>
          <w:szCs w:val="12"/>
          <w:u w:val="single" w:color="auto"/>
          <w:color w:val="auto"/>
        </w:rPr>
        <w:t>in writing within thirty (30) days after the date of any disposition of my shares and I will make adequate provision for federal, state or other tax withholding obligations, if any, which arise upon the disposition of such shares</w:t>
      </w:r>
      <w:r>
        <w:rPr>
          <w:rFonts w:ascii="Arial" w:cs="Arial" w:eastAsia="Arial" w:hAnsi="Arial"/>
          <w:sz w:val="12"/>
          <w:szCs w:val="12"/>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w:t>
      </w:r>
    </w:p>
    <w:p>
      <w:pPr>
        <w:spacing w:after="0" w:line="1" w:lineRule="exact"/>
        <w:rPr>
          <w:rFonts w:ascii="Arial" w:cs="Arial" w:eastAsia="Arial" w:hAnsi="Arial"/>
          <w:sz w:val="12"/>
          <w:szCs w:val="12"/>
          <w:color w:val="auto"/>
        </w:rPr>
      </w:pPr>
    </w:p>
    <w:p>
      <w:pPr>
        <w:jc w:val="both"/>
        <w:ind w:left="360" w:right="479" w:firstLine="3"/>
        <w:spacing w:after="0" w:line="243" w:lineRule="auto"/>
        <w:tabs>
          <w:tab w:leader="none" w:pos="54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ectPr>
          <w:pgSz w:w="11900" w:h="16838" w:orient="portrait"/>
          <w:cols w:equalWidth="0" w:num="1">
            <w:col w:w="9019"/>
          </w:cols>
          <w:pgMar w:left="1440" w:top="238" w:right="1440" w:bottom="1440" w:gutter="0" w:footer="0" w:header="0"/>
        </w:sectPr>
      </w:pPr>
    </w:p>
    <w:bookmarkStart w:id="144" w:name="page145"/>
    <w:bookmarkEnd w:id="144"/>
    <w:p>
      <w:pPr>
        <w:ind w:left="360" w:right="659" w:firstLine="334"/>
        <w:spacing w:after="0" w:line="259" w:lineRule="auto"/>
        <w:tabs>
          <w:tab w:leader="none" w:pos="928" w:val="left"/>
        </w:tabs>
        <w:numPr>
          <w:ilvl w:val="0"/>
          <w:numId w:val="18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I hereby agree to be bound by the terms of the Plan. The effectiveness of this Subscription Agreement is dependent upon my eligibility to participate in the Plan.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7620</wp:posOffset>
            </wp:positionV>
            <wp:extent cx="2571115"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2571115" cy="6350"/>
                    </a:xfrm>
                    <a:prstGeom prst="rect">
                      <a:avLst/>
                    </a:prstGeom>
                    <a:noFill/>
                  </pic:spPr>
                </pic:pic>
              </a:graphicData>
            </a:graphic>
          </wp:anchor>
        </w:drawing>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7620</wp:posOffset>
            </wp:positionV>
            <wp:extent cx="2571115"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2571115" cy="6350"/>
                    </a:xfrm>
                    <a:prstGeom prst="rect">
                      <a:avLst/>
                    </a:prstGeom>
                    <a:noFill/>
                  </pic:spPr>
                </pic:pic>
              </a:graphicData>
            </a:graphic>
          </wp:anchor>
        </w:drawing>
      </w:r>
    </w:p>
    <w:p>
      <w:pPr>
        <w:spacing w:after="0" w:line="164" w:lineRule="exact"/>
        <w:rPr>
          <w:sz w:val="20"/>
          <w:szCs w:val="20"/>
          <w:color w:val="auto"/>
        </w:rPr>
      </w:pPr>
    </w:p>
    <w:p>
      <w:pPr>
        <w:ind w:left="360" w:right="619" w:firstLine="331"/>
        <w:spacing w:after="0" w:line="259" w:lineRule="auto"/>
        <w:rPr>
          <w:sz w:val="20"/>
          <w:szCs w:val="20"/>
          <w:color w:val="auto"/>
        </w:rPr>
      </w:pPr>
      <w:r>
        <w:rPr>
          <w:rFonts w:ascii="Arial" w:cs="Arial" w:eastAsia="Arial" w:hAnsi="Arial"/>
          <w:sz w:val="14"/>
          <w:szCs w:val="14"/>
          <w:color w:val="auto"/>
        </w:rPr>
        <w:t>I UNDERSTAND THAT THIS SUBSCRIPTION AGREEMENT WILL REMAIN IN EFFECT THROUGHOUT SUCCESSIVE OFFERING PERIODS UNLESS TERMINATED BY ME.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Dated:</w:t>
      </w:r>
    </w:p>
    <w:p>
      <w:pPr>
        <w:spacing w:after="0" w:line="12" w:lineRule="exact"/>
        <w:rPr>
          <w:sz w:val="20"/>
          <w:szCs w:val="20"/>
          <w:color w:val="auto"/>
        </w:rPr>
      </w:pPr>
    </w:p>
    <w:p>
      <w:pPr>
        <w:ind w:left="5000"/>
        <w:spacing w:after="0"/>
        <w:rPr>
          <w:sz w:val="20"/>
          <w:szCs w:val="20"/>
          <w:color w:val="auto"/>
        </w:rPr>
      </w:pPr>
      <w:r>
        <w:rPr>
          <w:rFonts w:ascii="Arial" w:cs="Arial" w:eastAsia="Arial" w:hAnsi="Arial"/>
          <w:sz w:val="14"/>
          <w:szCs w:val="14"/>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-100965</wp:posOffset>
            </wp:positionV>
            <wp:extent cx="483362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4833620" cy="6350"/>
                    </a:xfrm>
                    <a:prstGeom prst="rect">
                      <a:avLst/>
                    </a:prstGeom>
                    <a:noFill/>
                  </pic:spPr>
                </pic:pic>
              </a:graphicData>
            </a:graphic>
          </wp:anchor>
        </w:drawing>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9019"/>
          </w:cols>
          <w:pgMar w:left="1440" w:top="240"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EXHIBIT B</w:t>
      </w:r>
    </w:p>
    <w:p>
      <w:pPr>
        <w:spacing w:after="0" w:line="164"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QUANTUMSCAPE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2020 EMPLOYEE STOCK PURCHASE PLAN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NOTICE OF WITHDRAWAL</w:t>
      </w:r>
    </w:p>
    <w:p>
      <w:pPr>
        <w:spacing w:after="0" w:line="166" w:lineRule="exact"/>
        <w:rPr>
          <w:sz w:val="20"/>
          <w:szCs w:val="20"/>
          <w:color w:val="auto"/>
        </w:rPr>
      </w:pPr>
    </w:p>
    <w:p>
      <w:pPr>
        <w:ind w:left="360" w:right="419"/>
        <w:spacing w:after="0" w:line="259" w:lineRule="auto"/>
        <w:rPr>
          <w:sz w:val="20"/>
          <w:szCs w:val="20"/>
          <w:color w:val="auto"/>
        </w:rPr>
      </w:pPr>
      <w:r>
        <w:rPr>
          <w:rFonts w:ascii="Arial" w:cs="Arial" w:eastAsia="Arial" w:hAnsi="Arial"/>
          <w:sz w:val="14"/>
          <w:szCs w:val="14"/>
          <w:color w:val="auto"/>
        </w:rPr>
        <w:t>Unless otherwise defined herein, the terms defined in the 2020 Employee Stock Purchase Plan (the “Plan”) shall have the same defined meanings in this Notice of Withdrawal.</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undersigned Participant in the Offering Period of the QuantumScape Corporation 2020 Employee Stock Purchase Plan that began on</w:t>
      </w:r>
    </w:p>
    <w:p>
      <w:pPr>
        <w:spacing w:after="0" w:line="35" w:lineRule="exact"/>
        <w:rPr>
          <w:sz w:val="20"/>
          <w:szCs w:val="20"/>
          <w:color w:val="auto"/>
        </w:rPr>
      </w:pPr>
    </w:p>
    <w:p>
      <w:pPr>
        <w:ind w:left="360" w:right="479" w:firstLine="680"/>
        <w:spacing w:after="0" w:line="293" w:lineRule="auto"/>
        <w:tabs>
          <w:tab w:leader="none" w:pos="151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Enrollment Date</w:t>
      </w:r>
      <w:r>
        <w:rPr>
          <w:rFonts w:ascii="Arial" w:cs="Arial" w:eastAsia="Arial" w:hAnsi="Arial"/>
          <w:sz w:val="12"/>
          <w:szCs w:val="12"/>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42"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2101215" cy="635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433070</wp:posOffset>
            </wp:positionV>
            <wp:extent cx="210121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2101215" cy="6350"/>
                    </a:xfrm>
                    <a:prstGeom prst="rect">
                      <a:avLst/>
                    </a:prstGeom>
                    <a:noFill/>
                  </pic:spPr>
                </pic:pic>
              </a:graphicData>
            </a:graphic>
          </wp:anchor>
        </w:drawing>
        <w:drawing>
          <wp:anchor simplePos="0" relativeHeight="251657728" behindDoc="1" locked="0" layoutInCell="0" allowOverlap="1">
            <wp:simplePos x="0" y="0"/>
            <wp:positionH relativeFrom="column">
              <wp:posOffset>3388360</wp:posOffset>
            </wp:positionH>
            <wp:positionV relativeFrom="paragraph">
              <wp:posOffset>652145</wp:posOffset>
            </wp:positionV>
            <wp:extent cx="21012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3388360</wp:posOffset>
            </wp:positionH>
            <wp:positionV relativeFrom="paragraph">
              <wp:posOffset>213995</wp:posOffset>
            </wp:positionV>
            <wp:extent cx="210121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2101215" cy="63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34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7620</wp:posOffset>
            </wp:positionV>
            <wp:extent cx="177863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1778635" cy="6350"/>
                    </a:xfrm>
                    <a:prstGeom prst="rect">
                      <a:avLst/>
                    </a:prstGeom>
                    <a:noFill/>
                  </pic:spPr>
                </pic:pic>
              </a:graphicData>
            </a:graphic>
          </wp:anchor>
        </w:drawing>
      </w:r>
    </w:p>
    <w:p>
      <w:pPr>
        <w:sectPr>
          <w:pgSz w:w="11900" w:h="16838" w:orient="portrait"/>
          <w:cols w:equalWidth="0" w:num="1">
            <w:col w:w="9019"/>
          </w:cols>
          <w:pgMar w:left="1440" w:top="238" w:right="1440" w:bottom="1440" w:gutter="0" w:footer="0" w:header="0"/>
        </w:sectPr>
      </w:pPr>
    </w:p>
    <w:bookmarkStart w:id="146" w:name="page147"/>
    <w:bookmarkEnd w:id="146"/>
    <w:tbl>
      <w:tblPr>
        <w:tblLayout w:type="fixed"/>
        <w:tblInd w:w="360" w:type="dxa"/>
        <w:tblCellMar>
          <w:top w:w="0" w:type="dxa"/>
          <w:left w:w="0" w:type="dxa"/>
          <w:bottom w:w="0" w:type="dxa"/>
          <w:right w:w="0" w:type="dxa"/>
        </w:tblCellMar>
      </w:tblPr>
      <w:tr>
        <w:trPr>
          <w:trHeight w:val="175"/>
        </w:trPr>
        <w:tc>
          <w:tcPr>
            <w:tcW w:w="7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EXHIBIT 99.1</w:t>
            </w:r>
          </w:p>
        </w:tc>
      </w:tr>
      <w:tr>
        <w:trPr>
          <w:trHeight w:val="475"/>
        </w:trPr>
        <w:tc>
          <w:tcPr>
            <w:tcW w:w="7340" w:type="dxa"/>
            <w:vAlign w:val="bottom"/>
          </w:tcPr>
          <w:p>
            <w:pPr>
              <w:jc w:val="center"/>
              <w:ind w:left="872"/>
              <w:spacing w:after="0"/>
              <w:rPr>
                <w:sz w:val="20"/>
                <w:szCs w:val="20"/>
                <w:color w:val="auto"/>
              </w:rPr>
            </w:pPr>
            <w:r>
              <w:rPr>
                <w:rFonts w:ascii="Arial" w:cs="Arial" w:eastAsia="Arial" w:hAnsi="Arial"/>
                <w:sz w:val="14"/>
                <w:szCs w:val="14"/>
                <w:b w:val="1"/>
                <w:bCs w:val="1"/>
                <w:color w:val="auto"/>
                <w:w w:val="87"/>
              </w:rPr>
              <w:t>QuantumScape Corporation</w:t>
            </w:r>
          </w:p>
        </w:tc>
        <w:tc>
          <w:tcPr>
            <w:tcW w:w="940" w:type="dxa"/>
            <w:vAlign w:val="bottom"/>
          </w:tcPr>
          <w:p>
            <w:pPr>
              <w:spacing w:after="0"/>
              <w:rPr>
                <w:sz w:val="24"/>
                <w:szCs w:val="24"/>
                <w:color w:val="auto"/>
              </w:rPr>
            </w:pPr>
          </w:p>
        </w:tc>
      </w:tr>
      <w:tr>
        <w:trPr>
          <w:trHeight w:val="162"/>
        </w:trPr>
        <w:tc>
          <w:tcPr>
            <w:tcW w:w="7340" w:type="dxa"/>
            <w:vAlign w:val="bottom"/>
          </w:tcPr>
          <w:p>
            <w:pPr>
              <w:jc w:val="center"/>
              <w:ind w:left="872"/>
              <w:spacing w:after="0"/>
              <w:rPr>
                <w:sz w:val="20"/>
                <w:szCs w:val="20"/>
                <w:color w:val="auto"/>
              </w:rPr>
            </w:pPr>
            <w:r>
              <w:rPr>
                <w:rFonts w:ascii="Arial" w:cs="Arial" w:eastAsia="Arial" w:hAnsi="Arial"/>
                <w:sz w:val="14"/>
                <w:szCs w:val="14"/>
                <w:b w:val="1"/>
                <w:bCs w:val="1"/>
                <w:color w:val="auto"/>
                <w:w w:val="86"/>
              </w:rPr>
              <w:t>Unaudited Condensed Consolidated Financial Statements</w:t>
            </w:r>
          </w:p>
        </w:tc>
        <w:tc>
          <w:tcPr>
            <w:tcW w:w="940" w:type="dxa"/>
            <w:vAlign w:val="bottom"/>
          </w:tcPr>
          <w:p>
            <w:pPr>
              <w:spacing w:after="0"/>
              <w:rPr>
                <w:sz w:val="14"/>
                <w:szCs w:val="14"/>
                <w:color w:val="auto"/>
              </w:rPr>
            </w:pPr>
          </w:p>
        </w:tc>
      </w:tr>
      <w:tr>
        <w:trPr>
          <w:trHeight w:val="175"/>
        </w:trPr>
        <w:tc>
          <w:tcPr>
            <w:tcW w:w="7340" w:type="dxa"/>
            <w:vAlign w:val="bottom"/>
          </w:tcPr>
          <w:p>
            <w:pPr>
              <w:jc w:val="center"/>
              <w:ind w:left="892"/>
              <w:spacing w:after="0"/>
              <w:rPr>
                <w:sz w:val="20"/>
                <w:szCs w:val="20"/>
                <w:color w:val="auto"/>
              </w:rPr>
            </w:pPr>
            <w:r>
              <w:rPr>
                <w:rFonts w:ascii="Arial" w:cs="Arial" w:eastAsia="Arial" w:hAnsi="Arial"/>
                <w:sz w:val="14"/>
                <w:szCs w:val="14"/>
                <w:b w:val="1"/>
                <w:bCs w:val="1"/>
                <w:color w:val="auto"/>
                <w:w w:val="89"/>
              </w:rPr>
              <w:t>(Unaudited)</w:t>
            </w:r>
          </w:p>
        </w:tc>
        <w:tc>
          <w:tcPr>
            <w:tcW w:w="940" w:type="dxa"/>
            <w:vAlign w:val="bottom"/>
          </w:tcPr>
          <w:p>
            <w:pPr>
              <w:spacing w:after="0"/>
              <w:rPr>
                <w:sz w:val="15"/>
                <w:szCs w:val="15"/>
                <w:color w:val="auto"/>
              </w:rPr>
            </w:pPr>
          </w:p>
        </w:tc>
      </w:tr>
      <w:tr>
        <w:trPr>
          <w:trHeight w:val="325"/>
        </w:trPr>
        <w:tc>
          <w:tcPr>
            <w:tcW w:w="7340" w:type="dxa"/>
            <w:vAlign w:val="bottom"/>
          </w:tcPr>
          <w:p>
            <w:pPr>
              <w:spacing w:after="0"/>
              <w:rPr>
                <w:sz w:val="20"/>
                <w:szCs w:val="20"/>
                <w:color w:val="auto"/>
              </w:rPr>
            </w:pPr>
            <w:r>
              <w:rPr>
                <w:rFonts w:ascii="Arial" w:cs="Arial" w:eastAsia="Arial" w:hAnsi="Arial"/>
                <w:sz w:val="14"/>
                <w:szCs w:val="14"/>
                <w:b w:val="1"/>
                <w:bCs w:val="1"/>
                <w:color w:val="auto"/>
              </w:rPr>
              <w:t>TABLE OF CONTENTS</w:t>
            </w:r>
          </w:p>
        </w:tc>
        <w:tc>
          <w:tcPr>
            <w:tcW w:w="940" w:type="dxa"/>
            <w:vAlign w:val="bottom"/>
          </w:tcPr>
          <w:p>
            <w:pPr>
              <w:spacing w:after="0"/>
              <w:rPr>
                <w:sz w:val="24"/>
                <w:szCs w:val="24"/>
                <w:color w:val="auto"/>
              </w:rPr>
            </w:pPr>
          </w:p>
        </w:tc>
      </w:tr>
      <w:tr>
        <w:trPr>
          <w:trHeight w:val="335"/>
        </w:trPr>
        <w:tc>
          <w:tcPr>
            <w:tcW w:w="7340" w:type="dxa"/>
            <w:vAlign w:val="bottom"/>
          </w:tcPr>
          <w:p>
            <w:pPr>
              <w:spacing w:after="0"/>
              <w:rPr>
                <w:sz w:val="20"/>
                <w:szCs w:val="20"/>
                <w:color w:val="auto"/>
              </w:rPr>
            </w:pPr>
            <w:r>
              <w:rPr>
                <w:rFonts w:ascii="Arial" w:cs="Arial" w:eastAsia="Arial" w:hAnsi="Arial"/>
                <w:sz w:val="14"/>
                <w:szCs w:val="14"/>
                <w:color w:val="auto"/>
              </w:rPr>
              <w:t>Condensed Consolidated Balance Sheets as of September 30, 2020 (unaudited) and December 31, 2019</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w w:val="86"/>
              </w:rPr>
              <w:t>Condensed Consolidated Statements of Operations and Comprehensive Loss for the nine months ended September 30, 2020 and 2019</w:t>
            </w:r>
          </w:p>
        </w:tc>
        <w:tc>
          <w:tcPr>
            <w:tcW w:w="940" w:type="dxa"/>
            <w:vAlign w:val="bottom"/>
          </w:tcPr>
          <w:p>
            <w:pPr>
              <w:spacing w:after="0"/>
              <w:rPr>
                <w:sz w:val="14"/>
                <w:szCs w:val="14"/>
                <w:color w:val="auto"/>
              </w:rPr>
            </w:pPr>
          </w:p>
        </w:tc>
      </w:tr>
      <w:tr>
        <w:trPr>
          <w:trHeight w:val="162"/>
        </w:trPr>
        <w:tc>
          <w:tcPr>
            <w:tcW w:w="7340" w:type="dxa"/>
            <w:vAlign w:val="bottom"/>
          </w:tcPr>
          <w:p>
            <w:pPr>
              <w:ind w:left="140"/>
              <w:spacing w:after="0"/>
              <w:rPr>
                <w:sz w:val="20"/>
                <w:szCs w:val="20"/>
                <w:color w:val="auto"/>
              </w:rPr>
            </w:pPr>
            <w:r>
              <w:rPr>
                <w:rFonts w:ascii="Arial" w:cs="Arial" w:eastAsia="Arial" w:hAnsi="Arial"/>
                <w:sz w:val="14"/>
                <w:szCs w:val="14"/>
                <w:color w:val="auto"/>
              </w:rPr>
              <w:t>(unaudited)</w:t>
            </w: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w w:val="88"/>
              </w:rPr>
              <w:t>Condensed Consolidated Statements of Redeemable Convertible Preferred Stock and Stockholders’ Deficit for the nine months ended</w:t>
            </w:r>
          </w:p>
        </w:tc>
        <w:tc>
          <w:tcPr>
            <w:tcW w:w="940" w:type="dxa"/>
            <w:vAlign w:val="bottom"/>
          </w:tcPr>
          <w:p>
            <w:pPr>
              <w:spacing w:after="0"/>
              <w:rPr>
                <w:sz w:val="14"/>
                <w:szCs w:val="14"/>
                <w:color w:val="auto"/>
              </w:rPr>
            </w:pPr>
          </w:p>
        </w:tc>
      </w:tr>
      <w:tr>
        <w:trPr>
          <w:trHeight w:val="162"/>
        </w:trPr>
        <w:tc>
          <w:tcPr>
            <w:tcW w:w="7340" w:type="dxa"/>
            <w:vAlign w:val="bottom"/>
          </w:tcPr>
          <w:p>
            <w:pPr>
              <w:ind w:left="140"/>
              <w:spacing w:after="0"/>
              <w:rPr>
                <w:sz w:val="20"/>
                <w:szCs w:val="20"/>
                <w:color w:val="auto"/>
              </w:rPr>
            </w:pPr>
            <w:r>
              <w:rPr>
                <w:rFonts w:ascii="Arial" w:cs="Arial" w:eastAsia="Arial" w:hAnsi="Arial"/>
                <w:sz w:val="14"/>
                <w:szCs w:val="14"/>
                <w:color w:val="auto"/>
              </w:rPr>
              <w:t>September 30, 2020 and 2019 (unaudited)</w:t>
            </w: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62"/>
        </w:trPr>
        <w:tc>
          <w:tcPr>
            <w:tcW w:w="7340" w:type="dxa"/>
            <w:vAlign w:val="bottom"/>
          </w:tcPr>
          <w:p>
            <w:pPr>
              <w:spacing w:after="0"/>
              <w:rPr>
                <w:sz w:val="20"/>
                <w:szCs w:val="20"/>
                <w:color w:val="auto"/>
              </w:rPr>
            </w:pPr>
            <w:r>
              <w:rPr>
                <w:rFonts w:ascii="Arial" w:cs="Arial" w:eastAsia="Arial" w:hAnsi="Arial"/>
                <w:sz w:val="14"/>
                <w:szCs w:val="14"/>
                <w:color w:val="auto"/>
                <w:w w:val="96"/>
              </w:rPr>
              <w:t>Condensed Consolidated Statements of Cash Flows for the nine months ended September 30, 2020 and 2019 (unaudited)</w:t>
            </w: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73"/>
        </w:trPr>
        <w:tc>
          <w:tcPr>
            <w:tcW w:w="7340" w:type="dxa"/>
            <w:vAlign w:val="bottom"/>
          </w:tcPr>
          <w:p>
            <w:pPr>
              <w:spacing w:after="0"/>
              <w:rPr>
                <w:sz w:val="20"/>
                <w:szCs w:val="20"/>
                <w:color w:val="auto"/>
              </w:rPr>
            </w:pPr>
            <w:r>
              <w:rPr>
                <w:rFonts w:ascii="Arial" w:cs="Arial" w:eastAsia="Arial" w:hAnsi="Arial"/>
                <w:sz w:val="14"/>
                <w:szCs w:val="14"/>
                <w:color w:val="auto"/>
              </w:rPr>
              <w:t>Notes to the Condensed Consolidated Financial Statements</w:t>
            </w:r>
          </w:p>
        </w:tc>
        <w:tc>
          <w:tcPr>
            <w:tcW w:w="94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74"/>
        </w:trPr>
        <w:tc>
          <w:tcPr>
            <w:tcW w:w="7340" w:type="dxa"/>
            <w:vAlign w:val="bottom"/>
          </w:tcPr>
          <w:p>
            <w:pPr>
              <w:jc w:val="center"/>
              <w:ind w:left="892"/>
              <w:spacing w:after="0"/>
              <w:rPr>
                <w:sz w:val="20"/>
                <w:szCs w:val="20"/>
                <w:color w:val="auto"/>
              </w:rPr>
            </w:pPr>
            <w:r>
              <w:rPr>
                <w:rFonts w:ascii="Arial" w:cs="Arial" w:eastAsia="Arial" w:hAnsi="Arial"/>
                <w:sz w:val="14"/>
                <w:szCs w:val="14"/>
                <w:color w:val="auto"/>
                <w:w w:val="76"/>
              </w:rPr>
              <w:t>1</w:t>
            </w:r>
          </w:p>
        </w:tc>
        <w:tc>
          <w:tcPr>
            <w:tcW w:w="940" w:type="dxa"/>
            <w:vAlign w:val="bottom"/>
          </w:tcPr>
          <w:p>
            <w:pPr>
              <w:spacing w:after="0"/>
              <w:rPr>
                <w:sz w:val="23"/>
                <w:szCs w:val="23"/>
                <w:color w:val="auto"/>
              </w:rPr>
            </w:pPr>
          </w:p>
        </w:tc>
      </w:tr>
    </w:tbl>
    <w:p>
      <w:pPr>
        <w:sectPr>
          <w:pgSz w:w="11900" w:h="16838" w:orient="portrait"/>
          <w:cols w:equalWidth="0" w:num="1">
            <w:col w:w="9019"/>
          </w:cols>
          <w:pgMar w:left="1440" w:top="127" w:right="1440"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Condensed Consolidated Balance Sheets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September 30,</w:t>
            </w:r>
          </w:p>
        </w:tc>
        <w:tc>
          <w:tcPr>
            <w:tcW w:w="700" w:type="dxa"/>
            <w:vAlign w:val="bottom"/>
            <w:gridSpan w:val="3"/>
          </w:tcPr>
          <w:p>
            <w:pPr>
              <w:spacing w:after="0"/>
              <w:rPr>
                <w:sz w:val="20"/>
                <w:szCs w:val="20"/>
                <w:color w:val="auto"/>
              </w:rPr>
            </w:pPr>
            <w:r>
              <w:rPr>
                <w:rFonts w:ascii="Arial" w:cs="Arial" w:eastAsia="Arial" w:hAnsi="Arial"/>
                <w:sz w:val="11"/>
                <w:szCs w:val="11"/>
                <w:b w:val="1"/>
                <w:bCs w:val="1"/>
                <w:color w:val="auto"/>
                <w:w w:val="94"/>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ind w:right="53"/>
              <w:spacing w:after="0" w:line="102" w:lineRule="exact"/>
              <w:rPr>
                <w:sz w:val="20"/>
                <w:szCs w:val="20"/>
                <w:color w:val="auto"/>
              </w:rPr>
            </w:pPr>
            <w:r>
              <w:rPr>
                <w:rFonts w:ascii="Arial" w:cs="Arial" w:eastAsia="Arial" w:hAnsi="Arial"/>
                <w:sz w:val="11"/>
                <w:szCs w:val="11"/>
                <w:color w:val="auto"/>
                <w:w w:val="87"/>
              </w:rPr>
              <w:t>Unaudited</w:t>
            </w:r>
          </w:p>
        </w:tc>
        <w:tc>
          <w:tcPr>
            <w:tcW w:w="2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shd w:val="clear" w:color="auto" w:fill="CCEEFF"/>
          </w:tcPr>
          <w:p>
            <w:pPr>
              <w:ind w:left="260"/>
              <w:spacing w:after="0" w:line="152" w:lineRule="exact"/>
              <w:rPr>
                <w:sz w:val="20"/>
                <w:szCs w:val="20"/>
                <w:color w:val="auto"/>
              </w:rPr>
            </w:pPr>
            <w:r>
              <w:rPr>
                <w:rFonts w:ascii="Arial" w:cs="Arial" w:eastAsia="Arial" w:hAnsi="Arial"/>
                <w:sz w:val="14"/>
                <w:szCs w:val="14"/>
                <w:color w:val="auto"/>
                <w:w w:val="88"/>
              </w:rPr>
              <w:t>Cash and cash equivalents ($3,407 and $3,409 as of September 30, 2020 and December 31, 2019, respectively, for</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joint venture)</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10,573</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22,822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69,469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107,099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1,746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63"/>
        </w:trPr>
        <w:tc>
          <w:tcPr>
            <w:tcW w:w="668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81,788</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131,176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34,654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25,492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Right-of-use lease asset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12,027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12,942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6,597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163"/>
        </w:trPr>
        <w:tc>
          <w:tcPr>
            <w:tcW w:w="66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135,066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172,384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rPr>
              <w:t>Accrued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2,682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compensation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1,417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rPr>
              <w:t>Operating lease liability, short-term</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1,184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Strategic premium, short-term</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63"/>
        </w:trPr>
        <w:tc>
          <w:tcPr>
            <w:tcW w:w="668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10,671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11,558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Convertible preferred stock warrant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10,807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Strategic premium, long-term and other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Convertible preferred stock tranche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347,120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380,320</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21,982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spacing w:after="0"/>
              <w:rPr>
                <w:sz w:val="20"/>
                <w:szCs w:val="20"/>
                <w:color w:val="auto"/>
              </w:rPr>
            </w:pPr>
            <w:r>
              <w:rPr>
                <w:rFonts w:ascii="Arial" w:cs="Arial" w:eastAsia="Arial" w:hAnsi="Arial"/>
                <w:sz w:val="14"/>
                <w:szCs w:val="14"/>
                <w:color w:val="auto"/>
              </w:rPr>
              <w:t>Commitment and contingencies (see Note 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Redeemable convertible preferred stock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60"/>
              <w:spacing w:after="0" w:line="152" w:lineRule="exact"/>
              <w:rPr>
                <w:sz w:val="20"/>
                <w:szCs w:val="20"/>
                <w:color w:val="auto"/>
              </w:rPr>
            </w:pPr>
            <w:r>
              <w:rPr>
                <w:rFonts w:ascii="Arial" w:cs="Arial" w:eastAsia="Arial" w:hAnsi="Arial"/>
                <w:sz w:val="14"/>
                <w:szCs w:val="14"/>
                <w:color w:val="auto"/>
                <w:w w:val="94"/>
              </w:rPr>
              <w:t>Redeemable convertible preferred stock, par value of $0.0001 per share, 63,329,998 and 49,073,189 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380"/>
              <w:spacing w:after="0"/>
              <w:rPr>
                <w:sz w:val="20"/>
                <w:szCs w:val="20"/>
                <w:color w:val="auto"/>
              </w:rPr>
            </w:pPr>
            <w:r>
              <w:rPr>
                <w:rFonts w:ascii="Arial" w:cs="Arial" w:eastAsia="Arial" w:hAnsi="Arial"/>
                <w:sz w:val="14"/>
                <w:szCs w:val="14"/>
                <w:color w:val="auto"/>
                <w:w w:val="90"/>
              </w:rPr>
              <w:t>authorized as of September 30, 2020 and December 31, 2019, respectively, 48,390,851 and 48,390,851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380"/>
              <w:spacing w:after="0"/>
              <w:rPr>
                <w:sz w:val="20"/>
                <w:szCs w:val="20"/>
                <w:color w:val="auto"/>
              </w:rPr>
            </w:pPr>
            <w:r>
              <w:rPr>
                <w:rFonts w:ascii="Arial" w:cs="Arial" w:eastAsia="Arial" w:hAnsi="Arial"/>
                <w:sz w:val="14"/>
                <w:szCs w:val="14"/>
                <w:color w:val="auto"/>
                <w:w w:val="92"/>
              </w:rPr>
              <w:t>issued and outstanding with aggregate liquidation preference of $414,335 and $414,335 as of 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Arial" w:cs="Arial" w:eastAsia="Arial" w:hAnsi="Arial"/>
                <w:sz w:val="14"/>
                <w:szCs w:val="14"/>
                <w:color w:val="auto"/>
              </w:rPr>
              <w:t>2020 and December 31, 2019,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405,575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405,575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60" w:type="dxa"/>
            <w:vAlign w:val="bottom"/>
          </w:tcPr>
          <w:p>
            <w:pPr>
              <w:ind w:left="260"/>
              <w:spacing w:after="0" w:line="152" w:lineRule="exact"/>
              <w:rPr>
                <w:sz w:val="20"/>
                <w:szCs w:val="20"/>
                <w:color w:val="auto"/>
              </w:rPr>
            </w:pPr>
            <w:r>
              <w:rPr>
                <w:rFonts w:ascii="Arial" w:cs="Arial" w:eastAsia="Arial" w:hAnsi="Arial"/>
                <w:sz w:val="14"/>
                <w:szCs w:val="14"/>
                <w:color w:val="auto"/>
                <w:w w:val="89"/>
              </w:rPr>
              <w:t>Common stock – $0.0001 par value; 206,014,841 shares authorized (95,684,843 Class A and 47,000,000 Class B);</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380"/>
              <w:spacing w:after="0"/>
              <w:rPr>
                <w:sz w:val="20"/>
                <w:szCs w:val="20"/>
                <w:color w:val="auto"/>
              </w:rPr>
            </w:pPr>
            <w:r>
              <w:rPr>
                <w:rFonts w:ascii="Arial" w:cs="Arial" w:eastAsia="Arial" w:hAnsi="Arial"/>
                <w:sz w:val="14"/>
                <w:szCs w:val="14"/>
                <w:color w:val="auto"/>
                <w:w w:val="93"/>
              </w:rPr>
              <w:t>11,333,260 and 11,229,241 Class A and Class B shares issued and outstanding at September 30, 2020 and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60" w:type="dxa"/>
            <w:vAlign w:val="bottom"/>
          </w:tcPr>
          <w:p>
            <w:pPr>
              <w:ind w:left="380"/>
              <w:spacing w:after="0"/>
              <w:rPr>
                <w:sz w:val="20"/>
                <w:szCs w:val="20"/>
                <w:color w:val="auto"/>
              </w:rPr>
            </w:pPr>
            <w:r>
              <w:rPr>
                <w:rFonts w:ascii="Arial" w:cs="Arial" w:eastAsia="Arial" w:hAnsi="Arial"/>
                <w:sz w:val="14"/>
                <w:szCs w:val="14"/>
                <w:color w:val="auto"/>
              </w:rPr>
              <w:t>December 31, 2019,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Additional paid-in-capital</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52,650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43,077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w w:val="91"/>
              </w:rPr>
              <w:t>Treasury stock- fair market value at repurchase; 438,191 shares at September 30, 2020 and December 31, 2019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rPr>
              <w:t>(701,034)</w:t>
            </w: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(295,862)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QuantumScape 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(652,533)</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(256,883)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tcPr>
          <w:p>
            <w:pPr>
              <w:ind w:left="260"/>
              <w:spacing w:after="0"/>
              <w:rPr>
                <w:sz w:val="20"/>
                <w:szCs w:val="20"/>
                <w:color w:val="auto"/>
              </w:rPr>
            </w:pPr>
            <w:r>
              <w:rPr>
                <w:rFonts w:ascii="Arial" w:cs="Arial" w:eastAsia="Arial" w:hAnsi="Arial"/>
                <w:sz w:val="14"/>
                <w:szCs w:val="14"/>
                <w:color w:val="auto"/>
              </w:rPr>
              <w:t>Non-controlling interest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1,704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(650,829)</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(255,173)</w:t>
            </w:r>
          </w:p>
        </w:tc>
        <w:tc>
          <w:tcPr>
            <w:tcW w:w="0" w:type="dxa"/>
            <w:vAlign w:val="bottom"/>
          </w:tcPr>
          <w:p>
            <w:pPr>
              <w:spacing w:after="0"/>
              <w:rPr>
                <w:sz w:val="1"/>
                <w:szCs w:val="1"/>
                <w:color w:val="auto"/>
              </w:rPr>
            </w:pPr>
          </w:p>
        </w:tc>
      </w:tr>
      <w:tr>
        <w:trPr>
          <w:trHeight w:val="163"/>
        </w:trPr>
        <w:tc>
          <w:tcPr>
            <w:tcW w:w="6680" w:type="dxa"/>
            <w:vAlign w:val="bottom"/>
            <w:gridSpan w:val="2"/>
          </w:tcPr>
          <w:p>
            <w:pPr>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135,066</w:t>
            </w: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172,384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38" w:right="1440"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Condensed Consolidated Statements of Operations and Comprehensive Loss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75" w:lineRule="exact"/>
        <w:rPr>
          <w:sz w:val="20"/>
          <w:szCs w:val="20"/>
          <w:color w:val="auto"/>
        </w:rPr>
      </w:pPr>
    </w:p>
    <w:p>
      <w:pPr>
        <w:jc w:val="center"/>
        <w:ind w:left="6440"/>
        <w:spacing w:after="0"/>
        <w:rPr>
          <w:sz w:val="20"/>
          <w:szCs w:val="20"/>
          <w:color w:val="auto"/>
        </w:rPr>
      </w:pPr>
      <w:r>
        <w:rPr>
          <w:rFonts w:ascii="Arial" w:cs="Arial" w:eastAsia="Arial" w:hAnsi="Arial"/>
          <w:sz w:val="11"/>
          <w:szCs w:val="11"/>
          <w:b w:val="1"/>
          <w:bCs w:val="1"/>
          <w:color w:val="auto"/>
        </w:rPr>
        <w:t>Nine Months Ended</w:t>
      </w:r>
    </w:p>
    <w:p>
      <w:pPr>
        <w:jc w:val="center"/>
        <w:ind w:left="6440"/>
        <w:spacing w:after="0" w:line="221" w:lineRule="auto"/>
        <w:rPr>
          <w:sz w:val="20"/>
          <w:szCs w:val="20"/>
          <w:color w:val="auto"/>
        </w:rPr>
      </w:pPr>
      <w:r>
        <w:rPr>
          <w:rFonts w:ascii="Arial" w:cs="Arial" w:eastAsia="Arial" w:hAnsi="Arial"/>
          <w:sz w:val="11"/>
          <w:szCs w:val="11"/>
          <w:b w:val="1"/>
          <w:bCs w:val="1"/>
          <w:color w:val="auto"/>
        </w:rPr>
        <w:t>September 30,</w:t>
      </w:r>
    </w:p>
    <w:tbl>
      <w:tblPr>
        <w:tblLayout w:type="fixed"/>
        <w:tblInd w:w="360" w:type="dxa"/>
        <w:tblCellMar>
          <w:top w:w="0" w:type="dxa"/>
          <w:left w:w="0" w:type="dxa"/>
          <w:bottom w:w="0" w:type="dxa"/>
          <w:right w:w="0" w:type="dxa"/>
        </w:tblCellMar>
      </w:tblPr>
      <w:tr>
        <w:trPr>
          <w:trHeight w:val="102"/>
        </w:trPr>
        <w:tc>
          <w:tcPr>
            <w:tcW w:w="20" w:type="dxa"/>
            <w:vAlign w:val="bottom"/>
          </w:tcPr>
          <w:p>
            <w:pPr>
              <w:spacing w:after="0"/>
              <w:rPr>
                <w:sz w:val="8"/>
                <w:szCs w:val="8"/>
                <w:color w:val="auto"/>
              </w:rPr>
            </w:pPr>
          </w:p>
        </w:tc>
        <w:tc>
          <w:tcPr>
            <w:tcW w:w="65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2020</w:t>
            </w:r>
          </w:p>
        </w:tc>
        <w:tc>
          <w:tcPr>
            <w:tcW w:w="32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52"/>
              <w:spacing w:after="0"/>
              <w:rPr>
                <w:sz w:val="20"/>
                <w:szCs w:val="20"/>
                <w:color w:val="auto"/>
              </w:rPr>
            </w:pPr>
            <w:r>
              <w:rPr>
                <w:rFonts w:ascii="Arial" w:cs="Arial" w:eastAsia="Arial" w:hAnsi="Arial"/>
                <w:sz w:val="14"/>
                <w:szCs w:val="14"/>
                <w:color w:val="auto"/>
              </w:rPr>
              <w:t>42,373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1"/>
              <w:spacing w:after="0"/>
              <w:rPr>
                <w:sz w:val="20"/>
                <w:szCs w:val="20"/>
                <w:color w:val="auto"/>
              </w:rPr>
            </w:pPr>
            <w:r>
              <w:rPr>
                <w:rFonts w:ascii="Arial" w:cs="Arial" w:eastAsia="Arial" w:hAnsi="Arial"/>
                <w:sz w:val="14"/>
                <w:szCs w:val="14"/>
                <w:color w:val="auto"/>
              </w:rPr>
              <w:t>33,084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4"/>
                <w:szCs w:val="14"/>
                <w:color w:val="auto"/>
              </w:rPr>
              <w:t>8,460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7,637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50,833</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(50,833)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(40,721)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(8,947)</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4"/>
                <w:szCs w:val="14"/>
                <w:color w:val="auto"/>
              </w:rPr>
              <w:t>962</w:t>
            </w:r>
          </w:p>
        </w:tc>
        <w:tc>
          <w:tcPr>
            <w:tcW w:w="80" w:type="dxa"/>
            <w:vAlign w:val="bottom"/>
          </w:tcPr>
          <w:p>
            <w:pPr>
              <w:spacing w:after="0"/>
              <w:rPr>
                <w:sz w:val="14"/>
                <w:szCs w:val="14"/>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4"/>
                <w:szCs w:val="14"/>
                <w:color w:val="auto"/>
              </w:rPr>
              <w:t>2,925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4"/>
                <w:szCs w:val="14"/>
                <w:color w:val="auto"/>
              </w:rPr>
              <w:t>760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expense</w:t>
            </w:r>
          </w:p>
        </w:tc>
        <w:tc>
          <w:tcPr>
            <w:tcW w:w="80" w:type="dxa"/>
            <w:vAlign w:val="bottom"/>
          </w:tcPr>
          <w:p>
            <w:pPr>
              <w:spacing w:after="0"/>
              <w:rPr>
                <w:sz w:val="14"/>
                <w:szCs w:val="14"/>
                <w:color w:val="auto"/>
              </w:rPr>
            </w:pPr>
          </w:p>
        </w:tc>
        <w:tc>
          <w:tcPr>
            <w:tcW w:w="920" w:type="dxa"/>
            <w:vAlign w:val="bottom"/>
            <w:gridSpan w:val="2"/>
          </w:tcPr>
          <w:p>
            <w:pPr>
              <w:jc w:val="right"/>
              <w:ind w:right="192"/>
              <w:spacing w:after="0"/>
              <w:rPr>
                <w:sz w:val="20"/>
                <w:szCs w:val="20"/>
                <w:color w:val="auto"/>
              </w:rPr>
            </w:pPr>
            <w:r>
              <w:rPr>
                <w:rFonts w:ascii="Arial" w:cs="Arial" w:eastAsia="Arial" w:hAnsi="Arial"/>
                <w:sz w:val="14"/>
                <w:szCs w:val="14"/>
                <w:color w:val="auto"/>
              </w:rPr>
              <w:t>(347,120)</w:t>
            </w:r>
          </w:p>
        </w:tc>
        <w:tc>
          <w:tcPr>
            <w:tcW w:w="80" w:type="dxa"/>
            <w:vAlign w:val="bottom"/>
          </w:tcPr>
          <w:p>
            <w:pPr>
              <w:spacing w:after="0"/>
              <w:rPr>
                <w:sz w:val="14"/>
                <w:szCs w:val="14"/>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 other income (expense)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(354,345)</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3,741</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(405,178)</w:t>
            </w: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50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w w:val="99"/>
              </w:rPr>
              <w:t>Less: Net income (loss) attributable to non-controlling interest, net of tax of $0 for the nine-months ended</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30, 2020 and 2019</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Net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(405,172</w:t>
            </w:r>
          </w:p>
        </w:tc>
        <w:tc>
          <w:tcPr>
            <w:tcW w:w="320" w:type="dxa"/>
            <w:vAlign w:val="bottom"/>
          </w:tcPr>
          <w:p>
            <w:pPr>
              <w:jc w:val="right"/>
              <w:ind w:right="192"/>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(36,995</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(405,178)</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
              <w:spacing w:after="0" w:line="143" w:lineRule="exact"/>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Other comprehensive income (loss):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(loss) on marketable securities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Total comprehensive loss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(405,228)</w:t>
            </w:r>
          </w:p>
        </w:tc>
        <w:tc>
          <w:tcPr>
            <w:tcW w:w="3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Less: Comprehensive income (loss) attributable to non-controlling interest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92"/>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Comprehensive loss attributable to common stockholders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(405,222</w:t>
            </w:r>
          </w:p>
        </w:tc>
        <w:tc>
          <w:tcPr>
            <w:tcW w:w="320" w:type="dxa"/>
            <w:vAlign w:val="bottom"/>
          </w:tcPr>
          <w:p>
            <w:pPr>
              <w:jc w:val="right"/>
              <w:ind w:right="192"/>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(36,870</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Basic and Diluted net loss per share</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92"/>
              <w:spacing w:after="0" w:line="143" w:lineRule="exact"/>
              <w:rPr>
                <w:sz w:val="20"/>
                <w:szCs w:val="20"/>
                <w:color w:val="auto"/>
              </w:rPr>
            </w:pPr>
            <w:r>
              <w:rPr>
                <w:rFonts w:ascii="Arial" w:cs="Arial" w:eastAsia="Arial" w:hAnsi="Arial"/>
                <w:sz w:val="14"/>
                <w:szCs w:val="14"/>
                <w:color w:val="auto"/>
              </w:rPr>
              <w:t>(36.03)</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
              <w:spacing w:after="0" w:line="143"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Basic and Diluted weighted-average common shares outstanding</w:t>
            </w:r>
          </w:p>
        </w:tc>
        <w:tc>
          <w:tcPr>
            <w:tcW w:w="80" w:type="dxa"/>
            <w:vAlign w:val="bottom"/>
          </w:tcPr>
          <w:p>
            <w:pPr>
              <w:spacing w:after="0"/>
              <w:rPr>
                <w:sz w:val="15"/>
                <w:szCs w:val="15"/>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4"/>
                <w:szCs w:val="14"/>
                <w:color w:val="auto"/>
                <w:w w:val="82"/>
              </w:rPr>
              <w:t>11,244,365</w:t>
            </w:r>
          </w:p>
        </w:tc>
        <w:tc>
          <w:tcPr>
            <w:tcW w:w="80" w:type="dxa"/>
            <w:vAlign w:val="bottom"/>
          </w:tcPr>
          <w:p>
            <w:pPr>
              <w:spacing w:after="0"/>
              <w:rPr>
                <w:sz w:val="15"/>
                <w:szCs w:val="15"/>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4"/>
                <w:szCs w:val="14"/>
                <w:color w:val="auto"/>
                <w:w w:val="82"/>
              </w:rPr>
              <w:t>11,186,064</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238"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Condensed Consolidated Statements of Redeemable Convertible Preferred Stock and Stockholders’ Deficit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Non-</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80" w:type="dxa"/>
            <w:vAlign w:val="bottom"/>
          </w:tcPr>
          <w:p>
            <w:pPr>
              <w:spacing w:after="0"/>
              <w:rPr>
                <w:sz w:val="9"/>
                <w:szCs w:val="9"/>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w w:val="86"/>
              </w:rPr>
              <w:t>Common 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w w:val="98"/>
              </w:rPr>
              <w:t>Treasury Stock</w:t>
            </w:r>
          </w:p>
        </w:tc>
        <w:tc>
          <w:tcPr>
            <w:tcW w:w="10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140"/>
              <w:spacing w:after="0" w:line="11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9"/>
                <w:szCs w:val="9"/>
                <w:color w:val="auto"/>
              </w:rPr>
            </w:pPr>
          </w:p>
        </w:tc>
        <w:tc>
          <w:tcPr>
            <w:tcW w:w="780" w:type="dxa"/>
            <w:vAlign w:val="bottom"/>
            <w:gridSpan w:val="3"/>
          </w:tcPr>
          <w:p>
            <w:pPr>
              <w:spacing w:after="0" w:line="112" w:lineRule="exact"/>
              <w:rPr>
                <w:sz w:val="20"/>
                <w:szCs w:val="20"/>
                <w:color w:val="auto"/>
              </w:rPr>
            </w:pPr>
            <w:r>
              <w:rPr>
                <w:rFonts w:ascii="Arial" w:cs="Arial" w:eastAsia="Arial" w:hAnsi="Arial"/>
                <w:sz w:val="11"/>
                <w:szCs w:val="11"/>
                <w:b w:val="1"/>
                <w:bCs w:val="1"/>
                <w:color w:val="auto"/>
                <w:w w:val="94"/>
              </w:rPr>
              <w:t>QuantumScape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0" w:type="dxa"/>
            <w:vAlign w:val="bottom"/>
            <w:tcBorders>
              <w:bottom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Borders>
              <w:bottom w:val="single" w:sz="8" w:color="auto"/>
            </w:tcBorders>
            <w:gridSpan w:val="4"/>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bottom w:val="single" w:sz="8" w:color="auto"/>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gridSpan w:val="2"/>
          </w:tcPr>
          <w:p>
            <w:pPr>
              <w:jc w:val="right"/>
              <w:ind w:right="160"/>
              <w:spacing w:after="0" w:line="92" w:lineRule="exact"/>
              <w:rPr>
                <w:sz w:val="20"/>
                <w:szCs w:val="20"/>
                <w:color w:val="auto"/>
              </w:rPr>
            </w:pPr>
            <w:r>
              <w:rPr>
                <w:rFonts w:ascii="Arial" w:cs="Arial" w:eastAsia="Arial" w:hAnsi="Arial"/>
                <w:sz w:val="10"/>
                <w:szCs w:val="10"/>
                <w:b w:val="1"/>
                <w:bCs w:val="1"/>
                <w:color w:val="auto"/>
              </w:rPr>
              <w:t>Paid-In</w:t>
            </w:r>
          </w:p>
        </w:tc>
        <w:tc>
          <w:tcPr>
            <w:tcW w:w="68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7"/>
                <w:szCs w:val="7"/>
                <w:color w:val="auto"/>
              </w:rPr>
            </w:pPr>
          </w:p>
        </w:tc>
        <w:tc>
          <w:tcPr>
            <w:tcW w:w="740" w:type="dxa"/>
            <w:vAlign w:val="bottom"/>
            <w:gridSpan w:val="2"/>
          </w:tcPr>
          <w:p>
            <w:pPr>
              <w:jc w:val="center"/>
              <w:ind w:right="80"/>
              <w:spacing w:after="0" w:line="92" w:lineRule="exact"/>
              <w:rPr>
                <w:sz w:val="20"/>
                <w:szCs w:val="20"/>
                <w:color w:val="auto"/>
              </w:rPr>
            </w:pPr>
            <w:r>
              <w:rPr>
                <w:rFonts w:ascii="Arial" w:cs="Arial" w:eastAsia="Arial" w:hAnsi="Arial"/>
                <w:sz w:val="10"/>
                <w:szCs w:val="10"/>
                <w:b w:val="1"/>
                <w:bCs w:val="1"/>
                <w:color w:val="auto"/>
                <w:w w:val="87"/>
              </w:rPr>
              <w:t>Comprehensive</w:t>
            </w:r>
          </w:p>
        </w:tc>
        <w:tc>
          <w:tcPr>
            <w:tcW w:w="40" w:type="dxa"/>
            <w:vAlign w:val="bottom"/>
          </w:tcPr>
          <w:p>
            <w:pPr>
              <w:spacing w:after="0"/>
              <w:rPr>
                <w:sz w:val="7"/>
                <w:szCs w:val="7"/>
                <w:color w:val="auto"/>
              </w:rPr>
            </w:pPr>
          </w:p>
        </w:tc>
        <w:tc>
          <w:tcPr>
            <w:tcW w:w="780" w:type="dxa"/>
            <w:vAlign w:val="bottom"/>
            <w:gridSpan w:val="3"/>
          </w:tcPr>
          <w:p>
            <w:pPr>
              <w:jc w:val="center"/>
              <w:ind w:right="60"/>
              <w:spacing w:after="0" w:line="92" w:lineRule="exact"/>
              <w:rPr>
                <w:sz w:val="20"/>
                <w:szCs w:val="20"/>
                <w:color w:val="auto"/>
              </w:rPr>
            </w:pPr>
            <w:r>
              <w:rPr>
                <w:rFonts w:ascii="Arial" w:cs="Arial" w:eastAsia="Arial" w:hAnsi="Arial"/>
                <w:sz w:val="10"/>
                <w:szCs w:val="10"/>
                <w:b w:val="1"/>
                <w:bCs w:val="1"/>
                <w:color w:val="auto"/>
                <w:w w:val="96"/>
              </w:rPr>
              <w:t>Stockholders’</w:t>
            </w:r>
          </w:p>
        </w:tc>
        <w:tc>
          <w:tcPr>
            <w:tcW w:w="40" w:type="dxa"/>
            <w:vAlign w:val="bottom"/>
          </w:tcPr>
          <w:p>
            <w:pPr>
              <w:spacing w:after="0"/>
              <w:rPr>
                <w:sz w:val="7"/>
                <w:szCs w:val="7"/>
                <w:color w:val="auto"/>
              </w:rPr>
            </w:pPr>
          </w:p>
        </w:tc>
        <w:tc>
          <w:tcPr>
            <w:tcW w:w="620" w:type="dxa"/>
            <w:vAlign w:val="bottom"/>
            <w:gridSpan w:val="3"/>
          </w:tcPr>
          <w:p>
            <w:pPr>
              <w:ind w:left="20"/>
              <w:spacing w:after="0" w:line="92" w:lineRule="exact"/>
              <w:rPr>
                <w:sz w:val="20"/>
                <w:szCs w:val="20"/>
                <w:color w:val="auto"/>
              </w:rPr>
            </w:pPr>
            <w:r>
              <w:rPr>
                <w:rFonts w:ascii="Arial" w:cs="Arial" w:eastAsia="Arial" w:hAnsi="Arial"/>
                <w:sz w:val="10"/>
                <w:szCs w:val="10"/>
                <w:b w:val="1"/>
                <w:bCs w:val="1"/>
                <w:color w:val="auto"/>
              </w:rPr>
              <w:t>Controlling</w:t>
            </w: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1"/>
                <w:szCs w:val="11"/>
                <w:b w:val="1"/>
                <w:bCs w:val="1"/>
                <w:u w:val="single" w:color="auto"/>
                <w:color w:val="auto"/>
              </w:rPr>
              <w:t>Amount</w:t>
            </w:r>
          </w:p>
        </w:tc>
        <w:tc>
          <w:tcPr>
            <w:tcW w:w="60" w:type="dxa"/>
            <w:vAlign w:val="bottom"/>
          </w:tcPr>
          <w:p>
            <w:pPr>
              <w:spacing w:after="0"/>
              <w:rPr>
                <w:sz w:val="12"/>
                <w:szCs w:val="1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3"/>
              </w:rPr>
              <w:t>gain (loss)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interest</w:t>
            </w:r>
          </w:p>
        </w:tc>
        <w:tc>
          <w:tcPr>
            <w:tcW w:w="4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Balance at</w:t>
            </w: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40" w:type="dxa"/>
            <w:vAlign w:val="bottom"/>
            <w:gridSpan w:val="2"/>
            <w:vMerge w:val="continue"/>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48,390,851</w:t>
            </w:r>
          </w:p>
        </w:tc>
        <w:tc>
          <w:tcPr>
            <w:tcW w:w="60" w:type="dxa"/>
            <w:vAlign w:val="bottom"/>
            <w:vMerge w:val="restart"/>
          </w:tcPr>
          <w:p>
            <w:pPr>
              <w:spacing w:after="0"/>
              <w:rPr>
                <w:sz w:val="9"/>
                <w:szCs w:val="9"/>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w w:val="87"/>
              </w:rPr>
              <w:t>$405,575</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11,229,241</w:t>
            </w:r>
          </w:p>
        </w:tc>
        <w:tc>
          <w:tcPr>
            <w:tcW w:w="20" w:type="dxa"/>
            <w:vAlign w:val="bottom"/>
          </w:tcPr>
          <w:p>
            <w:pPr>
              <w:spacing w:after="0"/>
              <w:rPr>
                <w:sz w:val="9"/>
                <w:szCs w:val="9"/>
                <w:color w:val="auto"/>
              </w:rPr>
            </w:pPr>
          </w:p>
        </w:tc>
        <w:tc>
          <w:tcPr>
            <w:tcW w:w="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1</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438,191</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w w:val="97"/>
              </w:rPr>
              <w:t>(4,189)</w:t>
            </w: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43,077</w:t>
            </w:r>
          </w:p>
        </w:tc>
        <w:tc>
          <w:tcPr>
            <w:tcW w:w="10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rPr>
              <w:t>(295,862)</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90</w:t>
            </w:r>
          </w:p>
        </w:tc>
        <w:tc>
          <w:tcPr>
            <w:tcW w:w="80" w:type="dxa"/>
            <w:vAlign w:val="bottom"/>
          </w:tcPr>
          <w:p>
            <w:pPr>
              <w:spacing w:after="0"/>
              <w:rPr>
                <w:sz w:val="9"/>
                <w:szCs w:val="9"/>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1"/>
                <w:szCs w:val="11"/>
                <w:b w:val="1"/>
                <w:bCs w:val="1"/>
                <w:color w:val="auto"/>
              </w:rPr>
              <w:t>(256,883)</w:t>
            </w:r>
          </w:p>
        </w:tc>
        <w:tc>
          <w:tcPr>
            <w:tcW w:w="1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1,710</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w w:val="88"/>
              </w:rPr>
              <w:t>$ (255,173)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w w:val="90"/>
              </w:rPr>
              <w:t>December 31, 2019</w:t>
            </w:r>
          </w:p>
        </w:tc>
        <w:tc>
          <w:tcPr>
            <w:tcW w:w="5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shd w:val="clear" w:color="auto" w:fill="CCEEFF"/>
          </w:tcPr>
          <w:p>
            <w:pPr>
              <w:ind w:left="200"/>
              <w:spacing w:after="0" w:line="99" w:lineRule="exact"/>
              <w:rPr>
                <w:sz w:val="20"/>
                <w:szCs w:val="20"/>
                <w:color w:val="auto"/>
              </w:rPr>
            </w:pPr>
            <w:r>
              <w:rPr>
                <w:rFonts w:ascii="Arial" w:cs="Arial" w:eastAsia="Arial" w:hAnsi="Arial"/>
                <w:sz w:val="11"/>
                <w:szCs w:val="11"/>
                <w:color w:val="auto"/>
                <w:w w:val="96"/>
              </w:rPr>
              <w:t>Exercise of stock</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shd w:val="clear" w:color="auto" w:fill="CCEEFF"/>
          </w:tcPr>
          <w:p>
            <w:pPr>
              <w:ind w:left="300"/>
              <w:spacing w:after="0" w:line="125" w:lineRule="exact"/>
              <w:rPr>
                <w:sz w:val="20"/>
                <w:szCs w:val="20"/>
                <w:color w:val="auto"/>
              </w:rPr>
            </w:pPr>
            <w:r>
              <w:rPr>
                <w:rFonts w:ascii="Arial" w:cs="Arial" w:eastAsia="Arial" w:hAnsi="Arial"/>
                <w:sz w:val="11"/>
                <w:szCs w:val="11"/>
                <w:color w:val="auto"/>
              </w:rPr>
              <w:t>option</w:t>
            </w:r>
          </w:p>
        </w:tc>
        <w:tc>
          <w:tcPr>
            <w:tcW w:w="5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1"/>
                <w:szCs w:val="11"/>
                <w:color w:val="auto"/>
              </w:rPr>
              <w:t>104,019</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320</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320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320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Pr>
          <w:p>
            <w:pPr>
              <w:ind w:left="200"/>
              <w:spacing w:after="0" w:line="99" w:lineRule="exact"/>
              <w:rPr>
                <w:sz w:val="20"/>
                <w:szCs w:val="20"/>
                <w:color w:val="auto"/>
              </w:rPr>
            </w:pPr>
            <w:r>
              <w:rPr>
                <w:rFonts w:ascii="Arial" w:cs="Arial" w:eastAsia="Arial" w:hAnsi="Arial"/>
                <w:sz w:val="11"/>
                <w:szCs w:val="11"/>
                <w:color w:val="auto"/>
              </w:rPr>
              <w:t>Stock-based</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tcPr>
          <w:p>
            <w:pPr>
              <w:ind w:left="300"/>
              <w:spacing w:after="0" w:line="125" w:lineRule="exact"/>
              <w:rPr>
                <w:sz w:val="20"/>
                <w:szCs w:val="20"/>
                <w:color w:val="auto"/>
              </w:rPr>
            </w:pPr>
            <w:r>
              <w:rPr>
                <w:rFonts w:ascii="Arial" w:cs="Arial" w:eastAsia="Arial" w:hAnsi="Arial"/>
                <w:sz w:val="11"/>
                <w:szCs w:val="11"/>
                <w:color w:val="auto"/>
              </w:rPr>
              <w:t>compensation</w:t>
            </w: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w w:val="90"/>
              </w:rPr>
              <w:t>—</w:t>
            </w:r>
          </w:p>
        </w:tc>
        <w:tc>
          <w:tcPr>
            <w:tcW w:w="4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9,253</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9,253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60"/>
              <w:spacing w:after="0" w:line="125" w:lineRule="exact"/>
              <w:rPr>
                <w:sz w:val="20"/>
                <w:szCs w:val="20"/>
                <w:color w:val="auto"/>
              </w:rPr>
            </w:pPr>
            <w:r>
              <w:rPr>
                <w:rFonts w:ascii="Arial" w:cs="Arial" w:eastAsia="Arial" w:hAnsi="Arial"/>
                <w:sz w:val="11"/>
                <w:szCs w:val="11"/>
                <w:color w:val="auto"/>
              </w:rPr>
              <w:t>9,253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shd w:val="clear" w:color="auto" w:fill="CCEEFF"/>
          </w:tcPr>
          <w:p>
            <w:pPr>
              <w:ind w:left="200"/>
              <w:spacing w:after="0" w:line="112" w:lineRule="exact"/>
              <w:rPr>
                <w:sz w:val="20"/>
                <w:szCs w:val="20"/>
                <w:color w:val="auto"/>
              </w:rPr>
            </w:pPr>
            <w:r>
              <w:rPr>
                <w:rFonts w:ascii="Arial" w:cs="Arial" w:eastAsia="Arial" w:hAnsi="Arial"/>
                <w:sz w:val="11"/>
                <w:szCs w:val="11"/>
                <w:color w:val="auto"/>
              </w:rPr>
              <w:t>Net loss</w:t>
            </w: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w w:val="90"/>
              </w:rPr>
              <w:t>—</w:t>
            </w:r>
          </w:p>
        </w:tc>
        <w:tc>
          <w:tcPr>
            <w:tcW w:w="48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(405,172)</w:t>
            </w: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1"/>
                <w:szCs w:val="11"/>
                <w:color w:val="auto"/>
              </w:rPr>
              <w:t>(405,172)</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(6)</w:t>
            </w:r>
          </w:p>
        </w:tc>
        <w:tc>
          <w:tcPr>
            <w:tcW w:w="560" w:type="dxa"/>
            <w:vAlign w:val="bottom"/>
            <w:gridSpan w:val="3"/>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(405,178)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Pr>
          <w:p>
            <w:pPr>
              <w:ind w:left="200"/>
              <w:spacing w:after="0" w:line="99" w:lineRule="exact"/>
              <w:rPr>
                <w:sz w:val="20"/>
                <w:szCs w:val="20"/>
                <w:color w:val="auto"/>
              </w:rPr>
            </w:pPr>
            <w:r>
              <w:rPr>
                <w:rFonts w:ascii="Arial" w:cs="Arial" w:eastAsia="Arial" w:hAnsi="Arial"/>
                <w:sz w:val="11"/>
                <w:szCs w:val="11"/>
                <w:color w:val="auto"/>
              </w:rPr>
              <w:t>Unrealized gain</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tcPr>
          <w:p>
            <w:pPr>
              <w:ind w:left="300"/>
              <w:spacing w:after="0" w:line="112" w:lineRule="exact"/>
              <w:rPr>
                <w:sz w:val="20"/>
                <w:szCs w:val="20"/>
                <w:color w:val="auto"/>
              </w:rPr>
            </w:pPr>
            <w:r>
              <w:rPr>
                <w:rFonts w:ascii="Arial" w:cs="Arial" w:eastAsia="Arial" w:hAnsi="Arial"/>
                <w:sz w:val="11"/>
                <w:szCs w:val="11"/>
                <w:color w:val="auto"/>
              </w:rPr>
              <w:t>on marketable</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tcPr>
          <w:p>
            <w:pPr>
              <w:ind w:left="300"/>
              <w:spacing w:after="0" w:line="125" w:lineRule="exact"/>
              <w:rPr>
                <w:sz w:val="20"/>
                <w:szCs w:val="20"/>
                <w:color w:val="auto"/>
              </w:rPr>
            </w:pPr>
            <w:r>
              <w:rPr>
                <w:rFonts w:ascii="Arial" w:cs="Arial" w:eastAsia="Arial" w:hAnsi="Arial"/>
                <w:sz w:val="11"/>
                <w:szCs w:val="11"/>
                <w:color w:val="auto"/>
              </w:rPr>
              <w:t>securities</w:t>
            </w: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w w:val="90"/>
              </w:rPr>
              <w:t>—</w:t>
            </w:r>
          </w:p>
        </w:tc>
        <w:tc>
          <w:tcPr>
            <w:tcW w:w="4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40"/>
              <w:spacing w:after="0" w:line="125" w:lineRule="exact"/>
              <w:rPr>
                <w:sz w:val="20"/>
                <w:szCs w:val="20"/>
                <w:color w:val="auto"/>
              </w:rPr>
            </w:pPr>
            <w:r>
              <w:rPr>
                <w:rFonts w:ascii="Arial" w:cs="Arial" w:eastAsia="Arial" w:hAnsi="Arial"/>
                <w:sz w:val="11"/>
                <w:szCs w:val="11"/>
                <w:color w:val="auto"/>
              </w:rPr>
              <w:t>(51)</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(51)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40"/>
              <w:spacing w:after="0" w:line="125" w:lineRule="exact"/>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b w:val="1"/>
                <w:bCs w:val="1"/>
                <w:color w:val="auto"/>
              </w:rPr>
              <w:t>September 30,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48,390,851</w:t>
            </w:r>
          </w:p>
        </w:tc>
        <w:tc>
          <w:tcPr>
            <w:tcW w:w="60" w:type="dxa"/>
            <w:vAlign w:val="bottom"/>
            <w:vMerge w:val="restart"/>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u w:val="single" w:color="auto"/>
                <w:color w:val="auto"/>
                <w:w w:val="87"/>
              </w:rPr>
              <w:t>$</w:t>
            </w:r>
            <w:r>
              <w:rPr>
                <w:rFonts w:ascii="Arial" w:cs="Arial" w:eastAsia="Arial" w:hAnsi="Arial"/>
                <w:sz w:val="11"/>
                <w:szCs w:val="11"/>
                <w:b w:val="1"/>
                <w:bCs w:val="1"/>
                <w:color w:val="auto"/>
                <w:w w:val="87"/>
              </w:rPr>
              <w:t>405,575</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11,333,260</w:t>
            </w:r>
          </w:p>
        </w:tc>
        <w:tc>
          <w:tcPr>
            <w:tcW w:w="2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b w:val="1"/>
                <w:bCs w:val="1"/>
                <w:u w:val="single" w:color="auto"/>
                <w:color w:val="auto"/>
                <w:w w:val="87"/>
              </w:rPr>
              <w:t>$</w:t>
            </w:r>
            <w:r>
              <w:rPr>
                <w:rFonts w:ascii="Arial" w:cs="Arial" w:eastAsia="Arial" w:hAnsi="Arial"/>
                <w:sz w:val="11"/>
                <w:szCs w:val="11"/>
                <w:b w:val="1"/>
                <w:bCs w:val="1"/>
                <w:color w:val="auto"/>
                <w:w w:val="87"/>
              </w:rPr>
              <w:t>438,191</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w w:val="97"/>
              </w:rPr>
              <w:t>(4,189)</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52,650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(701,034)</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39</w:t>
            </w:r>
          </w:p>
        </w:tc>
        <w:tc>
          <w:tcPr>
            <w:tcW w:w="8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(652,533)</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1,704</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8"/>
              </w:rPr>
              <w:t>$ (650,829)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2020</w:t>
            </w:r>
          </w:p>
        </w:tc>
        <w:tc>
          <w:tcPr>
            <w:tcW w:w="520" w:type="dxa"/>
            <w:vAlign w:val="bottom"/>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86"/>
              </w:rPr>
              <w:t>Redeemable</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Accumulated</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1"/>
                <w:szCs w:val="11"/>
                <w:b w:val="1"/>
                <w:bCs w:val="1"/>
                <w:color w:val="auto"/>
                <w:w w:val="95"/>
              </w:rPr>
              <w:t>Non-</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gridSpan w:val="4"/>
          </w:tcPr>
          <w:p>
            <w:pPr>
              <w:jc w:val="center"/>
              <w:ind w:right="80"/>
              <w:spacing w:after="0" w:line="112" w:lineRule="exact"/>
              <w:rPr>
                <w:sz w:val="20"/>
                <w:szCs w:val="20"/>
                <w:color w:val="auto"/>
              </w:rPr>
            </w:pPr>
            <w:r>
              <w:rPr>
                <w:rFonts w:ascii="Arial" w:cs="Arial" w:eastAsia="Arial" w:hAnsi="Arial"/>
                <w:sz w:val="11"/>
                <w:szCs w:val="11"/>
                <w:b w:val="1"/>
                <w:bCs w:val="1"/>
                <w:color w:val="auto"/>
                <w:w w:val="92"/>
              </w:rPr>
              <w:t>Convertible</w:t>
            </w:r>
          </w:p>
        </w:tc>
        <w:tc>
          <w:tcPr>
            <w:tcW w:w="840" w:type="dxa"/>
            <w:vAlign w:val="bottom"/>
            <w:gridSpan w:val="4"/>
            <w:vMerge w:val="restart"/>
          </w:tcPr>
          <w:p>
            <w:pPr>
              <w:ind w:left="120"/>
              <w:spacing w:after="0"/>
              <w:rPr>
                <w:sz w:val="20"/>
                <w:szCs w:val="20"/>
                <w:color w:val="auto"/>
              </w:rPr>
            </w:pPr>
            <w:r>
              <w:rPr>
                <w:rFonts w:ascii="Arial" w:cs="Arial" w:eastAsia="Arial" w:hAnsi="Arial"/>
                <w:sz w:val="11"/>
                <w:szCs w:val="11"/>
                <w:b w:val="1"/>
                <w:bCs w:val="1"/>
                <w:color w:val="auto"/>
                <w:w w:val="86"/>
              </w:rPr>
              <w:t>Common Stock</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Treasury Stock</w:t>
            </w:r>
          </w:p>
        </w:tc>
        <w:tc>
          <w:tcPr>
            <w:tcW w:w="580" w:type="dxa"/>
            <w:vAlign w:val="bottom"/>
            <w:gridSpan w:val="3"/>
            <w:vMerge w:val="continue"/>
          </w:tcPr>
          <w:p>
            <w:pPr>
              <w:spacing w:after="0"/>
              <w:rPr>
                <w:sz w:val="9"/>
                <w:szCs w:val="9"/>
                <w:color w:val="auto"/>
              </w:rPr>
            </w:pPr>
          </w:p>
        </w:tc>
        <w:tc>
          <w:tcPr>
            <w:tcW w:w="680" w:type="dxa"/>
            <w:vAlign w:val="bottom"/>
            <w:gridSpan w:val="3"/>
            <w:vMerge w:val="restart"/>
          </w:tcPr>
          <w:p>
            <w:pPr>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9"/>
                <w:szCs w:val="9"/>
                <w:color w:val="auto"/>
              </w:rPr>
            </w:pPr>
          </w:p>
        </w:tc>
        <w:tc>
          <w:tcPr>
            <w:tcW w:w="740" w:type="dxa"/>
            <w:vAlign w:val="bottom"/>
            <w:gridSpan w:val="2"/>
          </w:tcPr>
          <w:p>
            <w:pPr>
              <w:jc w:val="center"/>
              <w:ind w:right="140"/>
              <w:spacing w:after="0" w:line="11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9"/>
                <w:szCs w:val="9"/>
                <w:color w:val="auto"/>
              </w:rPr>
            </w:pPr>
          </w:p>
        </w:tc>
        <w:tc>
          <w:tcPr>
            <w:tcW w:w="780" w:type="dxa"/>
            <w:vAlign w:val="bottom"/>
            <w:gridSpan w:val="3"/>
          </w:tcPr>
          <w:p>
            <w:pPr>
              <w:jc w:val="center"/>
              <w:ind w:right="60"/>
              <w:spacing w:after="0" w:line="112" w:lineRule="exact"/>
              <w:rPr>
                <w:sz w:val="20"/>
                <w:szCs w:val="20"/>
                <w:color w:val="auto"/>
              </w:rPr>
            </w:pPr>
            <w:r>
              <w:rPr>
                <w:rFonts w:ascii="Arial" w:cs="Arial" w:eastAsia="Arial" w:hAnsi="Arial"/>
                <w:sz w:val="11"/>
                <w:szCs w:val="11"/>
                <w:b w:val="1"/>
                <w:bCs w:val="1"/>
                <w:color w:val="auto"/>
                <w:w w:val="89"/>
              </w:rPr>
              <w:t>QuantumScape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gridSpan w:val="4"/>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Preferred Stock</w:t>
            </w:r>
          </w:p>
        </w:tc>
        <w:tc>
          <w:tcPr>
            <w:tcW w:w="8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92"/>
              </w:rPr>
              <w:t>Paid-In</w:t>
            </w:r>
          </w:p>
        </w:tc>
        <w:tc>
          <w:tcPr>
            <w:tcW w:w="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79"/>
              </w:rPr>
              <w:t>Comprehensive</w:t>
            </w:r>
          </w:p>
        </w:tc>
        <w:tc>
          <w:tcPr>
            <w:tcW w:w="40" w:type="dxa"/>
            <w:vAlign w:val="bottom"/>
          </w:tcPr>
          <w:p>
            <w:pPr>
              <w:spacing w:after="0"/>
              <w:rPr>
                <w:sz w:val="10"/>
                <w:szCs w:val="10"/>
                <w:color w:val="auto"/>
              </w:rPr>
            </w:pPr>
          </w:p>
        </w:tc>
        <w:tc>
          <w:tcPr>
            <w:tcW w:w="78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Stockholders’</w:t>
            </w:r>
          </w:p>
        </w:tc>
        <w:tc>
          <w:tcPr>
            <w:tcW w:w="4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8"/>
              </w:rPr>
              <w:t>Controlling</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46"/>
              <w:spacing w:after="0" w:line="102" w:lineRule="exact"/>
              <w:rPr>
                <w:sz w:val="20"/>
                <w:szCs w:val="20"/>
                <w:color w:val="auto"/>
              </w:rPr>
            </w:pPr>
            <w:r>
              <w:rPr>
                <w:rFonts w:ascii="Arial" w:cs="Arial" w:eastAsia="Arial" w:hAnsi="Arial"/>
                <w:sz w:val="11"/>
                <w:szCs w:val="11"/>
                <w:b w:val="1"/>
                <w:bCs w:val="1"/>
                <w:color w:val="auto"/>
              </w:rPr>
              <w:t>Shares</w:t>
            </w:r>
          </w:p>
        </w:tc>
        <w:tc>
          <w:tcPr>
            <w:tcW w:w="60" w:type="dxa"/>
            <w:vAlign w:val="bottom"/>
            <w:tcBorders>
              <w:top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66"/>
              <w:spacing w:after="0" w:line="102"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bottom w:val="single" w:sz="8" w:color="CCEEFF"/>
            </w:tcBorders>
          </w:tcPr>
          <w:p>
            <w:pPr>
              <w:spacing w:after="0"/>
              <w:rPr>
                <w:sz w:val="8"/>
                <w:szCs w:val="8"/>
                <w:color w:val="auto"/>
              </w:rPr>
            </w:pPr>
          </w:p>
        </w:tc>
        <w:tc>
          <w:tcPr>
            <w:tcW w:w="40" w:type="dxa"/>
            <w:vAlign w:val="bottom"/>
            <w:tcBorders>
              <w:top w:val="single" w:sz="8" w:color="auto"/>
              <w:bottom w:val="single" w:sz="8" w:color="CCEEFF"/>
            </w:tcBorders>
          </w:tcPr>
          <w:p>
            <w:pPr>
              <w:spacing w:after="0"/>
              <w:rPr>
                <w:sz w:val="8"/>
                <w:szCs w:val="8"/>
                <w:color w:val="auto"/>
              </w:rPr>
            </w:pPr>
          </w:p>
        </w:tc>
        <w:tc>
          <w:tcPr>
            <w:tcW w:w="380" w:type="dxa"/>
            <w:vAlign w:val="bottom"/>
            <w:tcBorders>
              <w:top w:val="single" w:sz="8" w:color="auto"/>
              <w:bottom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w w:val="86"/>
              </w:rPr>
              <w:t>Amount</w:t>
            </w:r>
          </w:p>
        </w:tc>
        <w:tc>
          <w:tcPr>
            <w:tcW w:w="80" w:type="dxa"/>
            <w:vAlign w:val="bottom"/>
            <w:tcBorders>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ind w:left="80"/>
              <w:spacing w:after="0" w:line="102" w:lineRule="exact"/>
              <w:rPr>
                <w:sz w:val="20"/>
                <w:szCs w:val="20"/>
                <w:color w:val="auto"/>
              </w:rPr>
            </w:pPr>
            <w:r>
              <w:rPr>
                <w:rFonts w:ascii="Arial" w:cs="Arial" w:eastAsia="Arial" w:hAnsi="Arial"/>
                <w:sz w:val="11"/>
                <w:szCs w:val="11"/>
                <w:b w:val="1"/>
                <w:bCs w:val="1"/>
                <w:color w:val="auto"/>
              </w:rPr>
              <w:t>Stock</w:t>
            </w: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26"/>
              <w:spacing w:after="0" w:line="102" w:lineRule="exact"/>
              <w:rPr>
                <w:sz w:val="20"/>
                <w:szCs w:val="20"/>
                <w:color w:val="auto"/>
              </w:rPr>
            </w:pPr>
            <w:r>
              <w:rPr>
                <w:rFonts w:ascii="Arial" w:cs="Arial" w:eastAsia="Arial" w:hAnsi="Arial"/>
                <w:sz w:val="11"/>
                <w:szCs w:val="11"/>
                <w:b w:val="1"/>
                <w:bCs w:val="1"/>
                <w:color w:val="auto"/>
                <w:w w:val="79"/>
              </w:rPr>
              <w:t>Stock</w:t>
            </w: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26"/>
              <w:spacing w:after="0" w:line="102" w:lineRule="exact"/>
              <w:rPr>
                <w:sz w:val="20"/>
                <w:szCs w:val="20"/>
                <w:color w:val="auto"/>
              </w:rPr>
            </w:pPr>
            <w:r>
              <w:rPr>
                <w:rFonts w:ascii="Arial" w:cs="Arial" w:eastAsia="Arial" w:hAnsi="Arial"/>
                <w:sz w:val="11"/>
                <w:szCs w:val="11"/>
                <w:b w:val="1"/>
                <w:bCs w:val="1"/>
                <w:color w:val="auto"/>
                <w:w w:val="92"/>
              </w:rPr>
              <w:t>Capital</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06"/>
              <w:spacing w:after="0" w:line="102" w:lineRule="exact"/>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3"/>
              </w:rPr>
              <w:t>gain (loss)</w:t>
            </w:r>
          </w:p>
        </w:tc>
        <w:tc>
          <w:tcPr>
            <w:tcW w:w="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center"/>
              <w:ind w:right="86"/>
              <w:spacing w:after="0" w:line="102" w:lineRule="exact"/>
              <w:rPr>
                <w:sz w:val="20"/>
                <w:szCs w:val="20"/>
                <w:color w:val="auto"/>
              </w:rPr>
            </w:pPr>
            <w:r>
              <w:rPr>
                <w:rFonts w:ascii="Arial" w:cs="Arial" w:eastAsia="Arial" w:hAnsi="Arial"/>
                <w:sz w:val="11"/>
                <w:szCs w:val="11"/>
                <w:b w:val="1"/>
                <w:bCs w:val="1"/>
                <w:color w:val="auto"/>
                <w:w w:val="86"/>
              </w:rPr>
              <w:t>deficit</w:t>
            </w:r>
          </w:p>
        </w:tc>
        <w:tc>
          <w:tcPr>
            <w:tcW w:w="6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5"/>
              </w:rPr>
              <w:t>interest</w:t>
            </w:r>
          </w:p>
        </w:tc>
        <w:tc>
          <w:tcPr>
            <w:tcW w:w="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ind w:right="66"/>
              <w:spacing w:after="0" w:line="102"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20" w:type="dxa"/>
            <w:vAlign w:val="bottom"/>
            <w:shd w:val="clear" w:color="auto" w:fill="CCEEFF"/>
          </w:tcPr>
          <w:p>
            <w:pPr>
              <w:spacing w:after="0" w:line="75" w:lineRule="exact"/>
              <w:rPr>
                <w:sz w:val="20"/>
                <w:szCs w:val="20"/>
                <w:color w:val="auto"/>
              </w:rPr>
            </w:pPr>
            <w:r>
              <w:rPr>
                <w:rFonts w:ascii="Arial" w:cs="Arial" w:eastAsia="Arial" w:hAnsi="Arial"/>
                <w:sz w:val="8"/>
                <w:szCs w:val="8"/>
                <w:b w:val="1"/>
                <w:bCs w:val="1"/>
                <w:color w:val="auto"/>
              </w:rPr>
              <w:t>Balance at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48,390,851</w:t>
            </w: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$405,575</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11,075,476</w:t>
            </w:r>
          </w:p>
        </w:tc>
        <w:tc>
          <w:tcPr>
            <w:tcW w:w="20" w:type="dxa"/>
            <w:vAlign w:val="bottom"/>
            <w:shd w:val="clear" w:color="auto" w:fill="CCEEFF"/>
          </w:tcPr>
          <w:p>
            <w:pPr>
              <w:spacing w:after="0"/>
              <w:rPr>
                <w:sz w:val="6"/>
                <w:szCs w:val="6"/>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87"/>
              </w:rPr>
              <w:t>$438,191</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w w:val="97"/>
              </w:rPr>
              <w:t>(4,189)</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35,957</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(246,083)</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(31)</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(214,345)</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1,690</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8"/>
              </w:rPr>
              <w:t>$ (212,655)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w w:val="90"/>
              </w:rPr>
              <w:t>December 31, 2018</w:t>
            </w:r>
          </w:p>
        </w:tc>
        <w:tc>
          <w:tcPr>
            <w:tcW w:w="520" w:type="dxa"/>
            <w:vAlign w:val="bottom"/>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Pr>
          <w:p>
            <w:pPr>
              <w:ind w:left="200"/>
              <w:spacing w:after="0" w:line="99" w:lineRule="exact"/>
              <w:rPr>
                <w:sz w:val="20"/>
                <w:szCs w:val="20"/>
                <w:color w:val="auto"/>
              </w:rPr>
            </w:pPr>
            <w:r>
              <w:rPr>
                <w:rFonts w:ascii="Arial" w:cs="Arial" w:eastAsia="Arial" w:hAnsi="Arial"/>
                <w:sz w:val="11"/>
                <w:szCs w:val="11"/>
                <w:color w:val="auto"/>
                <w:w w:val="96"/>
              </w:rPr>
              <w:t>Exercise of stock</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tcPr>
          <w:p>
            <w:pPr>
              <w:ind w:left="300"/>
              <w:spacing w:after="0" w:line="125" w:lineRule="exact"/>
              <w:rPr>
                <w:sz w:val="20"/>
                <w:szCs w:val="20"/>
                <w:color w:val="auto"/>
              </w:rPr>
            </w:pPr>
            <w:r>
              <w:rPr>
                <w:rFonts w:ascii="Arial" w:cs="Arial" w:eastAsia="Arial" w:hAnsi="Arial"/>
                <w:sz w:val="11"/>
                <w:szCs w:val="11"/>
                <w:color w:val="auto"/>
              </w:rPr>
              <w:t>option</w:t>
            </w: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122,289</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0</w:t>
            </w:r>
          </w:p>
        </w:tc>
        <w:tc>
          <w:tcPr>
            <w:tcW w:w="4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266</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266</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60"/>
              <w:spacing w:after="0" w:line="125" w:lineRule="exact"/>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shd w:val="clear" w:color="auto" w:fill="CCEEFF"/>
          </w:tcPr>
          <w:p>
            <w:pPr>
              <w:ind w:left="200"/>
              <w:spacing w:after="0" w:line="99" w:lineRule="exact"/>
              <w:rPr>
                <w:sz w:val="20"/>
                <w:szCs w:val="20"/>
                <w:color w:val="auto"/>
              </w:rPr>
            </w:pPr>
            <w:r>
              <w:rPr>
                <w:rFonts w:ascii="Arial" w:cs="Arial" w:eastAsia="Arial" w:hAnsi="Arial"/>
                <w:sz w:val="11"/>
                <w:szCs w:val="11"/>
                <w:color w:val="auto"/>
              </w:rPr>
              <w:t>Stock-based</w:t>
            </w: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shd w:val="clear" w:color="auto" w:fill="CCEEFF"/>
          </w:tcPr>
          <w:p>
            <w:pPr>
              <w:ind w:left="300"/>
              <w:spacing w:after="0" w:line="125" w:lineRule="exact"/>
              <w:rPr>
                <w:sz w:val="20"/>
                <w:szCs w:val="20"/>
                <w:color w:val="auto"/>
              </w:rPr>
            </w:pPr>
            <w:r>
              <w:rPr>
                <w:rFonts w:ascii="Arial" w:cs="Arial" w:eastAsia="Arial" w:hAnsi="Arial"/>
                <w:sz w:val="11"/>
                <w:szCs w:val="11"/>
                <w:color w:val="auto"/>
              </w:rPr>
              <w:t>compensation</w:t>
            </w:r>
          </w:p>
        </w:tc>
        <w:tc>
          <w:tcPr>
            <w:tcW w:w="5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w w:val="90"/>
              </w:rPr>
              <w:t>—</w:t>
            </w:r>
          </w:p>
        </w:tc>
        <w:tc>
          <w:tcPr>
            <w:tcW w:w="48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4,817</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4,817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60"/>
              <w:spacing w:after="0" w:line="125" w:lineRule="exact"/>
              <w:rPr>
                <w:sz w:val="20"/>
                <w:szCs w:val="20"/>
                <w:color w:val="auto"/>
              </w:rPr>
            </w:pPr>
            <w:r>
              <w:rPr>
                <w:rFonts w:ascii="Arial" w:cs="Arial" w:eastAsia="Arial" w:hAnsi="Arial"/>
                <w:sz w:val="11"/>
                <w:szCs w:val="11"/>
                <w:color w:val="auto"/>
              </w:rPr>
              <w:t>4,817</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Pr>
          <w:p>
            <w:pPr>
              <w:ind w:left="200"/>
              <w:spacing w:after="0" w:line="99" w:lineRule="exact"/>
              <w:rPr>
                <w:sz w:val="20"/>
                <w:szCs w:val="20"/>
                <w:color w:val="auto"/>
              </w:rPr>
            </w:pPr>
            <w:r>
              <w:rPr>
                <w:rFonts w:ascii="Arial" w:cs="Arial" w:eastAsia="Arial" w:hAnsi="Arial"/>
                <w:sz w:val="11"/>
                <w:szCs w:val="11"/>
                <w:color w:val="auto"/>
                <w:w w:val="98"/>
              </w:rPr>
              <w:t>Adoption of ASC</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040" w:type="dxa"/>
            <w:vAlign w:val="bottom"/>
            <w:gridSpan w:val="2"/>
          </w:tcPr>
          <w:p>
            <w:pPr>
              <w:ind w:left="320"/>
              <w:spacing w:after="0" w:line="125" w:lineRule="exact"/>
              <w:rPr>
                <w:sz w:val="20"/>
                <w:szCs w:val="20"/>
                <w:color w:val="auto"/>
              </w:rPr>
            </w:pPr>
            <w:r>
              <w:rPr>
                <w:rFonts w:ascii="Arial" w:cs="Arial" w:eastAsia="Arial" w:hAnsi="Arial"/>
                <w:sz w:val="11"/>
                <w:szCs w:val="11"/>
                <w:color w:val="auto"/>
              </w:rPr>
              <w:t>842</w:t>
            </w: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w w:val="90"/>
              </w:rPr>
              <w: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1,419</w:t>
            </w: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1,419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60"/>
              <w:spacing w:after="0" w:line="125" w:lineRule="exact"/>
              <w:rPr>
                <w:sz w:val="20"/>
                <w:szCs w:val="20"/>
                <w:color w:val="auto"/>
              </w:rPr>
            </w:pPr>
            <w:r>
              <w:rPr>
                <w:rFonts w:ascii="Arial" w:cs="Arial" w:eastAsia="Arial" w:hAnsi="Arial"/>
                <w:sz w:val="11"/>
                <w:szCs w:val="11"/>
                <w:color w:val="auto"/>
              </w:rPr>
              <w:t>1,419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shd w:val="clear" w:color="auto" w:fill="CCEEFF"/>
          </w:tcPr>
          <w:p>
            <w:pPr>
              <w:ind w:left="200"/>
              <w:spacing w:after="0" w:line="112" w:lineRule="exact"/>
              <w:rPr>
                <w:sz w:val="20"/>
                <w:szCs w:val="20"/>
                <w:color w:val="auto"/>
              </w:rPr>
            </w:pPr>
            <w:r>
              <w:rPr>
                <w:rFonts w:ascii="Arial" w:cs="Arial" w:eastAsia="Arial" w:hAnsi="Arial"/>
                <w:sz w:val="11"/>
                <w:szCs w:val="11"/>
                <w:color w:val="auto"/>
              </w:rPr>
              <w:t>Net loss</w:t>
            </w: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w w:val="90"/>
              </w:rPr>
              <w:t>—</w:t>
            </w:r>
          </w:p>
        </w:tc>
        <w:tc>
          <w:tcPr>
            <w:tcW w:w="48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(36,995)</w:t>
            </w:r>
          </w:p>
        </w:tc>
        <w:tc>
          <w:tcPr>
            <w:tcW w:w="100" w:type="dxa"/>
            <w:vAlign w:val="bottom"/>
            <w:tcBorders>
              <w:right w:val="single" w:sz="8" w:color="CCEEFF"/>
            </w:tcBorders>
            <w:shd w:val="clear" w:color="auto" w:fill="CCEEFF"/>
          </w:tcPr>
          <w:p>
            <w:pPr>
              <w:spacing w:after="0"/>
              <w:rPr>
                <w:sz w:val="9"/>
                <w:szCs w:val="9"/>
                <w:color w:val="auto"/>
              </w:rPr>
            </w:pPr>
          </w:p>
        </w:tc>
        <w:tc>
          <w:tcPr>
            <w:tcW w:w="74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1"/>
                <w:szCs w:val="11"/>
                <w:color w:val="auto"/>
              </w:rPr>
              <w:t>(36,995)</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1"/>
                <w:szCs w:val="11"/>
                <w:color w:val="auto"/>
              </w:rPr>
              <w:t>15</w:t>
            </w:r>
          </w:p>
        </w:tc>
        <w:tc>
          <w:tcPr>
            <w:tcW w:w="560" w:type="dxa"/>
            <w:vAlign w:val="bottom"/>
            <w:gridSpan w:val="3"/>
            <w:shd w:val="clear" w:color="auto" w:fill="CCEEFF"/>
          </w:tcPr>
          <w:p>
            <w:pPr>
              <w:jc w:val="right"/>
              <w:ind w:right="40"/>
              <w:spacing w:after="0" w:line="112" w:lineRule="exact"/>
              <w:rPr>
                <w:sz w:val="20"/>
                <w:szCs w:val="20"/>
                <w:color w:val="auto"/>
              </w:rPr>
            </w:pPr>
            <w:r>
              <w:rPr>
                <w:rFonts w:ascii="Arial" w:cs="Arial" w:eastAsia="Arial" w:hAnsi="Arial"/>
                <w:sz w:val="11"/>
                <w:szCs w:val="11"/>
                <w:color w:val="auto"/>
              </w:rPr>
              <w:t>(36,980)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20" w:type="dxa"/>
            <w:vAlign w:val="bottom"/>
          </w:tcPr>
          <w:p>
            <w:pPr>
              <w:ind w:left="200"/>
              <w:spacing w:after="0" w:line="99" w:lineRule="exact"/>
              <w:rPr>
                <w:sz w:val="20"/>
                <w:szCs w:val="20"/>
                <w:color w:val="auto"/>
              </w:rPr>
            </w:pPr>
            <w:r>
              <w:rPr>
                <w:rFonts w:ascii="Arial" w:cs="Arial" w:eastAsia="Arial" w:hAnsi="Arial"/>
                <w:sz w:val="11"/>
                <w:szCs w:val="11"/>
                <w:color w:val="auto"/>
              </w:rPr>
              <w:t>Unrealized gain</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tcPr>
          <w:p>
            <w:pPr>
              <w:ind w:left="300"/>
              <w:spacing w:after="0" w:line="112" w:lineRule="exact"/>
              <w:rPr>
                <w:sz w:val="20"/>
                <w:szCs w:val="20"/>
                <w:color w:val="auto"/>
              </w:rPr>
            </w:pPr>
            <w:r>
              <w:rPr>
                <w:rFonts w:ascii="Arial" w:cs="Arial" w:eastAsia="Arial" w:hAnsi="Arial"/>
                <w:sz w:val="11"/>
                <w:szCs w:val="11"/>
                <w:color w:val="auto"/>
              </w:rPr>
              <w:t>on marketable</w:t>
            </w: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20" w:type="dxa"/>
            <w:vAlign w:val="bottom"/>
          </w:tcPr>
          <w:p>
            <w:pPr>
              <w:ind w:left="300"/>
              <w:spacing w:after="0" w:line="125" w:lineRule="exact"/>
              <w:rPr>
                <w:sz w:val="20"/>
                <w:szCs w:val="20"/>
                <w:color w:val="auto"/>
              </w:rPr>
            </w:pPr>
            <w:r>
              <w:rPr>
                <w:rFonts w:ascii="Arial" w:cs="Arial" w:eastAsia="Arial" w:hAnsi="Arial"/>
                <w:sz w:val="11"/>
                <w:szCs w:val="11"/>
                <w:color w:val="auto"/>
              </w:rPr>
              <w:t>securities</w:t>
            </w: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w w:val="90"/>
              </w:rPr>
              <w:t>—</w:t>
            </w:r>
          </w:p>
        </w:tc>
        <w:tc>
          <w:tcPr>
            <w:tcW w:w="48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125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125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60"/>
              <w:spacing w:after="0" w:line="125" w:lineRule="exact"/>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shd w:val="clear" w:color="auto" w:fill="CCEEFF"/>
          </w:tcPr>
          <w:p>
            <w:pPr>
              <w:spacing w:after="0" w:line="95" w:lineRule="exact"/>
              <w:rPr>
                <w:sz w:val="20"/>
                <w:szCs w:val="20"/>
                <w:color w:val="auto"/>
              </w:rPr>
            </w:pPr>
            <w:r>
              <w:rPr>
                <w:rFonts w:ascii="Arial" w:cs="Arial" w:eastAsia="Arial" w:hAnsi="Arial"/>
                <w:sz w:val="10"/>
                <w:szCs w:val="10"/>
                <w:b w:val="1"/>
                <w:bCs w:val="1"/>
                <w:color w:val="auto"/>
              </w:rPr>
              <w:t>Balance at</w:t>
            </w: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2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b w:val="1"/>
                <w:bCs w:val="1"/>
                <w:color w:val="auto"/>
              </w:rPr>
              <w:t>September 30,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48,390,851</w:t>
            </w: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u w:val="single" w:color="auto"/>
                <w:color w:val="auto"/>
              </w:rPr>
              <w:t>$</w:t>
            </w:r>
            <w:r>
              <w:rPr>
                <w:rFonts w:ascii="Arial" w:cs="Arial" w:eastAsia="Arial" w:hAnsi="Arial"/>
                <w:sz w:val="11"/>
                <w:szCs w:val="11"/>
                <w:b w:val="1"/>
                <w:bCs w:val="1"/>
                <w:color w:val="auto"/>
              </w:rPr>
              <w:t>405,575</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11,197,765</w:t>
            </w:r>
          </w:p>
        </w:tc>
        <w:tc>
          <w:tcPr>
            <w:tcW w:w="2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1"/>
                <w:szCs w:val="11"/>
                <w:b w:val="1"/>
                <w:bCs w:val="1"/>
                <w:u w:val="single" w:color="auto"/>
                <w:color w:val="auto"/>
                <w:w w:val="87"/>
              </w:rPr>
              <w:t>$</w:t>
            </w:r>
            <w:r>
              <w:rPr>
                <w:rFonts w:ascii="Arial" w:cs="Arial" w:eastAsia="Arial" w:hAnsi="Arial"/>
                <w:sz w:val="11"/>
                <w:szCs w:val="11"/>
                <w:b w:val="1"/>
                <w:bCs w:val="1"/>
                <w:color w:val="auto"/>
                <w:w w:val="87"/>
              </w:rPr>
              <w:t>438,191</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4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w w:val="97"/>
              </w:rPr>
              <w:t>(4,189)</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41,040</w:t>
            </w:r>
          </w:p>
        </w:tc>
        <w:tc>
          <w:tcPr>
            <w:tcW w:w="100" w:type="dxa"/>
            <w:vAlign w:val="bottom"/>
            <w:vMerge w:val="restart"/>
            <w:shd w:val="clear" w:color="auto" w:fill="CCEEFF"/>
          </w:tcPr>
          <w:p>
            <w:pPr>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(281,659)</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94</w:t>
            </w:r>
          </w:p>
        </w:tc>
        <w:tc>
          <w:tcPr>
            <w:tcW w:w="8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(244,713)</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1"/>
                <w:szCs w:val="11"/>
                <w:b w:val="1"/>
                <w:bCs w:val="1"/>
                <w:color w:val="auto"/>
                <w:w w:val="97"/>
              </w:rPr>
              <w:t>$</w:t>
            </w:r>
          </w:p>
        </w:tc>
        <w:tc>
          <w:tcPr>
            <w:tcW w:w="5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1,705</w:t>
            </w:r>
          </w:p>
        </w:tc>
        <w:tc>
          <w:tcPr>
            <w:tcW w:w="5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8"/>
              </w:rPr>
              <w:t>$ (243,008)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1"/>
                <w:szCs w:val="11"/>
                <w:b w:val="1"/>
                <w:bCs w:val="1"/>
                <w:color w:val="auto"/>
              </w:rPr>
              <w:t>2019</w:t>
            </w:r>
          </w:p>
        </w:tc>
        <w:tc>
          <w:tcPr>
            <w:tcW w:w="520" w:type="dxa"/>
            <w:vAlign w:val="bottom"/>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tcBorders>
              <w:right w:val="single" w:sz="8" w:color="CCEEFF"/>
            </w:tcBorders>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20" w:type="dxa"/>
            <w:vAlign w:val="bottom"/>
            <w:gridSpan w:val="2"/>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560" w:type="dxa"/>
            <w:vAlign w:val="bottom"/>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238"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QuantumScape Corporation</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 Except Share and per Share Amounts)</w:t>
      </w:r>
    </w:p>
    <w:p>
      <w:pPr>
        <w:spacing w:after="0" w:line="178" w:lineRule="exact"/>
        <w:rPr>
          <w:sz w:val="20"/>
          <w:szCs w:val="20"/>
          <w:color w:val="auto"/>
        </w:rPr>
      </w:pPr>
    </w:p>
    <w:tbl>
      <w:tblPr>
        <w:tblLayout w:type="fixed"/>
        <w:tblInd w:w="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760" w:type="dxa"/>
            <w:vAlign w:val="bottom"/>
            <w:gridSpan w:val="6"/>
          </w:tcPr>
          <w:p>
            <w:pPr>
              <w:jc w:val="right"/>
              <w:ind w:right="120"/>
              <w:spacing w:after="0"/>
              <w:rPr>
                <w:sz w:val="20"/>
                <w:szCs w:val="20"/>
                <w:color w:val="auto"/>
              </w:rPr>
            </w:pPr>
            <w:r>
              <w:rPr>
                <w:rFonts w:ascii="Arial" w:cs="Arial" w:eastAsia="Arial" w:hAnsi="Arial"/>
                <w:sz w:val="11"/>
                <w:szCs w:val="11"/>
                <w:b w:val="1"/>
                <w:bCs w:val="1"/>
                <w:color w:val="auto"/>
                <w:w w:val="92"/>
              </w:rPr>
              <w:t>Nine Month Ended September 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Borders>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3"/>
              <w:spacing w:after="0" w:line="102" w:lineRule="exact"/>
              <w:rPr>
                <w:sz w:val="20"/>
                <w:szCs w:val="20"/>
                <w:color w:val="auto"/>
              </w:rPr>
            </w:pPr>
            <w:r>
              <w:rPr>
                <w:rFonts w:ascii="Arial" w:cs="Arial" w:eastAsia="Arial" w:hAnsi="Arial"/>
                <w:sz w:val="11"/>
                <w:szCs w:val="11"/>
                <w:b w:val="1"/>
                <w:bCs w:val="1"/>
                <w:color w:val="auto"/>
              </w:rPr>
              <w:t>2020</w:t>
            </w:r>
          </w:p>
        </w:tc>
        <w:tc>
          <w:tcPr>
            <w:tcW w:w="2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73"/>
              <w:spacing w:after="0" w:line="102"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(405,178)</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(36,980)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5,206</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right-of-use assets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915</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212</w:t>
            </w:r>
          </w:p>
        </w:tc>
        <w:tc>
          <w:tcPr>
            <w:tcW w:w="1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(1,815)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strategic premium</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(490)</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9,253</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4,817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 in fair value of convertible preferred stock warrant liabilities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8,947</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260"/>
              <w:spacing w:after="0"/>
              <w:rPr>
                <w:sz w:val="20"/>
                <w:szCs w:val="20"/>
                <w:color w:val="auto"/>
              </w:rPr>
            </w:pPr>
            <w:r>
              <w:rPr>
                <w:rFonts w:ascii="Arial" w:cs="Arial" w:eastAsia="Arial" w:hAnsi="Arial"/>
                <w:sz w:val="14"/>
                <w:szCs w:val="14"/>
                <w:color w:val="auto"/>
              </w:rPr>
              <w:t>Change in fair value of convertible preferred stock tranche liabilities</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347,120</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52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(491)</w:t>
            </w:r>
          </w:p>
        </w:tc>
        <w:tc>
          <w:tcPr>
            <w:tcW w:w="1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payable, accrued liabilities and accrued compensation</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1,193</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ind w:left="520"/>
              <w:spacing w:after="0"/>
              <w:rPr>
                <w:sz w:val="20"/>
                <w:szCs w:val="20"/>
                <w:color w:val="auto"/>
              </w:rPr>
            </w:pPr>
            <w:r>
              <w:rPr>
                <w:rFonts w:ascii="Arial" w:cs="Arial" w:eastAsia="Arial" w:hAnsi="Arial"/>
                <w:sz w:val="14"/>
                <w:szCs w:val="14"/>
                <w:color w:val="auto"/>
              </w:rPr>
              <w:t>Operating lease liability</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(801)</w:t>
            </w:r>
          </w:p>
        </w:tc>
        <w:tc>
          <w:tcPr>
            <w:tcW w:w="16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(34,114)</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(30,587)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(13,912)</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Proceeds from maturities of marketable securities</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88,000</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197,000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Purchases of marketable securities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(50,633)</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6"/>
              </w:rPr>
              <w:t>(165,211)</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23,455</w:t>
            </w: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Proceeds from issuance of common stock, net of issuance costs</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Deferred financing and SPAC business combination fees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(2,491)</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652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(2,171)</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cash, cash equivalents and restricted cash</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(12,830)</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25,596</w:t>
            </w:r>
          </w:p>
        </w:tc>
        <w:tc>
          <w:tcPr>
            <w:tcW w:w="1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33,632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12,766</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29,434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 accrued but not paid</w:t>
            </w: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3,003</w:t>
            </w: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Deferred financing and SPAC business combination fees, accrued but not paid</w:t>
            </w: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1,912</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presents the Company’s cash, cash equivalents and restricted cash by category in the Company’s Consolidated Balance Sheets:</w:t>
      </w:r>
    </w:p>
    <w:p>
      <w:pPr>
        <w:spacing w:after="0" w:line="20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75"/>
        </w:trPr>
        <w:tc>
          <w:tcPr>
            <w:tcW w:w="6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r>
      <w:tr>
        <w:trPr>
          <w:trHeight w:val="102"/>
        </w:trPr>
        <w:tc>
          <w:tcPr>
            <w:tcW w:w="6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jc w:val="right"/>
              <w:ind w:right="135"/>
              <w:spacing w:after="0" w:line="103" w:lineRule="exact"/>
              <w:rPr>
                <w:sz w:val="20"/>
                <w:szCs w:val="20"/>
                <w:color w:val="auto"/>
              </w:rPr>
            </w:pPr>
            <w:r>
              <w:rPr>
                <w:rFonts w:ascii="Arial" w:cs="Arial" w:eastAsia="Arial" w:hAnsi="Arial"/>
                <w:sz w:val="11"/>
                <w:szCs w:val="11"/>
                <w:color w:val="auto"/>
                <w:w w:val="95"/>
              </w:rPr>
              <w:t>Unaudited</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2"/>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10,573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22,822</w:t>
            </w:r>
          </w:p>
        </w:tc>
      </w:tr>
      <w:tr>
        <w:trPr>
          <w:trHeight w:val="162"/>
        </w:trPr>
        <w:tc>
          <w:tcPr>
            <w:tcW w:w="606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2,193</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2,774</w:t>
            </w:r>
          </w:p>
        </w:tc>
      </w:tr>
      <w:tr>
        <w:trPr>
          <w:trHeight w:val="20"/>
        </w:trPr>
        <w:tc>
          <w:tcPr>
            <w:tcW w:w="6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restricted cash</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12,766</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25,596</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38" w:right="1440" w:bottom="1440" w:gutter="0" w:footer="0" w:header="0"/>
        </w:sectPr>
      </w:pPr>
    </w:p>
    <w:bookmarkStart w:id="151" w:name="page152"/>
    <w:bookmarkEnd w:id="151"/>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QuantumScape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September 30, 2020</w:t>
      </w:r>
    </w:p>
    <w:p>
      <w:pPr>
        <w:spacing w:after="0" w:line="162" w:lineRule="exact"/>
        <w:rPr>
          <w:sz w:val="20"/>
          <w:szCs w:val="20"/>
          <w:color w:val="auto"/>
        </w:rPr>
      </w:pPr>
    </w:p>
    <w:p>
      <w:pPr>
        <w:ind w:left="360" w:right="7439" w:firstLine="3"/>
        <w:spacing w:after="0" w:line="464" w:lineRule="auto"/>
        <w:tabs>
          <w:tab w:leader="none" w:pos="495" w:val="left"/>
        </w:tabs>
        <w:numPr>
          <w:ilvl w:val="0"/>
          <w:numId w:val="186"/>
        </w:numPr>
        <w:rPr>
          <w:rFonts w:ascii="Arial" w:cs="Arial" w:eastAsia="Arial" w:hAnsi="Arial"/>
          <w:sz w:val="11"/>
          <w:szCs w:val="11"/>
          <w:b w:val="1"/>
          <w:bCs w:val="1"/>
          <w:color w:val="auto"/>
        </w:rPr>
      </w:pPr>
      <w:r>
        <w:rPr>
          <w:rFonts w:ascii="Arial" w:cs="Arial" w:eastAsia="Arial" w:hAnsi="Arial"/>
          <w:sz w:val="11"/>
          <w:szCs w:val="11"/>
          <w:b w:val="1"/>
          <w:bCs w:val="1"/>
          <w:color w:val="auto"/>
        </w:rPr>
        <w:t>Nature of Business Organization</w:t>
      </w:r>
    </w:p>
    <w:p>
      <w:pPr>
        <w:ind w:left="360" w:right="399"/>
        <w:spacing w:after="0" w:line="342" w:lineRule="auto"/>
        <w:rPr>
          <w:sz w:val="20"/>
          <w:szCs w:val="20"/>
          <w:color w:val="auto"/>
        </w:rPr>
      </w:pPr>
      <w:r>
        <w:rPr>
          <w:rFonts w:ascii="Arial" w:cs="Arial" w:eastAsia="Arial" w:hAnsi="Arial"/>
          <w:sz w:val="12"/>
          <w:szCs w:val="12"/>
          <w:color w:val="auto"/>
        </w:rPr>
        <w:t>QuantumScape Corporation (the Company) was incorporated in Delaware in May 2010. The Company is a leader in the development of next generation solid-state lithium-metal batteries for use in electric vehicles. The Company is headquartered in San Jose, California.</w:t>
      </w:r>
    </w:p>
    <w:p>
      <w:pPr>
        <w:spacing w:after="0" w:line="94" w:lineRule="exact"/>
        <w:rPr>
          <w:sz w:val="20"/>
          <w:szCs w:val="20"/>
          <w:color w:val="auto"/>
        </w:rPr>
      </w:pPr>
    </w:p>
    <w:p>
      <w:pPr>
        <w:ind w:left="360" w:right="459"/>
        <w:spacing w:after="0" w:line="342" w:lineRule="auto"/>
        <w:rPr>
          <w:sz w:val="20"/>
          <w:szCs w:val="20"/>
          <w:color w:val="auto"/>
        </w:rPr>
      </w:pPr>
      <w:r>
        <w:rPr>
          <w:rFonts w:ascii="Arial" w:cs="Arial" w:eastAsia="Arial" w:hAnsi="Arial"/>
          <w:sz w:val="12"/>
          <w:szCs w:val="12"/>
          <w:color w:val="auto"/>
        </w:rPr>
        <w:t>The Company is focused on the development and commercialization of its solid-state lithium-metal batteries. Planned principal operations have not yet commenced. As of September 30, 2020, the Company has not derived revenue from its principal business activities.</w:t>
      </w:r>
    </w:p>
    <w:p>
      <w:pPr>
        <w:spacing w:after="0" w:line="94" w:lineRule="exact"/>
        <w:rPr>
          <w:sz w:val="20"/>
          <w:szCs w:val="20"/>
          <w:color w:val="auto"/>
        </w:rPr>
      </w:pPr>
    </w:p>
    <w:p>
      <w:pPr>
        <w:ind w:left="360" w:right="419"/>
        <w:spacing w:after="0" w:line="297" w:lineRule="auto"/>
        <w:rPr>
          <w:sz w:val="20"/>
          <w:szCs w:val="20"/>
          <w:color w:val="auto"/>
        </w:rPr>
      </w:pPr>
      <w:r>
        <w:rPr>
          <w:rFonts w:ascii="Arial" w:cs="Arial" w:eastAsia="Arial" w:hAnsi="Arial"/>
          <w:sz w:val="12"/>
          <w:szCs w:val="12"/>
          <w:color w:val="auto"/>
        </w:rPr>
        <w:t>Beginning in March 2020, the COVID-19 pandemic and the measures imposed to contain this pandemic have disrupted and are expected to continue to impact the Company’s business. To date, our business operations have been slowed due to the government restrictions, however there has not been a direct impact on our financial operations. The magnitude of the impact of the COVID-19 pandemic on the Company’s productivity, results of operations and financial position, and its disruption to the Company’s business and battery development and timeline, will depend in part, on the length and severity of these restrictions and on the Company’s ability to conduct business in the ordinary course.</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Pending Business Combination</w:t>
      </w:r>
    </w:p>
    <w:p>
      <w:pPr>
        <w:spacing w:after="0" w:line="85" w:lineRule="exact"/>
        <w:rPr>
          <w:sz w:val="20"/>
          <w:szCs w:val="20"/>
          <w:color w:val="auto"/>
        </w:rPr>
      </w:pPr>
    </w:p>
    <w:p>
      <w:pPr>
        <w:ind w:left="360" w:right="439"/>
        <w:spacing w:after="0" w:line="292" w:lineRule="auto"/>
        <w:rPr>
          <w:sz w:val="20"/>
          <w:szCs w:val="20"/>
          <w:color w:val="auto"/>
        </w:rPr>
      </w:pPr>
      <w:r>
        <w:rPr>
          <w:rFonts w:ascii="Arial" w:cs="Arial" w:eastAsia="Arial" w:hAnsi="Arial"/>
          <w:sz w:val="12"/>
          <w:szCs w:val="12"/>
          <w:color w:val="auto"/>
        </w:rPr>
        <w:t>On September 3, 2020, Kensington Capital Acquisition Corp (“Kensington” or “KCAC”), together with Merger Sub, its fully owned subsidiary, announced that the Company will enter into a business combination transaction pursuant to which Merger Sub will merge with and into the Company with the Company surviving the merger as a wholly owned subsidiary of Kensington. Kensington is special purpose acquisition company. If such business combination is ultimately completed (referred to as “SPAC business combination”), the Company would effectively comprise all of Kensington’s material operations. The business combination agreement requires the investment of $500.0 million from other private investors (PIPE) in addition to the $230.0 million already available in the KCAC account. As the SPAC business combination has not occurred as of September 30, 2020, there is no impact for the operations of Kensington in the financial statements of the Company.</w:t>
      </w:r>
    </w:p>
    <w:p>
      <w:pPr>
        <w:spacing w:after="0" w:line="203" w:lineRule="exact"/>
        <w:rPr>
          <w:sz w:val="20"/>
          <w:szCs w:val="20"/>
          <w:color w:val="auto"/>
        </w:rPr>
      </w:pPr>
    </w:p>
    <w:p>
      <w:pPr>
        <w:ind w:left="360" w:right="5979" w:firstLine="3"/>
        <w:spacing w:after="0" w:line="364" w:lineRule="auto"/>
        <w:tabs>
          <w:tab w:leader="none" w:pos="495" w:val="left"/>
        </w:tabs>
        <w:numPr>
          <w:ilvl w:val="0"/>
          <w:numId w:val="18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spacing w:after="0" w:line="1" w:lineRule="exact"/>
        <w:rPr>
          <w:sz w:val="20"/>
          <w:szCs w:val="20"/>
          <w:color w:val="auto"/>
        </w:rPr>
      </w:pPr>
    </w:p>
    <w:p>
      <w:pPr>
        <w:ind w:left="360" w:right="539"/>
        <w:spacing w:after="0" w:line="312" w:lineRule="auto"/>
        <w:rPr>
          <w:sz w:val="20"/>
          <w:szCs w:val="20"/>
          <w:color w:val="auto"/>
        </w:rPr>
      </w:pPr>
      <w:r>
        <w:rPr>
          <w:rFonts w:ascii="Arial" w:cs="Arial" w:eastAsia="Arial" w:hAnsi="Arial"/>
          <w:sz w:val="12"/>
          <w:szCs w:val="12"/>
          <w:color w:val="auto"/>
        </w:rPr>
        <w:t>The Company’s condensed consolidated financial statements have been prepared in conformity with accounting principles generally accepted in the United States of America (GAAP) as determined by the Financial Accounting Standards Board (FASB) Accounting Standards Codification (ASC) for interim financial information and pursuant to the regulations of the U.S. Securities and Exchange Commission (SEC).</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Use of Estimates</w:t>
      </w:r>
    </w:p>
    <w:p>
      <w:pPr>
        <w:spacing w:after="0" w:line="85" w:lineRule="exact"/>
        <w:rPr>
          <w:sz w:val="20"/>
          <w:szCs w:val="20"/>
          <w:color w:val="auto"/>
        </w:rPr>
      </w:pPr>
    </w:p>
    <w:p>
      <w:pPr>
        <w:ind w:left="360" w:right="399"/>
        <w:spacing w:after="0" w:line="292" w:lineRule="auto"/>
        <w:rPr>
          <w:sz w:val="20"/>
          <w:szCs w:val="20"/>
          <w:color w:val="auto"/>
        </w:rPr>
      </w:pPr>
      <w:r>
        <w:rPr>
          <w:rFonts w:ascii="Arial" w:cs="Arial" w:eastAsia="Arial" w:hAnsi="Arial"/>
          <w:sz w:val="12"/>
          <w:szCs w:val="12"/>
          <w:color w:val="auto"/>
        </w:rPr>
        <w:t>The preparation of the condensed consolidated financial statements in accordance with GAAP requires management to make estimates and assumptions that affect the reported amounts of assets and liabilities and disclosure of commitments and contingencies at the date of the financial statements as well as reported amounts of expenses during the reporting periods. On an ongoing basis, the Company evaluates its estimates, including those related to the valuation of common stock, valuation of convertible preferred stock warrants, and valuation of convertible preferred stock tranche liabilities,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may differ materially from these estimates.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Unaudited Interim Condensed Consolidated Financial Statements</w:t>
      </w:r>
    </w:p>
    <w:p>
      <w:pPr>
        <w:spacing w:after="0" w:line="85" w:lineRule="exact"/>
        <w:rPr>
          <w:sz w:val="20"/>
          <w:szCs w:val="20"/>
          <w:color w:val="auto"/>
        </w:rPr>
      </w:pPr>
    </w:p>
    <w:p>
      <w:pPr>
        <w:jc w:val="both"/>
        <w:ind w:left="360" w:right="979"/>
        <w:spacing w:after="0" w:line="312" w:lineRule="auto"/>
        <w:rPr>
          <w:sz w:val="20"/>
          <w:szCs w:val="20"/>
          <w:color w:val="auto"/>
        </w:rPr>
      </w:pPr>
      <w:r>
        <w:rPr>
          <w:rFonts w:ascii="Arial" w:cs="Arial" w:eastAsia="Arial" w:hAnsi="Arial"/>
          <w:sz w:val="12"/>
          <w:szCs w:val="12"/>
          <w:color w:val="auto"/>
        </w:rPr>
        <w:t>The accompanying interim condensed consolidated balance sheet as of September 30, 2020, the interim condensed consolidated statements of redeemable preferred stock and stockholders’ deficit, the interim condensed consolidated statements of operations, and the interim condensed consolidated statements of cash flows for the nine months ended September 30, 2020 and 2019, are unaudited.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38" w:right="1440" w:bottom="1440" w:gutter="0" w:footer="0" w:header="0"/>
        </w:sectPr>
      </w:pPr>
    </w:p>
    <w:bookmarkStart w:id="152" w:name="page153"/>
    <w:bookmarkEnd w:id="152"/>
    <w:p>
      <w:pPr>
        <w:ind w:left="360" w:right="39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unaudited interim condensed consolidated financial statements have been prepared on the same basis as the audited annual consolidated financial statements and, in management’s opinion, include all adjustments consisting of only normal recurring adjustments necessary for the fair statement of the Company’s financial position as of September 30, 2020 and its results of operations and cash flows for the nine months ended September 30, 2020 and 2019. The financial data and the other financial information disclosed in the notes to these condensed consolidated financial statements related to the nine month periods are also unaudited. The results of operations for the nine months ended September 30, 2020 are not necessarily indicative of the results to be expected for the full fiscal year or any other period.</w:t>
      </w:r>
    </w:p>
    <w:p>
      <w:pPr>
        <w:spacing w:after="0" w:line="122" w:lineRule="exact"/>
        <w:rPr>
          <w:sz w:val="20"/>
          <w:szCs w:val="20"/>
          <w:color w:val="auto"/>
        </w:rPr>
      </w:pPr>
    </w:p>
    <w:p>
      <w:pPr>
        <w:ind w:left="360" w:right="539"/>
        <w:spacing w:after="0" w:line="247" w:lineRule="auto"/>
        <w:rPr>
          <w:sz w:val="20"/>
          <w:szCs w:val="20"/>
          <w:color w:val="auto"/>
        </w:rPr>
      </w:pPr>
      <w:r>
        <w:rPr>
          <w:rFonts w:ascii="Arial" w:cs="Arial" w:eastAsia="Arial" w:hAnsi="Arial"/>
          <w:sz w:val="14"/>
          <w:szCs w:val="14"/>
          <w:color w:val="auto"/>
        </w:rPr>
        <w:t>These unaudited interim condensed consolidated financial statements should be read in conjunction with the consolidated financial statements and the related notes included in the Company’s annual consolidated financial statements for the fiscal year ended December 31, 2019 included in the Kensington proxy statement/prospectus/information statement dated November 10, 2020, filed with the SEC pursuant to Rule 424(b)(3) under the Securities Act of 1933.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Principles of Consolidation</w:t>
      </w:r>
    </w:p>
    <w:p>
      <w:pPr>
        <w:spacing w:after="0" w:line="85" w:lineRule="exact"/>
        <w:rPr>
          <w:sz w:val="20"/>
          <w:szCs w:val="20"/>
          <w:color w:val="auto"/>
        </w:rPr>
      </w:pPr>
    </w:p>
    <w:p>
      <w:pPr>
        <w:ind w:left="360" w:right="379"/>
        <w:spacing w:after="0" w:line="291" w:lineRule="auto"/>
        <w:rPr>
          <w:sz w:val="20"/>
          <w:szCs w:val="20"/>
          <w:color w:val="auto"/>
        </w:rPr>
      </w:pPr>
      <w:r>
        <w:rPr>
          <w:rFonts w:ascii="Arial" w:cs="Arial" w:eastAsia="Arial" w:hAnsi="Arial"/>
          <w:sz w:val="12"/>
          <w:szCs w:val="12"/>
          <w:color w:val="auto"/>
        </w:rPr>
        <w:t>The Company’s policy is to consolidate all entities that it controls by ownership of a majority of the outstanding voting stock. In addition, the Company consolidates entities that meet the definition of a variable interest entity (“VIE”) for which the Company is the related party most closely associated with and is the primary beneficiary.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For consolidated entities that are less than wholly owned, the third party’s holding of an equity interest is presented as Noncontrolling interests in the Company’s Consolidated Balance Sheet and Consolidated Statements of Redeemable Convertible Preferred Stock and Stockholders’ Deficit. The portion of net earnings attributable to the noncontrolling interests is presented as Net income (loss) attributable to noncontrolling interests in the Company’s Consolidated Statements of Operations and Comprehensive Loss.</w:t>
      </w:r>
    </w:p>
    <w:p>
      <w:pPr>
        <w:spacing w:after="0" w:line="123" w:lineRule="exact"/>
        <w:rPr>
          <w:sz w:val="20"/>
          <w:szCs w:val="20"/>
          <w:color w:val="auto"/>
        </w:rPr>
      </w:pPr>
    </w:p>
    <w:p>
      <w:pPr>
        <w:ind w:left="360" w:right="519"/>
        <w:spacing w:after="0" w:line="247" w:lineRule="auto"/>
        <w:rPr>
          <w:sz w:val="20"/>
          <w:szCs w:val="20"/>
          <w:color w:val="auto"/>
        </w:rPr>
      </w:pPr>
      <w:r>
        <w:rPr>
          <w:rFonts w:ascii="Arial" w:cs="Arial" w:eastAsia="Arial" w:hAnsi="Arial"/>
          <w:sz w:val="14"/>
          <w:szCs w:val="14"/>
          <w:color w:val="auto"/>
        </w:rPr>
        <w:t>The Company was a single-legal entity prior to becoming a partner with Volkswagen Group of America (VWGoA) in the JV entity. As noted in “Joint Venture” discussion, the Company determined the JV entity was a VIE for which it was required to consolidate the operations upon its formation in 2018. The Company continued to consolidate the operations of the JV entity in 2019 through September 30, 2020 as the determination of the variable interest entity has not changed.</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Joint Venture</w:t>
      </w:r>
    </w:p>
    <w:p>
      <w:pPr>
        <w:spacing w:after="0" w:line="85" w:lineRule="exact"/>
        <w:rPr>
          <w:sz w:val="20"/>
          <w:szCs w:val="20"/>
          <w:color w:val="auto"/>
        </w:rPr>
      </w:pPr>
    </w:p>
    <w:p>
      <w:pPr>
        <w:ind w:left="360" w:right="379"/>
        <w:spacing w:after="0" w:line="294" w:lineRule="auto"/>
        <w:rPr>
          <w:sz w:val="20"/>
          <w:szCs w:val="20"/>
          <w:color w:val="auto"/>
        </w:rPr>
      </w:pPr>
      <w:r>
        <w:rPr>
          <w:rFonts w:ascii="Arial" w:cs="Arial" w:eastAsia="Arial" w:hAnsi="Arial"/>
          <w:sz w:val="12"/>
          <w:szCs w:val="12"/>
          <w:color w:val="auto"/>
        </w:rPr>
        <w:t>On June 18, 2018, the JV entity was incorporated as a limited liability company. VWGoA, VGA and QuantumScape executed a Joint Venture Agreement (“JVA”), effective September 2018, with the goal of jointly establishing a manufacturing facility in the United States to produce the pilot line of the Company’s product through the JV entity. Volkswagen is a related party stockholder (13.1% voting interest holder of the Company as of September 30, 2020, December 31, 2019 and as of the formation of the JV entity), and also participated in the Company’s Series E convertible preferred stock financing which closed concurrently with the effectiveness of the JV entity and the JVA. Upon the effectiveness of the JVA, each party contributed $1.7 million in cash to capitalize the JV entity in exchange for 50% equity interests.</w:t>
      </w:r>
    </w:p>
    <w:p>
      <w:pPr>
        <w:spacing w:after="0" w:line="122" w:lineRule="exact"/>
        <w:rPr>
          <w:sz w:val="20"/>
          <w:szCs w:val="20"/>
          <w:color w:val="auto"/>
        </w:rPr>
      </w:pPr>
    </w:p>
    <w:p>
      <w:pPr>
        <w:ind w:left="360" w:right="439"/>
        <w:spacing w:after="0" w:line="259" w:lineRule="auto"/>
        <w:rPr>
          <w:sz w:val="20"/>
          <w:szCs w:val="20"/>
          <w:color w:val="auto"/>
        </w:rPr>
      </w:pPr>
      <w:r>
        <w:rPr>
          <w:rFonts w:ascii="Arial" w:cs="Arial" w:eastAsia="Arial" w:hAnsi="Arial"/>
          <w:sz w:val="14"/>
          <w:szCs w:val="14"/>
          <w:color w:val="auto"/>
        </w:rPr>
        <w:t>The joint venture is considered a variable interest entity with a related party and therefore the related party whose business is more closely related to the planned operations of the joint venture is required to consolidate the operations.</w:t>
      </w:r>
    </w:p>
    <w:p>
      <w:pPr>
        <w:spacing w:after="0" w:line="140" w:lineRule="exact"/>
        <w:rPr>
          <w:sz w:val="20"/>
          <w:szCs w:val="20"/>
          <w:color w:val="auto"/>
        </w:rPr>
      </w:pPr>
    </w:p>
    <w:p>
      <w:pPr>
        <w:ind w:left="360" w:right="379"/>
        <w:spacing w:after="0" w:line="250" w:lineRule="auto"/>
        <w:rPr>
          <w:sz w:val="20"/>
          <w:szCs w:val="20"/>
          <w:color w:val="auto"/>
        </w:rPr>
      </w:pPr>
      <w:r>
        <w:rPr>
          <w:rFonts w:ascii="Arial" w:cs="Arial" w:eastAsia="Arial" w:hAnsi="Arial"/>
          <w:sz w:val="14"/>
          <w:szCs w:val="14"/>
          <w:color w:val="auto"/>
        </w:rPr>
        <w:t>The Company determined its operations were most closely aligned with the operations of the joint venture and therefore has consolidated the results of the JV entity’s operations in its consolidated balance sheet, statement of operations and statement of stockholders’ equity. The JV entity has had minimal operations in through September 30, 2020.</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Concentrations of Credit Risk</w:t>
      </w:r>
    </w:p>
    <w:p>
      <w:pPr>
        <w:spacing w:after="0" w:line="85" w:lineRule="exact"/>
        <w:rPr>
          <w:sz w:val="20"/>
          <w:szCs w:val="20"/>
          <w:color w:val="auto"/>
        </w:rPr>
      </w:pPr>
    </w:p>
    <w:p>
      <w:pPr>
        <w:ind w:left="360" w:right="439"/>
        <w:spacing w:after="0" w:line="247" w:lineRule="auto"/>
        <w:rPr>
          <w:sz w:val="20"/>
          <w:szCs w:val="20"/>
          <w:color w:val="auto"/>
        </w:rPr>
      </w:pPr>
      <w:r>
        <w:rPr>
          <w:rFonts w:ascii="Arial" w:cs="Arial" w:eastAsia="Arial" w:hAnsi="Arial"/>
          <w:sz w:val="14"/>
          <w:szCs w:val="14"/>
          <w:color w:val="auto"/>
        </w:rPr>
        <w:t>Financial instruments that potentially subject the Company to credit risk consist principally of cash and cash equivalents, of which $4.7 million is held in a US government Money Market fund, and marketable securities, all of which are invested in US government securities. The Company seeks to mitigate its credit risk with respect to cash and cash equivalents and marketable securities by making deposits with large, reputable financial institutions and investing in shorter term and highly rated instruments.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Credit Impairment Implementation on Available For Sales Securities</w:t>
      </w:r>
    </w:p>
    <w:p>
      <w:pPr>
        <w:spacing w:after="0" w:line="85" w:lineRule="exact"/>
        <w:rPr>
          <w:sz w:val="20"/>
          <w:szCs w:val="20"/>
          <w:color w:val="auto"/>
        </w:rPr>
      </w:pPr>
    </w:p>
    <w:p>
      <w:pPr>
        <w:ind w:left="360" w:right="479"/>
        <w:spacing w:after="0" w:line="342" w:lineRule="auto"/>
        <w:rPr>
          <w:sz w:val="20"/>
          <w:szCs w:val="20"/>
          <w:color w:val="auto"/>
        </w:rPr>
      </w:pPr>
      <w:r>
        <w:rPr>
          <w:rFonts w:ascii="Arial" w:cs="Arial" w:eastAsia="Arial" w:hAnsi="Arial"/>
          <w:sz w:val="12"/>
          <w:szCs w:val="12"/>
          <w:color w:val="auto"/>
        </w:rPr>
        <w:t>An available for sales debt security is impaired when its fair value is less than its amortized cost basis. The portion of impairment due to a credit loss is recorded to net income through an allowance for credit losses, while any portion of impairment that is due to factors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0" w:right="1440" w:bottom="1440" w:gutter="0" w:footer="0" w:header="0"/>
        </w:sectPr>
      </w:pPr>
    </w:p>
    <w:bookmarkStart w:id="153" w:name="page154"/>
    <w:bookmarkEnd w:id="153"/>
    <w:p>
      <w:pPr>
        <w:ind w:left="360" w:right="439"/>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other than a credit loss (e.g., changes in market rates) is recognized in other comprehensive income, net of applicable taxes. However, if an entity intends to sell the debt security (that is, it has decided to sell the security), or more likely than not will be required to sell the security before recovery of its amortized cost basis, any allowance for credit losses shall be written off and the amortized cost basis shall be written down to the debt security’s fair value with any incremental impairment reported in earnings.</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Restricted Cash</w:t>
      </w:r>
    </w:p>
    <w:p>
      <w:pPr>
        <w:spacing w:after="0" w:line="85" w:lineRule="exact"/>
        <w:rPr>
          <w:sz w:val="20"/>
          <w:szCs w:val="20"/>
          <w:color w:val="auto"/>
        </w:rPr>
      </w:pPr>
    </w:p>
    <w:p>
      <w:pPr>
        <w:ind w:left="360" w:right="759"/>
        <w:spacing w:after="0" w:line="342" w:lineRule="auto"/>
        <w:rPr>
          <w:sz w:val="20"/>
          <w:szCs w:val="20"/>
          <w:color w:val="auto"/>
        </w:rPr>
      </w:pPr>
      <w:r>
        <w:rPr>
          <w:rFonts w:ascii="Arial" w:cs="Arial" w:eastAsia="Arial" w:hAnsi="Arial"/>
          <w:sz w:val="12"/>
          <w:szCs w:val="12"/>
          <w:color w:val="auto"/>
        </w:rPr>
        <w:t>Restricted cash, if the date of availability or disbursement is longer than one year and the balances are maintained under an agreement that legally restricts the use of such funds, is not included within cash and cash equivalents and is reported within other assets.</w:t>
      </w:r>
    </w:p>
    <w:p>
      <w:pPr>
        <w:spacing w:after="0" w:line="94" w:lineRule="exact"/>
        <w:rPr>
          <w:sz w:val="20"/>
          <w:szCs w:val="20"/>
          <w:color w:val="auto"/>
        </w:rPr>
      </w:pPr>
    </w:p>
    <w:p>
      <w:pPr>
        <w:jc w:val="both"/>
        <w:ind w:left="360" w:right="739"/>
        <w:spacing w:after="0" w:line="250" w:lineRule="auto"/>
        <w:rPr>
          <w:sz w:val="20"/>
          <w:szCs w:val="20"/>
          <w:color w:val="auto"/>
        </w:rPr>
      </w:pPr>
      <w:r>
        <w:rPr>
          <w:rFonts w:ascii="Arial" w:cs="Arial" w:eastAsia="Arial" w:hAnsi="Arial"/>
          <w:sz w:val="14"/>
          <w:szCs w:val="14"/>
          <w:color w:val="auto"/>
        </w:rPr>
        <w:t>As of September 30, 2020, restricted cash is comprised of $2.2 million of which $2.0 million was pledged as a form of security for the Company’s facility lease agreement and $0.2 million as collateral for a commercial letter of credit issued to an equipment supplier. As of December 31, 2019, restricted cash was $2.8 million.</w:t>
      </w:r>
    </w:p>
    <w:p>
      <w:pPr>
        <w:spacing w:after="0" w:line="22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Convertible Preferred Stock</w:t>
      </w:r>
    </w:p>
    <w:p>
      <w:pPr>
        <w:spacing w:after="0" w:line="85" w:lineRule="exact"/>
        <w:rPr>
          <w:sz w:val="20"/>
          <w:szCs w:val="20"/>
          <w:color w:val="auto"/>
        </w:rPr>
      </w:pPr>
    </w:p>
    <w:p>
      <w:pPr>
        <w:ind w:left="360" w:right="379"/>
        <w:spacing w:after="0" w:line="291" w:lineRule="auto"/>
        <w:rPr>
          <w:sz w:val="20"/>
          <w:szCs w:val="20"/>
          <w:color w:val="auto"/>
        </w:rPr>
      </w:pPr>
      <w:r>
        <w:rPr>
          <w:rFonts w:ascii="Arial" w:cs="Arial" w:eastAsia="Arial" w:hAnsi="Arial"/>
          <w:sz w:val="12"/>
          <w:szCs w:val="12"/>
          <w:color w:val="auto"/>
        </w:rPr>
        <w:t xml:space="preserve">The Company records shares of convertible preferred stock at their respective fair values on the dates of issuance, net of issuance costs. The Company has applied the guidance in ASC 480-10-S99-3A, </w:t>
      </w:r>
      <w:r>
        <w:rPr>
          <w:rFonts w:ascii="Arial" w:cs="Arial" w:eastAsia="Arial" w:hAnsi="Arial"/>
          <w:sz w:val="12"/>
          <w:szCs w:val="12"/>
          <w:i w:val="1"/>
          <w:iCs w:val="1"/>
          <w:color w:val="auto"/>
        </w:rPr>
        <w:t>SEC Staff Announcement: Classification and Measurement of Redeemable Securities</w:t>
      </w:r>
      <w:r>
        <w:rPr>
          <w:rFonts w:ascii="Arial" w:cs="Arial" w:eastAsia="Arial" w:hAnsi="Arial"/>
          <w:sz w:val="12"/>
          <w:szCs w:val="12"/>
          <w:color w:val="auto"/>
        </w:rPr>
        <w:t xml:space="preserve"> and has therefore classified all of its outstanding convertible preferred stock as temporary equity. The convertible preferred stock is recorded outside of stockholders’ deficit because, in the event of certain deemed liquidation events considered not solely within the Company’s control, such as a merger, acquisition and sale of all or substantially all of the Company’s assets, the convertible preferred stock will become redeemable at the option of the holders. In the event of a change of control of the Company, proceeds received from the sale of such shares will be distributed in accordance with the liquidation preferences set forth in the Company’s Amended and Restated Certificate of Incorporation. The Company has determined not to adjust the carrying values of the convertible preferred stock to the liquidation preferences of such shares because of the uncertainty of whether or when such an event would occur.</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Stock-Based Compensation</w:t>
      </w:r>
    </w:p>
    <w:p>
      <w:pPr>
        <w:spacing w:after="0" w:line="85" w:lineRule="exact"/>
        <w:rPr>
          <w:sz w:val="20"/>
          <w:szCs w:val="20"/>
          <w:color w:val="auto"/>
        </w:rPr>
      </w:pPr>
    </w:p>
    <w:p>
      <w:pPr>
        <w:jc w:val="both"/>
        <w:ind w:left="360" w:right="399"/>
        <w:spacing w:after="0" w:line="250" w:lineRule="auto"/>
        <w:rPr>
          <w:sz w:val="20"/>
          <w:szCs w:val="20"/>
          <w:color w:val="auto"/>
        </w:rPr>
      </w:pPr>
      <w:r>
        <w:rPr>
          <w:rFonts w:ascii="Arial" w:cs="Arial" w:eastAsia="Arial" w:hAnsi="Arial"/>
          <w:sz w:val="14"/>
          <w:szCs w:val="14"/>
          <w:color w:val="auto"/>
        </w:rPr>
        <w:t>The Company measures and recognizes compensation expense for all stock-based awards made to employees, directors, and non-employees (beginning in the year ended December 31, 2019), including stock options and restricted shares, based on estimated fair values recognized over the requisite service period.</w:t>
      </w:r>
    </w:p>
    <w:p>
      <w:pPr>
        <w:spacing w:after="0" w:line="146" w:lineRule="exact"/>
        <w:rPr>
          <w:sz w:val="20"/>
          <w:szCs w:val="20"/>
          <w:color w:val="auto"/>
        </w:rPr>
      </w:pPr>
    </w:p>
    <w:p>
      <w:pPr>
        <w:ind w:left="360" w:right="399"/>
        <w:spacing w:after="0" w:line="294" w:lineRule="auto"/>
        <w:rPr>
          <w:sz w:val="20"/>
          <w:szCs w:val="20"/>
          <w:color w:val="auto"/>
        </w:rPr>
      </w:pPr>
      <w:r>
        <w:rPr>
          <w:rFonts w:ascii="Arial" w:cs="Arial" w:eastAsia="Arial" w:hAnsi="Arial"/>
          <w:sz w:val="12"/>
          <w:szCs w:val="12"/>
          <w:color w:val="auto"/>
        </w:rPr>
        <w:t>The fair value of options granted is estimated on the grant date using the Black-Scholes option valuation model. This valuation model for stock-based compensation expense requires the Company to make assumptions and judgments about the variables used in the calculation, including the expected term (weighted-average period of time that the options granted are expected to be outstanding), the volatility of the Company’s common stock, and an assumed risk-free interest rate. The Company accounts for forfeitures when they occur. The Company uses the simplified calculation of the expected life, which takes into consideration the grant’s contractual life and vesting period and assumes that all options will be exercised between the vesting date and the contractual term of the option. No awards have been issued with a market condition or other non-standard terms.</w:t>
      </w:r>
    </w:p>
    <w:p>
      <w:pPr>
        <w:spacing w:after="0" w:line="122" w:lineRule="exact"/>
        <w:rPr>
          <w:sz w:val="20"/>
          <w:szCs w:val="20"/>
          <w:color w:val="auto"/>
        </w:rPr>
      </w:pPr>
    </w:p>
    <w:p>
      <w:pPr>
        <w:ind w:left="360" w:right="519"/>
        <w:spacing w:after="0" w:line="259" w:lineRule="auto"/>
        <w:rPr>
          <w:sz w:val="20"/>
          <w:szCs w:val="20"/>
          <w:color w:val="auto"/>
        </w:rPr>
      </w:pPr>
      <w:r>
        <w:rPr>
          <w:rFonts w:ascii="Arial" w:cs="Arial" w:eastAsia="Arial" w:hAnsi="Arial"/>
          <w:sz w:val="14"/>
          <w:szCs w:val="14"/>
          <w:color w:val="auto"/>
        </w:rPr>
        <w:t>In August 2020, the Company granted restricted stock unit awards as part of an employee retention program. The fair value of the restricted stock unit grant is based on the deemed fair value of the common stock on the grant date.</w:t>
      </w:r>
    </w:p>
    <w:p>
      <w:pPr>
        <w:spacing w:after="0" w:line="140" w:lineRule="exact"/>
        <w:rPr>
          <w:sz w:val="20"/>
          <w:szCs w:val="20"/>
          <w:color w:val="auto"/>
        </w:rPr>
      </w:pPr>
    </w:p>
    <w:p>
      <w:pPr>
        <w:ind w:left="360" w:right="379"/>
        <w:spacing w:after="0" w:line="247" w:lineRule="auto"/>
        <w:rPr>
          <w:sz w:val="20"/>
          <w:szCs w:val="20"/>
          <w:color w:val="auto"/>
        </w:rPr>
      </w:pPr>
      <w:r>
        <w:rPr>
          <w:rFonts w:ascii="Arial" w:cs="Arial" w:eastAsia="Arial" w:hAnsi="Arial"/>
          <w:sz w:val="14"/>
          <w:szCs w:val="14"/>
          <w:color w:val="auto"/>
        </w:rPr>
        <w:t>Prior to January 1, 2019, stock-based awards granted to non-employees were subject to periodic re-measurement over the period that services are rendered. Beginning January 1, 2019 upon the adoption of Accounting Standards Update (“ASU”) 2018-07</w:t>
      </w:r>
      <w:r>
        <w:rPr>
          <w:rFonts w:ascii="Arial" w:cs="Arial" w:eastAsia="Arial" w:hAnsi="Arial"/>
          <w:sz w:val="14"/>
          <w:szCs w:val="14"/>
          <w:i w:val="1"/>
          <w:iCs w:val="1"/>
          <w:color w:val="auto"/>
        </w:rPr>
        <w:t>. Compensation – Stock Compensation (Topic</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718): Improvements to Nonemployee Share-Based Payment Accounting </w:t>
      </w:r>
      <w:r>
        <w:rPr>
          <w:rFonts w:ascii="Arial" w:cs="Arial" w:eastAsia="Arial" w:hAnsi="Arial"/>
          <w:sz w:val="14"/>
          <w:szCs w:val="14"/>
          <w:color w:val="auto"/>
        </w:rPr>
        <w:t>as described in Note 3, the measurement of equity-classified nonemployee</w:t>
      </w:r>
      <w:r>
        <w:rPr>
          <w:rFonts w:ascii="Arial" w:cs="Arial" w:eastAsia="Arial" w:hAnsi="Arial"/>
          <w:sz w:val="14"/>
          <w:szCs w:val="14"/>
          <w:i w:val="1"/>
          <w:iCs w:val="1"/>
          <w:color w:val="auto"/>
        </w:rPr>
        <w:t xml:space="preserve"> </w:t>
      </w:r>
      <w:r>
        <w:rPr>
          <w:rFonts w:ascii="Arial" w:cs="Arial" w:eastAsia="Arial" w:hAnsi="Arial"/>
          <w:sz w:val="14"/>
          <w:szCs w:val="14"/>
          <w:color w:val="auto"/>
        </w:rPr>
        <w:t>awards is fixed at the grant date.</w:t>
      </w:r>
    </w:p>
    <w:p>
      <w:pPr>
        <w:spacing w:after="0" w:line="149" w:lineRule="exact"/>
        <w:rPr>
          <w:sz w:val="20"/>
          <w:szCs w:val="20"/>
          <w:color w:val="auto"/>
        </w:rPr>
      </w:pPr>
    </w:p>
    <w:p>
      <w:pPr>
        <w:ind w:left="360" w:right="459"/>
        <w:spacing w:after="0" w:line="247" w:lineRule="auto"/>
        <w:rPr>
          <w:sz w:val="20"/>
          <w:szCs w:val="20"/>
          <w:color w:val="auto"/>
        </w:rPr>
      </w:pPr>
      <w:r>
        <w:rPr>
          <w:rFonts w:ascii="Arial" w:cs="Arial" w:eastAsia="Arial" w:hAnsi="Arial"/>
          <w:sz w:val="14"/>
          <w:szCs w:val="14"/>
          <w:color w:val="auto"/>
        </w:rPr>
        <w:t>There is no public market for the Company’s stock. The estimate for volatility is based on an average of the historical volatilities of the common stock of several entities with characteristics similar to those of the Company. Since these comparable companies operate in the same industry segment, the Company expects that it would share similar characteristics, such as risks profiles, volatility, capital intensity, clientele, and market growth patterns and drivers.</w:t>
      </w:r>
    </w:p>
    <w:p>
      <w:pPr>
        <w:spacing w:after="0" w:line="149" w:lineRule="exact"/>
        <w:rPr>
          <w:sz w:val="20"/>
          <w:szCs w:val="20"/>
          <w:color w:val="auto"/>
        </w:rPr>
      </w:pPr>
    </w:p>
    <w:p>
      <w:pPr>
        <w:jc w:val="center"/>
        <w:ind w:left="360" w:right="519"/>
        <w:spacing w:after="0" w:line="425" w:lineRule="auto"/>
        <w:rPr>
          <w:sz w:val="20"/>
          <w:szCs w:val="20"/>
          <w:color w:val="auto"/>
        </w:rPr>
      </w:pPr>
      <w:r>
        <w:rPr>
          <w:rFonts w:ascii="Arial" w:cs="Arial" w:eastAsia="Arial" w:hAnsi="Arial"/>
          <w:sz w:val="14"/>
          <w:szCs w:val="14"/>
          <w:color w:val="auto"/>
        </w:rPr>
        <w:t>The risk-free rate is based on the U.S. Treasury yield curve in effect at the time of grant for periods corresponding with the expected life of the option. 8</w:t>
      </w:r>
    </w:p>
    <w:p>
      <w:pPr>
        <w:sectPr>
          <w:pgSz w:w="11900" w:h="16838" w:orient="portrait"/>
          <w:cols w:equalWidth="0" w:num="1">
            <w:col w:w="9019"/>
          </w:cols>
          <w:pgMar w:left="1440" w:top="240" w:right="1440" w:bottom="1440" w:gutter="0" w:footer="0" w:header="0"/>
        </w:sectPr>
      </w:pPr>
    </w:p>
    <w:bookmarkStart w:id="154" w:name="page155"/>
    <w:bookmarkEnd w:id="154"/>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Preferred Stock Tranche Liabilities</w:t>
      </w:r>
    </w:p>
    <w:p>
      <w:pPr>
        <w:spacing w:after="0" w:line="85" w:lineRule="exact"/>
        <w:rPr>
          <w:sz w:val="20"/>
          <w:szCs w:val="20"/>
          <w:color w:val="auto"/>
        </w:rPr>
      </w:pPr>
    </w:p>
    <w:p>
      <w:pPr>
        <w:ind w:left="360" w:right="479"/>
        <w:spacing w:after="0" w:line="292" w:lineRule="auto"/>
        <w:rPr>
          <w:sz w:val="20"/>
          <w:szCs w:val="20"/>
          <w:color w:val="auto"/>
        </w:rPr>
      </w:pPr>
      <w:r>
        <w:rPr>
          <w:rFonts w:ascii="Arial" w:cs="Arial" w:eastAsia="Arial" w:hAnsi="Arial"/>
          <w:sz w:val="12"/>
          <w:szCs w:val="12"/>
          <w:color w:val="auto"/>
        </w:rPr>
        <w:t>The Company has determined that its obligation to issue, and the Company’s investors’ right to purchase shares of Series F convertible preferred stock pursuant to the future time-based and milestone closings (see Note 4) represent a freestanding financial instrument (the “tranche liabilities”). The tranche liabilities were initially recorded at fair value and are remeasured at each reporting period and upon the exercise or expiration of the obligation, with gains and losses arising from subsequent changes in its fair value recognized in other expense, net, in the unaudited condensed consolidated statement of operations. At the time of the exercise or expiration of the tranche liabilities, the fair value of the tranche liabilities are reclassified to convertible preferred stock on the unaudited condensed consolidated balance sheet with no further remeasurement required. The fair value of the preferred stock tranche liabilities are recorded as a long-term liability on the condensed consolidated balance sheet.</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3. Recent Accounting Pronouncements</w:t>
      </w:r>
    </w:p>
    <w:p>
      <w:pPr>
        <w:spacing w:after="0" w:line="85" w:lineRule="exact"/>
        <w:rPr>
          <w:sz w:val="20"/>
          <w:szCs w:val="20"/>
          <w:color w:val="auto"/>
        </w:rPr>
      </w:pPr>
    </w:p>
    <w:p>
      <w:pPr>
        <w:ind w:left="360" w:right="379"/>
        <w:spacing w:after="0" w:line="302" w:lineRule="auto"/>
        <w:rPr>
          <w:sz w:val="20"/>
          <w:szCs w:val="20"/>
          <w:color w:val="auto"/>
        </w:rPr>
      </w:pPr>
      <w:r>
        <w:rPr>
          <w:rFonts w:ascii="Arial" w:cs="Arial" w:eastAsia="Arial" w:hAnsi="Arial"/>
          <w:sz w:val="12"/>
          <w:szCs w:val="12"/>
          <w:color w:val="auto"/>
        </w:rPr>
        <w:t xml:space="preserve">In June 2016, the FASB issued ASU 2016-13, </w:t>
      </w:r>
      <w:r>
        <w:rPr>
          <w:rFonts w:ascii="Arial" w:cs="Arial" w:eastAsia="Arial" w:hAnsi="Arial"/>
          <w:sz w:val="12"/>
          <w:szCs w:val="12"/>
          <w:i w:val="1"/>
          <w:iCs w:val="1"/>
          <w:color w:val="auto"/>
        </w:rPr>
        <w:t>Financial Instruments- Credit Losses (Topic 326): Measurement of Credit Losses on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Instruments</w:t>
      </w:r>
      <w:r>
        <w:rPr>
          <w:rFonts w:ascii="Arial" w:cs="Arial" w:eastAsia="Arial" w:hAnsi="Arial"/>
          <w:sz w:val="12"/>
          <w:szCs w:val="12"/>
          <w:color w:val="auto"/>
        </w:rPr>
        <w:t>. This guidance introduces a new model for recognizing credit losses on financial instruments based on an estimate of current expected credit</w:t>
      </w:r>
      <w:r>
        <w:rPr>
          <w:rFonts w:ascii="Arial" w:cs="Arial" w:eastAsia="Arial" w:hAnsi="Arial"/>
          <w:sz w:val="12"/>
          <w:szCs w:val="12"/>
          <w:i w:val="1"/>
          <w:iCs w:val="1"/>
          <w:color w:val="auto"/>
        </w:rPr>
        <w:t xml:space="preserve"> </w:t>
      </w:r>
      <w:r>
        <w:rPr>
          <w:rFonts w:ascii="Arial" w:cs="Arial" w:eastAsia="Arial" w:hAnsi="Arial"/>
          <w:sz w:val="12"/>
          <w:szCs w:val="12"/>
          <w:color w:val="auto"/>
        </w:rPr>
        <w:t>losses. ASU 2016-13 also provides updated guidance regarding the impairment of available-for-sale debt securities and includes additional disclosure requirements. The Company adopted this guidance as of January 1, 2020 with no impact upon adoption.</w:t>
      </w:r>
    </w:p>
    <w:p>
      <w:pPr>
        <w:spacing w:after="0" w:line="117" w:lineRule="exact"/>
        <w:rPr>
          <w:sz w:val="20"/>
          <w:szCs w:val="20"/>
          <w:color w:val="auto"/>
        </w:rPr>
      </w:pPr>
    </w:p>
    <w:p>
      <w:pPr>
        <w:ind w:left="360" w:right="459"/>
        <w:spacing w:after="0" w:line="246" w:lineRule="auto"/>
        <w:rPr>
          <w:sz w:val="20"/>
          <w:szCs w:val="20"/>
          <w:color w:val="auto"/>
        </w:rPr>
      </w:pPr>
      <w:r>
        <w:rPr>
          <w:rFonts w:ascii="Arial" w:cs="Arial" w:eastAsia="Arial" w:hAnsi="Arial"/>
          <w:sz w:val="14"/>
          <w:szCs w:val="14"/>
          <w:color w:val="auto"/>
        </w:rPr>
        <w:t xml:space="preserve">In November 2018, the FASB issued ASU 2018-18, </w:t>
      </w:r>
      <w:r>
        <w:rPr>
          <w:rFonts w:ascii="Arial" w:cs="Arial" w:eastAsia="Arial" w:hAnsi="Arial"/>
          <w:sz w:val="14"/>
          <w:szCs w:val="14"/>
          <w:i w:val="1"/>
          <w:iCs w:val="1"/>
          <w:color w:val="auto"/>
        </w:rPr>
        <w:t>Collaborative Arrangement (Topic 808): clarifying the Interaction between Topic 808 and Topic</w:t>
      </w:r>
      <w:r>
        <w:rPr>
          <w:rFonts w:ascii="Arial" w:cs="Arial" w:eastAsia="Arial" w:hAnsi="Arial"/>
          <w:sz w:val="14"/>
          <w:szCs w:val="14"/>
          <w:color w:val="auto"/>
        </w:rPr>
        <w:t xml:space="preserve"> </w:t>
      </w:r>
      <w:r>
        <w:rPr>
          <w:rFonts w:ascii="Arial" w:cs="Arial" w:eastAsia="Arial" w:hAnsi="Arial"/>
          <w:sz w:val="14"/>
          <w:szCs w:val="14"/>
          <w:i w:val="1"/>
          <w:iCs w:val="1"/>
          <w:color w:val="auto"/>
        </w:rPr>
        <w:t>606</w:t>
      </w:r>
      <w:r>
        <w:rPr>
          <w:rFonts w:ascii="Arial" w:cs="Arial" w:eastAsia="Arial" w:hAnsi="Arial"/>
          <w:sz w:val="14"/>
          <w:szCs w:val="14"/>
          <w:color w:val="auto"/>
        </w:rPr>
        <w:t>, which clarifies that certain transactions between participants in a collaborative arrangement should be accounted for under ASC Topic 606 when</w:t>
      </w:r>
      <w:r>
        <w:rPr>
          <w:rFonts w:ascii="Arial" w:cs="Arial" w:eastAsia="Arial" w:hAnsi="Arial"/>
          <w:sz w:val="14"/>
          <w:szCs w:val="14"/>
          <w:i w:val="1"/>
          <w:iCs w:val="1"/>
          <w:color w:val="auto"/>
        </w:rPr>
        <w:t xml:space="preserve"> </w:t>
      </w:r>
      <w:r>
        <w:rPr>
          <w:rFonts w:ascii="Arial" w:cs="Arial" w:eastAsia="Arial" w:hAnsi="Arial"/>
          <w:sz w:val="14"/>
          <w:szCs w:val="14"/>
          <w:color w:val="auto"/>
        </w:rPr>
        <w:t>the counterparty is a customer. In addition, Topic 808 precludes an entity from presenting consideration from a transaction in a collaborative arrangement as revenue from contracts with customers if the counterparty is not a customer for that transaction. The Company adopted this guidance as of January 1, 2020 with no impact upon adoption.</w:t>
      </w:r>
    </w:p>
    <w:p>
      <w:pPr>
        <w:spacing w:after="0" w:line="149" w:lineRule="exact"/>
        <w:rPr>
          <w:sz w:val="20"/>
          <w:szCs w:val="20"/>
          <w:color w:val="auto"/>
        </w:rPr>
      </w:pPr>
    </w:p>
    <w:p>
      <w:pPr>
        <w:ind w:left="360" w:right="419"/>
        <w:spacing w:after="0" w:line="246"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which is intended to simplify various aspects related to accounting for income taxes. ASU 2019-12 removes certain exceptions to the general principles in ASC 740 and also clarifies and amends existing guidance to improve consistent application. This guidance is effective for fiscal years, and interim periods within those fiscal years, beginning after December 15, 2020, with early adoption permitted. The Company is currently evaluating the impact of this standard on its consolidated financial statements.</w:t>
      </w:r>
    </w:p>
    <w:p>
      <w:pPr>
        <w:spacing w:after="0" w:line="149" w:lineRule="exact"/>
        <w:rPr>
          <w:sz w:val="20"/>
          <w:szCs w:val="20"/>
          <w:color w:val="auto"/>
        </w:rPr>
      </w:pPr>
    </w:p>
    <w:p>
      <w:pPr>
        <w:ind w:left="360" w:right="439"/>
        <w:spacing w:after="0" w:line="244"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w:t>
      </w:r>
      <w:r>
        <w:rPr>
          <w:rFonts w:ascii="Arial" w:cs="Arial" w:eastAsia="Arial" w:hAnsi="Arial"/>
          <w:sz w:val="14"/>
          <w:szCs w:val="14"/>
          <w:color w:val="auto"/>
        </w:rPr>
        <w:t xml:space="preserve"> </w:t>
      </w:r>
      <w:r>
        <w:rPr>
          <w:rFonts w:ascii="Arial" w:cs="Arial" w:eastAsia="Arial" w:hAnsi="Arial"/>
          <w:sz w:val="14"/>
          <w:szCs w:val="14"/>
          <w:i w:val="1"/>
          <w:iCs w:val="1"/>
          <w:color w:val="auto"/>
        </w:rPr>
        <w:t>Contracts in Entity’s Own Equity (Subtopic 815-40): Accounting for Convertible Instruments and Contracts in an Entity’s Own Equity</w:t>
      </w:r>
      <w:r>
        <w:rPr>
          <w:rFonts w:ascii="Arial" w:cs="Arial" w:eastAsia="Arial" w:hAnsi="Arial"/>
          <w:sz w:val="14"/>
          <w:szCs w:val="14"/>
          <w:color w:val="auto"/>
        </w:rPr>
        <w:t>, which simplifies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is effective for fiscal years beginning after December 15, 2023, including interim periods within those fiscal years. Early adoption is permitted, but no earlier than fiscal years beginning after December 15, 2021 and adoption must be as of the beginning of the Company’s annual fiscal year. The Company is currently evaluating the impact of this standard on its consolidated financial statements and related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 Fair Value Measurement</w:t>
      </w:r>
    </w:p>
    <w:p>
      <w:pPr>
        <w:spacing w:after="0" w:line="85" w:lineRule="exact"/>
        <w:rPr>
          <w:sz w:val="20"/>
          <w:szCs w:val="20"/>
          <w:color w:val="auto"/>
        </w:rPr>
      </w:pPr>
    </w:p>
    <w:p>
      <w:pPr>
        <w:ind w:left="360" w:right="1179"/>
        <w:spacing w:after="0" w:line="259" w:lineRule="auto"/>
        <w:rPr>
          <w:sz w:val="20"/>
          <w:szCs w:val="20"/>
          <w:color w:val="auto"/>
        </w:rPr>
      </w:pPr>
      <w:r>
        <w:rPr>
          <w:rFonts w:ascii="Arial" w:cs="Arial" w:eastAsia="Arial" w:hAnsi="Arial"/>
          <w:sz w:val="14"/>
          <w:szCs w:val="14"/>
          <w:color w:val="auto"/>
        </w:rPr>
        <w:t>The Company’s financial assets and liabilities subject to fair value measurements on a recurring basis and the level of inputs used for such measurements were as follows (amounts in thousands):</w:t>
      </w:r>
    </w:p>
    <w:p>
      <w:pPr>
        <w:spacing w:after="0" w:line="154"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9"/>
          </w:tcPr>
          <w:p>
            <w:pPr>
              <w:ind w:left="180"/>
              <w:spacing w:after="0"/>
              <w:rPr>
                <w:sz w:val="20"/>
                <w:szCs w:val="20"/>
                <w:color w:val="auto"/>
              </w:rPr>
            </w:pPr>
            <w:r>
              <w:rPr>
                <w:rFonts w:ascii="Arial" w:cs="Arial" w:eastAsia="Arial" w:hAnsi="Arial"/>
                <w:sz w:val="11"/>
                <w:szCs w:val="11"/>
                <w:b w:val="1"/>
                <w:bCs w:val="1"/>
                <w:color w:val="auto"/>
              </w:rPr>
              <w:t>Fair Value Measured as of September 30, 2020 Using</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Level 1</w:t>
            </w: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1"/>
                <w:szCs w:val="11"/>
                <w:b w:val="1"/>
                <w:bCs w:val="1"/>
                <w:color w:val="auto"/>
              </w:rPr>
              <w:t>Level 2</w:t>
            </w: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ind w:left="80"/>
              <w:spacing w:after="0" w:line="102" w:lineRule="exact"/>
              <w:rPr>
                <w:sz w:val="20"/>
                <w:szCs w:val="20"/>
                <w:color w:val="auto"/>
              </w:rPr>
            </w:pPr>
            <w:r>
              <w:rPr>
                <w:rFonts w:ascii="Arial" w:cs="Arial" w:eastAsia="Arial" w:hAnsi="Arial"/>
                <w:sz w:val="11"/>
                <w:szCs w:val="11"/>
                <w:b w:val="1"/>
                <w:bCs w:val="1"/>
                <w:color w:val="auto"/>
              </w:rPr>
              <w:t>Level 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Assets included in:</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540"/>
              <w:spacing w:after="0"/>
              <w:rPr>
                <w:sz w:val="20"/>
                <w:szCs w:val="20"/>
                <w:color w:val="auto"/>
              </w:rPr>
            </w:pPr>
            <w:r>
              <w:rPr>
                <w:rFonts w:ascii="Arial" w:cs="Arial" w:eastAsia="Arial" w:hAnsi="Arial"/>
                <w:sz w:val="14"/>
                <w:szCs w:val="14"/>
                <w:color w:val="auto"/>
              </w:rPr>
              <w:t>Money market fund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ind w:left="160"/>
              <w:spacing w:after="0"/>
              <w:rPr>
                <w:sz w:val="20"/>
                <w:szCs w:val="20"/>
                <w:color w:val="auto"/>
              </w:rPr>
            </w:pPr>
            <w:r>
              <w:rPr>
                <w:rFonts w:ascii="Arial" w:cs="Arial" w:eastAsia="Arial" w:hAnsi="Arial"/>
                <w:sz w:val="14"/>
                <w:szCs w:val="14"/>
                <w:color w:val="auto"/>
                <w:w w:val="79"/>
              </w:rPr>
              <w:t>4,700</w:t>
            </w:r>
          </w:p>
        </w:tc>
        <w:tc>
          <w:tcPr>
            <w:tcW w:w="5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Marketable securities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69,469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69,469</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Arial" w:cs="Arial" w:eastAsia="Arial" w:hAnsi="Arial"/>
                <w:sz w:val="14"/>
                <w:szCs w:val="14"/>
                <w:color w:val="auto"/>
              </w:rPr>
              <w:t>Total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w w:val="79"/>
              </w:rPr>
              <w:t>4,700</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69,469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74,169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included in: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540"/>
              <w:spacing w:after="0"/>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10,807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10,807</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Convertible preferred stock tranche liabilities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347,120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2"/>
              </w:rPr>
              <w:t>347,120</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Arial" w:cs="Arial" w:eastAsia="Arial" w:hAnsi="Arial"/>
                <w:sz w:val="14"/>
                <w:szCs w:val="14"/>
                <w:color w:val="auto"/>
              </w:rPr>
              <w:t>Total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357,927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357,927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80" w:type="dxa"/>
            <w:vAlign w:val="bottom"/>
            <w:gridSpan w:val="9"/>
          </w:tcPr>
          <w:p>
            <w:pPr>
              <w:ind w:left="200"/>
              <w:spacing w:after="0"/>
              <w:rPr>
                <w:sz w:val="20"/>
                <w:szCs w:val="20"/>
                <w:color w:val="auto"/>
              </w:rPr>
            </w:pPr>
            <w:r>
              <w:rPr>
                <w:rFonts w:ascii="Arial" w:cs="Arial" w:eastAsia="Arial" w:hAnsi="Arial"/>
                <w:sz w:val="11"/>
                <w:szCs w:val="11"/>
                <w:b w:val="1"/>
                <w:bCs w:val="1"/>
                <w:color w:val="auto"/>
              </w:rPr>
              <w:t>Fair Value Measured as of December 31, 2019 Using</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2"/>
        </w:trPr>
        <w:tc>
          <w:tcPr>
            <w:tcW w:w="37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20"/>
              <w:spacing w:after="0" w:line="102" w:lineRule="exact"/>
              <w:rPr>
                <w:sz w:val="20"/>
                <w:szCs w:val="20"/>
                <w:color w:val="auto"/>
              </w:rPr>
            </w:pPr>
            <w:r>
              <w:rPr>
                <w:rFonts w:ascii="Arial" w:cs="Arial" w:eastAsia="Arial" w:hAnsi="Arial"/>
                <w:sz w:val="11"/>
                <w:szCs w:val="11"/>
                <w:b w:val="1"/>
                <w:bCs w:val="1"/>
                <w:color w:val="auto"/>
              </w:rPr>
              <w:t>Level 1</w:t>
            </w:r>
          </w:p>
        </w:tc>
        <w:tc>
          <w:tcPr>
            <w:tcW w:w="4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1"/>
                <w:szCs w:val="11"/>
                <w:b w:val="1"/>
                <w:bCs w:val="1"/>
                <w:color w:val="auto"/>
              </w:rPr>
              <w:t>Level 2</w:t>
            </w: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ind w:left="80"/>
              <w:spacing w:after="0" w:line="102" w:lineRule="exact"/>
              <w:rPr>
                <w:sz w:val="20"/>
                <w:szCs w:val="20"/>
                <w:color w:val="auto"/>
              </w:rPr>
            </w:pPr>
            <w:r>
              <w:rPr>
                <w:rFonts w:ascii="Arial" w:cs="Arial" w:eastAsia="Arial" w:hAnsi="Arial"/>
                <w:sz w:val="11"/>
                <w:szCs w:val="11"/>
                <w:b w:val="1"/>
                <w:bCs w:val="1"/>
                <w:color w:val="auto"/>
              </w:rPr>
              <w:t>Level 3</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Assets included in:</w:t>
            </w: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540"/>
              <w:spacing w:after="0"/>
              <w:rPr>
                <w:sz w:val="20"/>
                <w:szCs w:val="20"/>
                <w:color w:val="auto"/>
              </w:rPr>
            </w:pPr>
            <w:r>
              <w:rPr>
                <w:rFonts w:ascii="Arial" w:cs="Arial" w:eastAsia="Arial" w:hAnsi="Arial"/>
                <w:sz w:val="14"/>
                <w:szCs w:val="14"/>
                <w:color w:val="auto"/>
              </w:rPr>
              <w:t>Money market fund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ind w:left="160"/>
              <w:spacing w:after="0"/>
              <w:rPr>
                <w:sz w:val="20"/>
                <w:szCs w:val="20"/>
                <w:color w:val="auto"/>
              </w:rPr>
            </w:pPr>
            <w:r>
              <w:rPr>
                <w:rFonts w:ascii="Arial" w:cs="Arial" w:eastAsia="Arial" w:hAnsi="Arial"/>
                <w:sz w:val="14"/>
                <w:szCs w:val="14"/>
                <w:color w:val="auto"/>
                <w:w w:val="79"/>
              </w:rPr>
              <w:t>5,163</w:t>
            </w:r>
          </w:p>
        </w:tc>
        <w:tc>
          <w:tcPr>
            <w:tcW w:w="5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5,163</w:t>
            </w: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Marketable securities</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120,599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2"/>
              </w:rPr>
              <w:t>120,599</w:t>
            </w: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Arial" w:cs="Arial" w:eastAsia="Arial" w:hAnsi="Arial"/>
                <w:sz w:val="14"/>
                <w:szCs w:val="14"/>
                <w:color w:val="auto"/>
              </w:rPr>
              <w:t>Total fair value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w w:val="79"/>
              </w:rPr>
              <w:t>5,163</w:t>
            </w:r>
          </w:p>
        </w:tc>
        <w:tc>
          <w:tcPr>
            <w:tcW w:w="4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120,599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125,762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included in: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540"/>
              <w:spacing w:after="0"/>
              <w:rPr>
                <w:sz w:val="20"/>
                <w:szCs w:val="20"/>
                <w:color w:val="auto"/>
              </w:rPr>
            </w:pPr>
            <w:r>
              <w:rPr>
                <w:rFonts w:ascii="Arial" w:cs="Arial" w:eastAsia="Arial" w:hAnsi="Arial"/>
                <w:sz w:val="14"/>
                <w:szCs w:val="14"/>
                <w:color w:val="auto"/>
              </w:rPr>
              <w:t>Convertible preferred stock warrant liabilities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1,860</w:t>
            </w:r>
          </w:p>
        </w:tc>
        <w:tc>
          <w:tcPr>
            <w:tcW w:w="2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Total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Marketable Securities</w:t>
      </w:r>
    </w:p>
    <w:p>
      <w:pPr>
        <w:spacing w:after="0" w:line="85" w:lineRule="exact"/>
        <w:rPr>
          <w:sz w:val="20"/>
          <w:szCs w:val="20"/>
          <w:color w:val="auto"/>
        </w:rPr>
      </w:pPr>
    </w:p>
    <w:p>
      <w:pPr>
        <w:jc w:val="both"/>
        <w:ind w:left="360" w:right="539"/>
        <w:spacing w:after="0" w:line="312" w:lineRule="auto"/>
        <w:rPr>
          <w:sz w:val="20"/>
          <w:szCs w:val="20"/>
          <w:color w:val="auto"/>
        </w:rPr>
      </w:pPr>
      <w:r>
        <w:rPr>
          <w:rFonts w:ascii="Arial" w:cs="Arial" w:eastAsia="Arial" w:hAnsi="Arial"/>
          <w:sz w:val="12"/>
          <w:szCs w:val="12"/>
          <w:color w:val="auto"/>
        </w:rPr>
        <w:t>The following table summarizes, by major security type, the Company’s assets that are measured at fair value on a recurring basis and are categorized using the fair value hierarchy. Amortized cost net of unrealized gain is equal to fair value as of September 30, 2020 and December 31, 2019. The fair value as of September 30, 2020 and December 31, 2019, are as follows (amounts in thousands).</w:t>
      </w:r>
    </w:p>
    <w:p>
      <w:pPr>
        <w:spacing w:after="0" w:line="128" w:lineRule="exact"/>
        <w:rPr>
          <w:sz w:val="20"/>
          <w:szCs w:val="20"/>
          <w:color w:val="auto"/>
        </w:rPr>
      </w:pPr>
    </w:p>
    <w:tbl>
      <w:tblPr>
        <w:tblLayout w:type="fixed"/>
        <w:tblInd w:w="700" w:type="dxa"/>
        <w:tblCellMar>
          <w:top w:w="0" w:type="dxa"/>
          <w:left w:w="0" w:type="dxa"/>
          <w:bottom w:w="0" w:type="dxa"/>
          <w:right w:w="0" w:type="dxa"/>
        </w:tblCellMar>
      </w:tblPr>
      <w:tr>
        <w:trPr>
          <w:trHeight w:val="146"/>
        </w:trPr>
        <w:tc>
          <w:tcPr>
            <w:tcW w:w="2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1"/>
                <w:szCs w:val="11"/>
                <w:b w:val="1"/>
                <w:bCs w:val="1"/>
                <w:color w:val="auto"/>
              </w:rPr>
              <w:t>September 30, 2020</w:t>
            </w: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Amortized Cost</w:t>
            </w:r>
          </w:p>
        </w:tc>
        <w:tc>
          <w:tcPr>
            <w:tcW w:w="240" w:type="dxa"/>
            <w:vAlign w:val="bottom"/>
          </w:tcPr>
          <w:p>
            <w:pPr>
              <w:spacing w:after="0"/>
              <w:rPr>
                <w:sz w:val="7"/>
                <w:szCs w:val="7"/>
                <w:color w:val="auto"/>
              </w:rPr>
            </w:pPr>
          </w:p>
        </w:tc>
        <w:tc>
          <w:tcPr>
            <w:tcW w:w="102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Unrealized Gain</w:t>
            </w:r>
          </w:p>
        </w:tc>
        <w:tc>
          <w:tcPr>
            <w:tcW w:w="180" w:type="dxa"/>
            <w:vAlign w:val="bottom"/>
          </w:tcPr>
          <w:p>
            <w:pPr>
              <w:spacing w:after="0"/>
              <w:rPr>
                <w:sz w:val="7"/>
                <w:szCs w:val="7"/>
                <w:color w:val="auto"/>
              </w:rPr>
            </w:pPr>
          </w:p>
        </w:tc>
        <w:tc>
          <w:tcPr>
            <w:tcW w:w="74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w w:val="93"/>
              </w:rPr>
              <w:t>Unrealized Loss</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line="92" w:lineRule="exact"/>
              <w:rPr>
                <w:sz w:val="20"/>
                <w:szCs w:val="20"/>
                <w:color w:val="auto"/>
              </w:rPr>
            </w:pPr>
            <w:r>
              <w:rPr>
                <w:rFonts w:ascii="Arial" w:cs="Arial" w:eastAsia="Arial" w:hAnsi="Arial"/>
                <w:sz w:val="10"/>
                <w:szCs w:val="10"/>
                <w:b w:val="1"/>
                <w:bCs w:val="1"/>
                <w:color w:val="auto"/>
                <w:w w:val="87"/>
              </w:rPr>
              <w:t>Fair Value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6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Level 1 securities</w:t>
            </w:r>
          </w:p>
        </w:tc>
        <w:tc>
          <w:tcPr>
            <w:tcW w:w="9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right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Money market fund</w:t>
            </w:r>
          </w:p>
        </w:tc>
        <w:tc>
          <w:tcPr>
            <w:tcW w:w="11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4,700</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Level 2 securities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US government securities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69,430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69,469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74,130</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74,169</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6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ind w:left="200"/>
              <w:spacing w:after="0"/>
              <w:rPr>
                <w:sz w:val="20"/>
                <w:szCs w:val="20"/>
                <w:color w:val="auto"/>
              </w:rPr>
            </w:pPr>
            <w:r>
              <w:rPr>
                <w:rFonts w:ascii="Arial" w:cs="Arial" w:eastAsia="Arial" w:hAnsi="Arial"/>
                <w:sz w:val="11"/>
                <w:szCs w:val="11"/>
                <w:b w:val="1"/>
                <w:bCs w:val="1"/>
                <w:color w:val="auto"/>
              </w:rPr>
              <w:t>December 31, 2019</w:t>
            </w:r>
          </w:p>
        </w:tc>
        <w:tc>
          <w:tcPr>
            <w:tcW w:w="1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6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0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Amortized Cost</w:t>
            </w:r>
          </w:p>
        </w:tc>
        <w:tc>
          <w:tcPr>
            <w:tcW w:w="240" w:type="dxa"/>
            <w:vAlign w:val="bottom"/>
          </w:tcPr>
          <w:p>
            <w:pPr>
              <w:spacing w:after="0"/>
              <w:rPr>
                <w:sz w:val="7"/>
                <w:szCs w:val="7"/>
                <w:color w:val="auto"/>
              </w:rPr>
            </w:pPr>
          </w:p>
        </w:tc>
        <w:tc>
          <w:tcPr>
            <w:tcW w:w="1020" w:type="dxa"/>
            <w:vAlign w:val="bottom"/>
            <w:gridSpan w:val="3"/>
          </w:tcPr>
          <w:p>
            <w:pPr>
              <w:spacing w:after="0" w:line="92" w:lineRule="exact"/>
              <w:rPr>
                <w:sz w:val="20"/>
                <w:szCs w:val="20"/>
                <w:color w:val="auto"/>
              </w:rPr>
            </w:pPr>
            <w:r>
              <w:rPr>
                <w:rFonts w:ascii="Arial" w:cs="Arial" w:eastAsia="Arial" w:hAnsi="Arial"/>
                <w:sz w:val="10"/>
                <w:szCs w:val="10"/>
                <w:b w:val="1"/>
                <w:bCs w:val="1"/>
                <w:color w:val="auto"/>
              </w:rPr>
              <w:t>Unrealized Gain</w:t>
            </w:r>
          </w:p>
        </w:tc>
        <w:tc>
          <w:tcPr>
            <w:tcW w:w="180" w:type="dxa"/>
            <w:vAlign w:val="bottom"/>
          </w:tcPr>
          <w:p>
            <w:pPr>
              <w:spacing w:after="0"/>
              <w:rPr>
                <w:sz w:val="7"/>
                <w:szCs w:val="7"/>
                <w:color w:val="auto"/>
              </w:rPr>
            </w:pPr>
          </w:p>
        </w:tc>
        <w:tc>
          <w:tcPr>
            <w:tcW w:w="740" w:type="dxa"/>
            <w:vAlign w:val="bottom"/>
            <w:gridSpan w:val="2"/>
          </w:tcPr>
          <w:p>
            <w:pPr>
              <w:spacing w:after="0" w:line="92" w:lineRule="exact"/>
              <w:rPr>
                <w:sz w:val="20"/>
                <w:szCs w:val="20"/>
                <w:color w:val="auto"/>
              </w:rPr>
            </w:pPr>
            <w:r>
              <w:rPr>
                <w:rFonts w:ascii="Arial" w:cs="Arial" w:eastAsia="Arial" w:hAnsi="Arial"/>
                <w:sz w:val="10"/>
                <w:szCs w:val="10"/>
                <w:b w:val="1"/>
                <w:bCs w:val="1"/>
                <w:color w:val="auto"/>
                <w:w w:val="93"/>
              </w:rPr>
              <w:t>Unrealized Loss</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line="92" w:lineRule="exact"/>
              <w:rPr>
                <w:sz w:val="20"/>
                <w:szCs w:val="20"/>
                <w:color w:val="auto"/>
              </w:rPr>
            </w:pPr>
            <w:r>
              <w:rPr>
                <w:rFonts w:ascii="Arial" w:cs="Arial" w:eastAsia="Arial" w:hAnsi="Arial"/>
                <w:sz w:val="10"/>
                <w:szCs w:val="10"/>
                <w:b w:val="1"/>
                <w:bCs w:val="1"/>
                <w:color w:val="auto"/>
                <w:w w:val="87"/>
              </w:rPr>
              <w:t>Fair Value</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6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Level 1 securities</w:t>
            </w:r>
          </w:p>
        </w:tc>
        <w:tc>
          <w:tcPr>
            <w:tcW w:w="9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Money market fund</w:t>
            </w:r>
          </w:p>
        </w:tc>
        <w:tc>
          <w:tcPr>
            <w:tcW w:w="11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5,163</w:t>
            </w: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ind w:left="200"/>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5,163</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Level 2 securities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260"/>
              <w:spacing w:after="0"/>
              <w:rPr>
                <w:sz w:val="20"/>
                <w:szCs w:val="20"/>
                <w:color w:val="auto"/>
              </w:rPr>
            </w:pPr>
            <w:r>
              <w:rPr>
                <w:rFonts w:ascii="Arial" w:cs="Arial" w:eastAsia="Arial" w:hAnsi="Arial"/>
                <w:sz w:val="14"/>
                <w:szCs w:val="14"/>
                <w:color w:val="auto"/>
              </w:rPr>
              <w:t>Repurchase agreement</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13,500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7"/>
              </w:rPr>
              <w:t>13,500</w:t>
            </w:r>
          </w:p>
        </w:tc>
        <w:tc>
          <w:tcPr>
            <w:tcW w:w="0" w:type="dxa"/>
            <w:vAlign w:val="bottom"/>
          </w:tcPr>
          <w:p>
            <w:pPr>
              <w:spacing w:after="0"/>
              <w:rPr>
                <w:sz w:val="1"/>
                <w:szCs w:val="1"/>
                <w:color w:val="auto"/>
              </w:rPr>
            </w:pPr>
          </w:p>
        </w:tc>
      </w:tr>
      <w:tr>
        <w:trPr>
          <w:trHeight w:val="162"/>
        </w:trPr>
        <w:tc>
          <w:tcPr>
            <w:tcW w:w="26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 government securities</w:t>
            </w: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107,009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260" w:type="dxa"/>
            <w:vAlign w:val="bottom"/>
            <w:tcBorders>
              <w:right w:val="single" w:sz="8" w:color="CCEEFF"/>
            </w:tcBorders>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2"/>
              </w:rPr>
              <w:t>107,099</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60"/>
              <w:spacing w:after="0"/>
              <w:rPr>
                <w:sz w:val="20"/>
                <w:szCs w:val="20"/>
                <w:color w:val="auto"/>
              </w:rPr>
            </w:pPr>
            <w:r>
              <w:rPr>
                <w:rFonts w:ascii="Arial" w:cs="Arial" w:eastAsia="Arial" w:hAnsi="Arial"/>
                <w:sz w:val="14"/>
                <w:szCs w:val="14"/>
                <w:color w:val="auto"/>
              </w:rPr>
              <w:t>Total Level 2 securities</w:t>
            </w: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120,509</w:t>
            </w: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120,599</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125,672</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125,762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Any realized gains and losses and interest income are included in interest income.</w:t>
      </w:r>
    </w:p>
    <w:p>
      <w:pPr>
        <w:sectPr>
          <w:pgSz w:w="11900" w:h="16838" w:orient="portrait"/>
          <w:cols w:equalWidth="0" w:num="1">
            <w:col w:w="9019"/>
          </w:cols>
          <w:pgMar w:left="1440" w:top="238" w:right="1440"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9019"/>
          </w:cols>
          <w:pgMar w:left="1440" w:top="238" w:right="1440" w:bottom="1440" w:gutter="0" w:footer="0" w:header="0"/>
          <w:type w:val="continuous"/>
        </w:sectPr>
      </w:pPr>
    </w:p>
    <w:bookmarkStart w:id="155" w:name="page156"/>
    <w:bookmarkEnd w:id="155"/>
    <w:p>
      <w:pPr>
        <w:ind w:left="360" w:right="55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We regularly review our available-for-sale marketable securities in an unrealized loss position and evaluate the current expected credit loss by considering factors such as historical experience, market data, issuer-specific factors, and current economic conditions. As of September 30, 2020, no expected credit losses were recorded as there was no individual security in an unrealized loss position.</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56" w:name="page157"/>
    <w:bookmarkEnd w:id="156"/>
    <w:p>
      <w:pPr>
        <w:ind w:left="360" w:right="859"/>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estimated amortized cost and fair value of marketable securities by contractual maturity as of September 30, 2020 is as follows (amounts in thousands):</w:t>
      </w:r>
    </w:p>
    <w:p>
      <w:pPr>
        <w:spacing w:after="0" w:line="154"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Amortized Cost</w:t>
            </w:r>
          </w:p>
        </w:tc>
        <w:tc>
          <w:tcPr>
            <w:tcW w:w="22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w w:val="98"/>
              </w:rPr>
              <w:t>Fair Value</w:t>
            </w:r>
          </w:p>
        </w:tc>
      </w:tr>
      <w:tr>
        <w:trPr>
          <w:trHeight w:val="153"/>
        </w:trPr>
        <w:tc>
          <w:tcPr>
            <w:tcW w:w="20" w:type="dxa"/>
            <w:vAlign w:val="bottom"/>
          </w:tcPr>
          <w:p>
            <w:pPr>
              <w:spacing w:after="0"/>
              <w:rPr>
                <w:sz w:val="13"/>
                <w:szCs w:val="13"/>
                <w:color w:val="auto"/>
              </w:rPr>
            </w:pPr>
          </w:p>
        </w:tc>
        <w:tc>
          <w:tcPr>
            <w:tcW w:w="34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Due within one year</w:t>
            </w:r>
          </w:p>
        </w:tc>
        <w:tc>
          <w:tcPr>
            <w:tcW w:w="1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74,130</w:t>
            </w:r>
          </w:p>
        </w:tc>
        <w:tc>
          <w:tcPr>
            <w:tcW w:w="2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84"/>
              </w:rPr>
              <w:t>$ 74,169</w:t>
            </w:r>
          </w:p>
        </w:tc>
        <w:tc>
          <w:tcPr>
            <w:tcW w:w="60" w:type="dxa"/>
            <w:vAlign w:val="bottom"/>
            <w:tcBorders>
              <w:top w:val="single" w:sz="8" w:color="CCEEFF"/>
            </w:tcBorders>
            <w:shd w:val="clear" w:color="auto" w:fill="CCEEFF"/>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Arial" w:cs="Arial" w:eastAsia="Arial" w:hAnsi="Arial"/>
                <w:sz w:val="14"/>
                <w:szCs w:val="14"/>
                <w:color w:val="auto"/>
              </w:rPr>
              <w:t>Due after one year and through five years</w:t>
            </w:r>
          </w:p>
        </w:tc>
        <w:tc>
          <w:tcPr>
            <w:tcW w:w="1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4"/>
                <w:szCs w:val="14"/>
                <w:color w:val="auto"/>
              </w:rPr>
              <w:t>Total short-term investments</w:t>
            </w: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74,130</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w w:val="95"/>
              </w:rPr>
              <w:t>$ 74,169</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right="1019"/>
        <w:spacing w:after="0" w:line="259" w:lineRule="auto"/>
        <w:rPr>
          <w:sz w:val="20"/>
          <w:szCs w:val="20"/>
          <w:color w:val="auto"/>
        </w:rPr>
      </w:pPr>
      <w:r>
        <w:rPr>
          <w:rFonts w:ascii="Arial" w:cs="Arial" w:eastAsia="Arial" w:hAnsi="Arial"/>
          <w:sz w:val="14"/>
          <w:szCs w:val="14"/>
          <w:color w:val="auto"/>
        </w:rPr>
        <w:t>As of September 30, 2020 and December 31, 2019, the carrying values of cash and cash equivalents, accounts payable and accrued liabilities approximate their respective fair values due to their short-term nature.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Warrants</w:t>
      </w:r>
    </w:p>
    <w:p>
      <w:pPr>
        <w:spacing w:after="0" w:line="85" w:lineRule="exact"/>
        <w:rPr>
          <w:sz w:val="20"/>
          <w:szCs w:val="20"/>
          <w:color w:val="auto"/>
        </w:rPr>
      </w:pPr>
    </w:p>
    <w:p>
      <w:pPr>
        <w:ind w:left="360" w:right="419"/>
        <w:spacing w:after="0" w:line="302" w:lineRule="auto"/>
        <w:rPr>
          <w:sz w:val="20"/>
          <w:szCs w:val="20"/>
          <w:color w:val="auto"/>
        </w:rPr>
      </w:pPr>
      <w:r>
        <w:rPr>
          <w:rFonts w:ascii="Arial" w:cs="Arial" w:eastAsia="Arial" w:hAnsi="Arial"/>
          <w:sz w:val="12"/>
          <w:szCs w:val="12"/>
          <w:color w:val="auto"/>
        </w:rPr>
        <w:t>In 2011 through 2013, in connection with an equipment and loan security agreement with TriplePoint Capital, the Company issued warrants to purchase 124,586 shares of Series A convertible preferred stock at $2.20131 per share (“the TPC1 warrants”). The TPC1 warrants expire at the later of 7 years from effective date or five years after an initial public offering or acquisition. The Company recorded the fair value of the warrants upon issuance as debt issuance cost and amortized the amount over the term of the agreement to interest expense in the statement of operations and comprehensive loss.</w:t>
      </w:r>
    </w:p>
    <w:p>
      <w:pPr>
        <w:spacing w:after="0" w:line="117" w:lineRule="exact"/>
        <w:rPr>
          <w:sz w:val="20"/>
          <w:szCs w:val="20"/>
          <w:color w:val="auto"/>
        </w:rPr>
      </w:pPr>
    </w:p>
    <w:p>
      <w:pPr>
        <w:ind w:left="360" w:right="419"/>
        <w:spacing w:after="0" w:line="246" w:lineRule="auto"/>
        <w:rPr>
          <w:sz w:val="20"/>
          <w:szCs w:val="20"/>
          <w:color w:val="auto"/>
        </w:rPr>
      </w:pPr>
      <w:r>
        <w:rPr>
          <w:rFonts w:ascii="Arial" w:cs="Arial" w:eastAsia="Arial" w:hAnsi="Arial"/>
          <w:sz w:val="14"/>
          <w:szCs w:val="14"/>
          <w:color w:val="auto"/>
        </w:rPr>
        <w:t>In January 2015, the Company entered into another equipment loan and security agreement with TriplePoint Capital. In connection with the borrowing of funds per the agreement, the Company issued warrants to purchase 129,718 shares of Series C convertible preferred stock at $10.40717 per share (“TPC2 warrants”). The TPC2 warrants expire at the later of 2022 or five years after an initial public offering or acquisition. The Company recorded the fair value of the warrants upon issuance as debt issuance cost and amortized the amount over the term of the agreement to interest expense in the statement of operations and comprehensive loss</w:t>
      </w:r>
    </w:p>
    <w:p>
      <w:pPr>
        <w:spacing w:after="0" w:line="149" w:lineRule="exact"/>
        <w:rPr>
          <w:sz w:val="20"/>
          <w:szCs w:val="20"/>
          <w:color w:val="auto"/>
        </w:rPr>
      </w:pPr>
    </w:p>
    <w:p>
      <w:pPr>
        <w:ind w:left="360" w:right="439"/>
        <w:spacing w:after="0" w:line="250" w:lineRule="auto"/>
        <w:rPr>
          <w:sz w:val="20"/>
          <w:szCs w:val="20"/>
          <w:color w:val="auto"/>
        </w:rPr>
      </w:pPr>
      <w:r>
        <w:rPr>
          <w:rFonts w:ascii="Arial" w:cs="Arial" w:eastAsia="Arial" w:hAnsi="Arial"/>
          <w:sz w:val="14"/>
          <w:szCs w:val="14"/>
          <w:color w:val="auto"/>
        </w:rPr>
        <w:t>As the underlying convertible preferred shares of the outstanding TPC warrants are redeemable outside the control of the Company, the fair value of the TPC warrants are reported on the Company’s balance sheets as a long-term liability as of September 30, 2020 and December 31, 2019, in the amount noted in the table below.</w:t>
      </w:r>
    </w:p>
    <w:p>
      <w:pPr>
        <w:spacing w:after="0" w:line="146" w:lineRule="exact"/>
        <w:rPr>
          <w:sz w:val="20"/>
          <w:szCs w:val="20"/>
          <w:color w:val="auto"/>
        </w:rPr>
      </w:pPr>
    </w:p>
    <w:p>
      <w:pPr>
        <w:ind w:left="360" w:right="439"/>
        <w:spacing w:after="0" w:line="287" w:lineRule="auto"/>
        <w:rPr>
          <w:sz w:val="20"/>
          <w:szCs w:val="20"/>
          <w:color w:val="auto"/>
        </w:rPr>
      </w:pPr>
      <w:r>
        <w:rPr>
          <w:rFonts w:ascii="Arial" w:cs="Arial" w:eastAsia="Arial" w:hAnsi="Arial"/>
          <w:sz w:val="12"/>
          <w:szCs w:val="12"/>
          <w:color w:val="auto"/>
        </w:rPr>
        <w:t>The Company re-measured the fair value of the outstanding TPC1 and TPC2 warrants at September 30, 2020 with the difference recorded in interest expense using an Option Pricing Model (OPM). The TPC1 warrants were re-measured at September 30, 2020, using the Option Pricing Model (OPM) with the following assumptions: option term of 5 years, volatility of 76.6 %, risk-free interest rate of 0.28% and no expected dividends. The TPC2 warrants were re-measured at September 30, 2020, using the OPM with the following assumptions: option term of 5 years, volatility of 62.7%, risk-free interest rate of 0.28% and no expected dividends. The Company calculated the current estimated fair value of preferred Series A and preferred Series C stocks by the probability weighting of the closing of the business combination with Kensington. The probability weighting is considered a significant unobservable input (Level 3), as well as the discounting factor. The Company assumed a 75% probability of the transaction closing at September 30, 2020. The fair value of the SPAC business combination of $57.93 was calculated based on the traded stock price of Kensington at September 30, 2020 of $16.75, adjusted for the conversion ratio in the SPAC business combination (4.0217), and adjusted for a discount for lack of marketability of 14%. This estimated value was then weighted with 25% of the values of preferred Series A and preferred Series C, estimated at $16.06 and $18.57, respectively, derived from the OPM as of September 30, 2020. The probability of the business combination not occurring of 25% takes into consideration several uncertainties, including Board and shareholder approval of the proposed merger transaction with KCAC, closing of the PIPE, and obtaining SEC approval of the proposed merger as of September 30, 2020.</w:t>
      </w:r>
    </w:p>
    <w:p>
      <w:pPr>
        <w:spacing w:after="0" w:line="128" w:lineRule="exact"/>
        <w:rPr>
          <w:sz w:val="20"/>
          <w:szCs w:val="20"/>
          <w:color w:val="auto"/>
        </w:rPr>
      </w:pPr>
    </w:p>
    <w:p>
      <w:pPr>
        <w:ind w:left="360" w:right="459"/>
        <w:spacing w:after="0" w:line="342" w:lineRule="auto"/>
        <w:rPr>
          <w:sz w:val="20"/>
          <w:szCs w:val="20"/>
          <w:color w:val="auto"/>
        </w:rPr>
      </w:pPr>
      <w:r>
        <w:rPr>
          <w:rFonts w:ascii="Arial" w:cs="Arial" w:eastAsia="Arial" w:hAnsi="Arial"/>
          <w:sz w:val="12"/>
          <w:szCs w:val="12"/>
          <w:color w:val="auto"/>
        </w:rPr>
        <w:t>There was no re-measurement as of September 30, 2019 for the TPC1 and TPC2 warrants as there were no changes to the underlying assumptions. The 5 years term was derived based on the Company’s estimation of the timing of the exercise of the warrants.</w:t>
      </w:r>
    </w:p>
    <w:p>
      <w:pPr>
        <w:spacing w:after="0" w:line="94" w:lineRule="exact"/>
        <w:rPr>
          <w:sz w:val="20"/>
          <w:szCs w:val="20"/>
          <w:color w:val="auto"/>
        </w:rPr>
      </w:pPr>
    </w:p>
    <w:p>
      <w:pPr>
        <w:ind w:left="360" w:right="679"/>
        <w:spacing w:after="0" w:line="250" w:lineRule="auto"/>
        <w:rPr>
          <w:sz w:val="20"/>
          <w:szCs w:val="20"/>
          <w:color w:val="auto"/>
        </w:rPr>
      </w:pPr>
      <w:r>
        <w:rPr>
          <w:rFonts w:ascii="Arial" w:cs="Arial" w:eastAsia="Arial" w:hAnsi="Arial"/>
          <w:sz w:val="14"/>
          <w:szCs w:val="14"/>
          <w:color w:val="auto"/>
        </w:rPr>
        <w:t>The TPC1 and TPC2 warrants are classified as Level 3 in the fair value hierarchy. The following table presents the reconciliation of the Company’s liabilities measured and recorded at fair value on a recurring basis using the significant observable inputs (Level 3) outlined above (amounts in thousands):</w:t>
      </w:r>
    </w:p>
    <w:p>
      <w:pPr>
        <w:spacing w:after="0" w:line="14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660" w:type="dxa"/>
            <w:vAlign w:val="bottom"/>
            <w:gridSpan w:val="3"/>
            <w:vMerge w:val="restart"/>
          </w:tcPr>
          <w:p>
            <w:pPr>
              <w:ind w:left="920"/>
              <w:spacing w:after="0"/>
              <w:rPr>
                <w:sz w:val="20"/>
                <w:szCs w:val="20"/>
                <w:color w:val="auto"/>
              </w:rPr>
            </w:pPr>
            <w:r>
              <w:rPr>
                <w:rFonts w:ascii="Arial" w:cs="Arial" w:eastAsia="Arial" w:hAnsi="Arial"/>
                <w:sz w:val="11"/>
                <w:szCs w:val="11"/>
                <w:b w:val="1"/>
                <w:bCs w:val="1"/>
                <w:color w:val="auto"/>
                <w:w w:val="91"/>
              </w:rPr>
              <w:t>TPC1 Warrants</w:t>
            </w:r>
          </w:p>
        </w:tc>
        <w:tc>
          <w:tcPr>
            <w:tcW w:w="1180" w:type="dxa"/>
            <w:vAlign w:val="bottom"/>
            <w:gridSpan w:val="3"/>
            <w:vMerge w:val="restart"/>
          </w:tcPr>
          <w:p>
            <w:pPr>
              <w:ind w:left="440"/>
              <w:spacing w:after="0"/>
              <w:rPr>
                <w:sz w:val="20"/>
                <w:szCs w:val="20"/>
                <w:color w:val="auto"/>
              </w:rPr>
            </w:pPr>
            <w:r>
              <w:rPr>
                <w:rFonts w:ascii="Arial" w:cs="Arial" w:eastAsia="Arial" w:hAnsi="Arial"/>
                <w:sz w:val="11"/>
                <w:szCs w:val="11"/>
                <w:b w:val="1"/>
                <w:bCs w:val="1"/>
                <w:color w:val="auto"/>
                <w:w w:val="91"/>
              </w:rPr>
              <w:t>TPC2 Warrants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6"/>
              </w:rPr>
              <w:t>Liability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2018</w:t>
            </w:r>
          </w:p>
        </w:tc>
        <w:tc>
          <w:tcPr>
            <w:tcW w:w="9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984</w:t>
            </w: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782</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1,766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tcPr>
          <w:p>
            <w:pPr>
              <w:ind w:left="260"/>
              <w:spacing w:after="0"/>
              <w:rPr>
                <w:sz w:val="20"/>
                <w:szCs w:val="20"/>
                <w:color w:val="auto"/>
              </w:rPr>
            </w:pPr>
            <w:r>
              <w:rPr>
                <w:rFonts w:ascii="Arial" w:cs="Arial" w:eastAsia="Arial" w:hAnsi="Arial"/>
                <w:sz w:val="14"/>
                <w:szCs w:val="14"/>
                <w:color w:val="auto"/>
                <w:w w:val="92"/>
              </w:rPr>
              <w:t>Re-measurement loss included in interest expense</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2019</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1,766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TPC1</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1"/>
                <w:szCs w:val="11"/>
                <w:b w:val="1"/>
                <w:bCs w:val="1"/>
                <w:color w:val="auto"/>
              </w:rPr>
              <w:t>TPC2</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3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gridSpan w:val="3"/>
            <w:vMerge w:val="restart"/>
          </w:tcPr>
          <w:p>
            <w:pPr>
              <w:jc w:val="center"/>
              <w:ind w:right="40"/>
              <w:spacing w:after="0"/>
              <w:rPr>
                <w:sz w:val="20"/>
                <w:szCs w:val="20"/>
                <w:color w:val="auto"/>
              </w:rPr>
            </w:pPr>
            <w:r>
              <w:rPr>
                <w:rFonts w:ascii="Arial" w:cs="Arial" w:eastAsia="Arial" w:hAnsi="Arial"/>
                <w:sz w:val="11"/>
                <w:szCs w:val="11"/>
                <w:b w:val="1"/>
                <w:bCs w:val="1"/>
                <w:color w:val="auto"/>
                <w:w w:val="96"/>
              </w:rPr>
              <w:t>Liability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6"/>
              <w:spacing w:after="0"/>
              <w:rPr>
                <w:sz w:val="20"/>
                <w:szCs w:val="20"/>
                <w:color w:val="auto"/>
              </w:rPr>
            </w:pPr>
            <w:r>
              <w:rPr>
                <w:rFonts w:ascii="Arial" w:cs="Arial" w:eastAsia="Arial" w:hAnsi="Arial"/>
                <w:sz w:val="11"/>
                <w:szCs w:val="11"/>
                <w:b w:val="1"/>
                <w:bCs w:val="1"/>
                <w:color w:val="auto"/>
              </w:rPr>
              <w:t>Warrants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96"/>
              <w:spacing w:after="0"/>
              <w:rPr>
                <w:sz w:val="20"/>
                <w:szCs w:val="20"/>
                <w:color w:val="auto"/>
              </w:rPr>
            </w:pPr>
            <w:r>
              <w:rPr>
                <w:rFonts w:ascii="Arial" w:cs="Arial" w:eastAsia="Arial" w:hAnsi="Arial"/>
                <w:sz w:val="11"/>
                <w:szCs w:val="11"/>
                <w:b w:val="1"/>
                <w:bCs w:val="1"/>
                <w:color w:val="auto"/>
                <w:w w:val="96"/>
              </w:rPr>
              <w:t>Warrants</w:t>
            </w:r>
          </w:p>
        </w:tc>
        <w:tc>
          <w:tcPr>
            <w:tcW w:w="440" w:type="dxa"/>
            <w:vAlign w:val="bottom"/>
          </w:tcPr>
          <w:p>
            <w:pPr>
              <w:spacing w:after="0"/>
              <w:rPr>
                <w:sz w:val="11"/>
                <w:szCs w:val="11"/>
                <w:color w:val="auto"/>
              </w:rPr>
            </w:pPr>
          </w:p>
        </w:tc>
        <w:tc>
          <w:tcPr>
            <w:tcW w:w="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1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2019</w:t>
            </w:r>
          </w:p>
        </w:tc>
        <w:tc>
          <w:tcPr>
            <w:tcW w:w="9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1,036</w:t>
            </w:r>
          </w:p>
        </w:tc>
        <w:tc>
          <w:tcPr>
            <w:tcW w:w="4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824</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1,860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80" w:type="dxa"/>
            <w:vAlign w:val="bottom"/>
          </w:tcPr>
          <w:p>
            <w:pPr>
              <w:ind w:left="260"/>
              <w:spacing w:after="0"/>
              <w:rPr>
                <w:sz w:val="20"/>
                <w:szCs w:val="20"/>
                <w:color w:val="auto"/>
              </w:rPr>
            </w:pPr>
            <w:r>
              <w:rPr>
                <w:rFonts w:ascii="Arial" w:cs="Arial" w:eastAsia="Arial" w:hAnsi="Arial"/>
                <w:sz w:val="14"/>
                <w:szCs w:val="14"/>
                <w:color w:val="auto"/>
                <w:w w:val="92"/>
              </w:rPr>
              <w:t>Re-measurement loss included in interest expense</w:t>
            </w: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4,630</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4,317</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8,947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5,666</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10,807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vMerge w:val="restart"/>
          </w:tcPr>
          <w:p>
            <w:pPr>
              <w:jc w:val="right"/>
              <w:ind w:right="516"/>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157" w:name="page158"/>
    <w:bookmarkEnd w:id="157"/>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Convertible Preferred Stock Tranche Liabilities</w:t>
      </w:r>
    </w:p>
    <w:p>
      <w:pPr>
        <w:spacing w:after="0" w:line="85" w:lineRule="exact"/>
        <w:rPr>
          <w:sz w:val="20"/>
          <w:szCs w:val="20"/>
          <w:color w:val="auto"/>
        </w:rPr>
      </w:pPr>
    </w:p>
    <w:p>
      <w:pPr>
        <w:ind w:left="360" w:right="439"/>
        <w:spacing w:after="0" w:line="250" w:lineRule="auto"/>
        <w:rPr>
          <w:sz w:val="20"/>
          <w:szCs w:val="20"/>
          <w:color w:val="auto"/>
        </w:rPr>
      </w:pPr>
      <w:r>
        <w:rPr>
          <w:rFonts w:ascii="Arial" w:cs="Arial" w:eastAsia="Arial" w:hAnsi="Arial"/>
          <w:sz w:val="14"/>
          <w:szCs w:val="14"/>
          <w:color w:val="auto"/>
        </w:rPr>
        <w:t>In May 2020, the Company executed a stock purchase agreement and other related agreements with VGA for the investment of $200 million in the Company’s Series F convertible preferred stock. The transaction will be funded in two tranches with the first tranche to occur on December 1, 2020 and the second tranche contingent on the occurrence of two milestones.</w:t>
      </w:r>
    </w:p>
    <w:p>
      <w:pPr>
        <w:spacing w:after="0" w:line="146" w:lineRule="exact"/>
        <w:rPr>
          <w:sz w:val="20"/>
          <w:szCs w:val="20"/>
          <w:color w:val="auto"/>
        </w:rPr>
      </w:pPr>
    </w:p>
    <w:p>
      <w:pPr>
        <w:ind w:left="360" w:right="379"/>
        <w:spacing w:after="0" w:line="292" w:lineRule="auto"/>
        <w:rPr>
          <w:sz w:val="20"/>
          <w:szCs w:val="20"/>
          <w:color w:val="auto"/>
        </w:rPr>
      </w:pPr>
      <w:r>
        <w:rPr>
          <w:rFonts w:ascii="Arial" w:cs="Arial" w:eastAsia="Arial" w:hAnsi="Arial"/>
          <w:sz w:val="12"/>
          <w:szCs w:val="12"/>
          <w:color w:val="auto"/>
        </w:rPr>
        <w:t>The stock purchase agreement with VGA obligates the Company to issue and sell, and VGA to purchase, up to a total of 7,569,508 shares of Series F convertible preferred stock (the “tranche shares”) at $26.4218 per share, on December 1, 2020 for half of the obligation (the time based portion of the agreement, “tranche shares 1”) and upon the occurrence of two milestones for the remainder of the obligation (“tranche shares 2”). The Company concluded that the firm commitment to issue the tranche shares met the definition of a freestanding financial instrument. As the underlying convertible preferred shares of the outstanding tranche liabilities are redeemable outside the control of the Company, the fair value of the tranche liabilities is reported on the Company’s balance sheets as a long-term liability as of September 30, 2020, and the fair value change is recorded in other expense in the consolidated statements of operations and comprehensive loss, as noted in the table below.</w:t>
      </w:r>
    </w:p>
    <w:p>
      <w:pPr>
        <w:spacing w:after="0" w:line="124" w:lineRule="exact"/>
        <w:rPr>
          <w:sz w:val="20"/>
          <w:szCs w:val="20"/>
          <w:color w:val="auto"/>
        </w:rPr>
      </w:pPr>
    </w:p>
    <w:p>
      <w:pPr>
        <w:ind w:left="360" w:right="499"/>
        <w:spacing w:after="0" w:line="342" w:lineRule="auto"/>
        <w:rPr>
          <w:sz w:val="20"/>
          <w:szCs w:val="20"/>
          <w:color w:val="auto"/>
        </w:rPr>
      </w:pPr>
      <w:r>
        <w:rPr>
          <w:rFonts w:ascii="Arial" w:cs="Arial" w:eastAsia="Arial" w:hAnsi="Arial"/>
          <w:sz w:val="12"/>
          <w:szCs w:val="12"/>
          <w:color w:val="auto"/>
        </w:rPr>
        <w:t>The Company estimated the fair value of the Series F tranche commitment liabilities to VGA at the initial issuance date as negligible as the transaction was negotiated at arm length and in good faith. The tranche liabilities were re-measured as of September 30, 2020, as discussed below.</w:t>
      </w:r>
    </w:p>
    <w:p>
      <w:pPr>
        <w:spacing w:after="0" w:line="94" w:lineRule="exact"/>
        <w:rPr>
          <w:sz w:val="20"/>
          <w:szCs w:val="20"/>
          <w:color w:val="auto"/>
        </w:rPr>
      </w:pPr>
    </w:p>
    <w:p>
      <w:pPr>
        <w:ind w:left="360" w:right="439"/>
        <w:spacing w:after="0" w:line="292" w:lineRule="auto"/>
        <w:rPr>
          <w:sz w:val="20"/>
          <w:szCs w:val="20"/>
          <w:color w:val="auto"/>
        </w:rPr>
      </w:pPr>
      <w:r>
        <w:rPr>
          <w:rFonts w:ascii="Arial" w:cs="Arial" w:eastAsia="Arial" w:hAnsi="Arial"/>
          <w:sz w:val="12"/>
          <w:szCs w:val="12"/>
          <w:color w:val="auto"/>
        </w:rPr>
        <w:t>In August 2020, the Company executed multiple stock purchase agreements (tranche shares 3 and 4) with new and existing investors for the investment of $188.0 million in the Company’s Series F convertible preferred stock of which $94.0 million will be funded at the earlier of December 1, 2020 or the SPAC business combination’s (“tranche shares 3”). The remaining $94.0 million tranche (“tranche shares 4”) will be funded at the earlier of the SPAC business combination’s closing or March 2021. Similar to the tranche shares to VGA, the Company concluded that the firm commitment to issue the incremental tranche shares 3 and 4 met the definition of a freestanding financial instrument. As with the VGA tranche shares, the fair value of the tranche liabilities for tranches shares 3 and 4 is reported on the Company’s balance sheets as a long-term liability as of September 30, 2020, and the fair value change is recorded in other expense in the consolidated statements of operations and comprehensive loss, as noted in the table below.</w:t>
      </w:r>
    </w:p>
    <w:p>
      <w:pPr>
        <w:spacing w:after="0" w:line="124" w:lineRule="exact"/>
        <w:rPr>
          <w:sz w:val="20"/>
          <w:szCs w:val="20"/>
          <w:color w:val="auto"/>
        </w:rPr>
      </w:pPr>
    </w:p>
    <w:p>
      <w:pPr>
        <w:ind w:left="360" w:right="379"/>
        <w:spacing w:after="0" w:line="289" w:lineRule="auto"/>
        <w:rPr>
          <w:sz w:val="20"/>
          <w:szCs w:val="20"/>
          <w:color w:val="auto"/>
        </w:rPr>
      </w:pPr>
      <w:r>
        <w:rPr>
          <w:rFonts w:ascii="Arial" w:cs="Arial" w:eastAsia="Arial" w:hAnsi="Arial"/>
          <w:sz w:val="12"/>
          <w:szCs w:val="12"/>
          <w:color w:val="auto"/>
        </w:rPr>
        <w:t>The Company determined, although there was the potential for the tranche liabilities for tranche shares 3 and 4 to have value at the execution of the stock purchase agreements, the liabilities were required to be remeasured as of September 30, 2020 and any change in fair value of the liability would be recorded as other expense during the same interim period. The Company remeasured all four tranche share liabilities as of September 30, 2020, giving consideration to the probability weighting of the closing of the SPAC business combination with Kensington. The probability weighting is considered a significant unobservable input (Level 3), as well as the discounting factor. The Company assumed a 75% probability of the transaction closing at September 30, 2020. The fair value of the SPAC business combination of $57.93 was calculated based on the traded stock price of Kensington at September 30, 2020 of $16.75, adjusted for the conversion ratio in the SPAC business combination (4.0217), and adjusted for a discount for lack of marketability of 14%. This was then adjusted for the estimated term of the tranche between 0.17 years and 0.50 years. The probability of the SPAC business combination not occurring of 25% utilized the Series F exercise price of $26.42.</w:t>
      </w:r>
    </w:p>
    <w:p>
      <w:pPr>
        <w:spacing w:after="0" w:line="128" w:lineRule="exact"/>
        <w:rPr>
          <w:sz w:val="20"/>
          <w:szCs w:val="20"/>
          <w:color w:val="auto"/>
        </w:rPr>
      </w:pPr>
    </w:p>
    <w:p>
      <w:pPr>
        <w:ind w:left="360" w:right="599"/>
        <w:spacing w:after="0" w:line="342" w:lineRule="auto"/>
        <w:rPr>
          <w:sz w:val="20"/>
          <w:szCs w:val="20"/>
          <w:color w:val="auto"/>
        </w:rPr>
      </w:pPr>
      <w:r>
        <w:rPr>
          <w:rFonts w:ascii="Arial" w:cs="Arial" w:eastAsia="Arial" w:hAnsi="Arial"/>
          <w:sz w:val="12"/>
          <w:szCs w:val="12"/>
          <w:color w:val="auto"/>
        </w:rPr>
        <w:t>The Series F tranche liabilities are classified as Level 3 in the fair value hierarchy. The following table presents the reconciliation of the Company’s liabilities measured and recorded at fair value on a recurring basis using the significant unobservable inputs described above (amounts in thousands):</w:t>
      </w:r>
    </w:p>
    <w:p>
      <w:pPr>
        <w:spacing w:after="0" w:line="108" w:lineRule="exact"/>
        <w:rPr>
          <w:sz w:val="20"/>
          <w:szCs w:val="20"/>
          <w:color w:val="auto"/>
        </w:rPr>
      </w:pPr>
    </w:p>
    <w:tbl>
      <w:tblPr>
        <w:tblLayout w:type="fixed"/>
        <w:tblInd w:w="1700" w:type="dxa"/>
        <w:tblCellMar>
          <w:top w:w="0" w:type="dxa"/>
          <w:left w:w="0" w:type="dxa"/>
          <w:bottom w:w="0" w:type="dxa"/>
          <w:right w:w="0" w:type="dxa"/>
        </w:tblCellMar>
      </w:tblPr>
      <w:tr>
        <w:trPr>
          <w:trHeight w:val="129"/>
        </w:trPr>
        <w:tc>
          <w:tcPr>
            <w:tcW w:w="4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4"/>
              </w:rPr>
              <w:t>Fair Value</w:t>
            </w:r>
          </w:p>
        </w:tc>
      </w:tr>
      <w:tr>
        <w:trPr>
          <w:trHeight w:val="153"/>
        </w:trPr>
        <w:tc>
          <w:tcPr>
            <w:tcW w:w="41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2019</w:t>
            </w:r>
          </w:p>
        </w:tc>
        <w:tc>
          <w:tcPr>
            <w:tcW w:w="8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12"/>
              <w:spacing w:after="0" w:line="153"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4"/>
                <w:szCs w:val="14"/>
                <w:color w:val="auto"/>
              </w:rPr>
              <w:t>Issuance and remeasurement loss recorded in other expense</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86"/>
              </w:rPr>
              <w:t>(347,120)</w:t>
            </w:r>
          </w:p>
        </w:tc>
      </w:tr>
      <w:tr>
        <w:trPr>
          <w:trHeight w:val="20"/>
        </w:trPr>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6"/>
              </w:rPr>
              <w:t>(347,120)</w:t>
            </w:r>
          </w:p>
        </w:tc>
      </w:tr>
      <w:tr>
        <w:trPr>
          <w:trHeight w:val="20"/>
        </w:trPr>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5. Property and Equipment</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Property and equipment as of September 30, 2020 and December 31, 2019, consisted of the following (amounts in thousands):</w:t>
      </w:r>
    </w:p>
    <w:p>
      <w:pPr>
        <w:spacing w:after="0" w:line="163"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1080" w:type="dxa"/>
            <w:vAlign w:val="bottom"/>
            <w:gridSpan w:val="4"/>
          </w:tcPr>
          <w:p>
            <w:pPr>
              <w:spacing w:after="0"/>
              <w:rPr>
                <w:sz w:val="20"/>
                <w:szCs w:val="20"/>
                <w:color w:val="auto"/>
              </w:rPr>
            </w:pPr>
            <w:r>
              <w:rPr>
                <w:rFonts w:ascii="Arial" w:cs="Arial" w:eastAsia="Arial" w:hAnsi="Arial"/>
                <w:sz w:val="11"/>
                <w:szCs w:val="11"/>
                <w:b w:val="1"/>
                <w:bCs w:val="1"/>
                <w:color w:val="auto"/>
              </w:rPr>
              <w:t>September 30,</w:t>
            </w: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w w:val="97"/>
              </w:rPr>
              <w:t>December 31,</w:t>
            </w:r>
          </w:p>
        </w:tc>
      </w:tr>
      <w:tr>
        <w:trPr>
          <w:trHeight w:val="129"/>
        </w:trPr>
        <w:tc>
          <w:tcPr>
            <w:tcW w:w="4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1"/>
                <w:szCs w:val="11"/>
                <w:color w:val="auto"/>
              </w:rPr>
            </w:pPr>
          </w:p>
        </w:tc>
      </w:tr>
      <w:tr>
        <w:trPr>
          <w:trHeight w:val="153"/>
        </w:trPr>
        <w:tc>
          <w:tcPr>
            <w:tcW w:w="450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Computers and hardware</w:t>
            </w:r>
          </w:p>
        </w:tc>
        <w:tc>
          <w:tcPr>
            <w:tcW w:w="1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706</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3"/>
                <w:szCs w:val="13"/>
                <w:color w:val="auto"/>
              </w:rPr>
            </w:pP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Furniture and fixtures</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10,031</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4,755</w:t>
            </w:r>
          </w:p>
        </w:tc>
      </w:tr>
      <w:tr>
        <w:trPr>
          <w:trHeight w:val="16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Lab equipment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31,371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25,919</w:t>
            </w:r>
          </w:p>
        </w:tc>
      </w:tr>
      <w:tr>
        <w:trPr>
          <w:trHeight w:val="162"/>
        </w:trPr>
        <w:tc>
          <w:tcPr>
            <w:tcW w:w="4500" w:type="dxa"/>
            <w:vAlign w:val="bottom"/>
          </w:tcPr>
          <w:p>
            <w:pPr>
              <w:spacing w:after="0"/>
              <w:rPr>
                <w:sz w:val="20"/>
                <w:szCs w:val="20"/>
                <w:color w:val="auto"/>
              </w:rPr>
            </w:pPr>
            <w:r>
              <w:rPr>
                <w:rFonts w:ascii="Arial" w:cs="Arial" w:eastAsia="Arial" w:hAnsi="Arial"/>
                <w:sz w:val="14"/>
                <w:szCs w:val="14"/>
                <w:color w:val="auto"/>
              </w:rPr>
              <w:t>Leasehold improvements</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13,427</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12,005</w:t>
            </w:r>
          </w:p>
        </w:tc>
      </w:tr>
      <w:tr>
        <w:trPr>
          <w:trHeight w:val="162"/>
        </w:trPr>
        <w:tc>
          <w:tcPr>
            <w:tcW w:w="4500" w:type="dxa"/>
            <w:vAlign w:val="bottom"/>
            <w:shd w:val="clear" w:color="auto" w:fill="CCEEFF"/>
          </w:tcPr>
          <w:p>
            <w:pPr>
              <w:spacing w:after="0"/>
              <w:rPr>
                <w:sz w:val="20"/>
                <w:szCs w:val="20"/>
                <w:color w:val="auto"/>
              </w:rPr>
            </w:pPr>
            <w:r>
              <w:rPr>
                <w:rFonts w:ascii="Arial" w:cs="Arial" w:eastAsia="Arial" w:hAnsi="Arial"/>
                <w:sz w:val="14"/>
                <w:szCs w:val="14"/>
                <w:color w:val="auto"/>
              </w:rPr>
              <w:t>Construction-in-progress</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10,720</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8,610</w:t>
            </w:r>
          </w:p>
        </w:tc>
      </w:tr>
      <w:tr>
        <w:trPr>
          <w:trHeight w:val="163"/>
        </w:trPr>
        <w:tc>
          <w:tcPr>
            <w:tcW w:w="45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66,255</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51,887</w:t>
            </w:r>
          </w:p>
        </w:tc>
        <w:tc>
          <w:tcPr>
            <w:tcW w:w="100" w:type="dxa"/>
            <w:vAlign w:val="bottom"/>
          </w:tcPr>
          <w:p>
            <w:pPr>
              <w:spacing w:after="0"/>
              <w:rPr>
                <w:sz w:val="14"/>
                <w:szCs w:val="14"/>
                <w:color w:val="auto"/>
              </w:rPr>
            </w:pPr>
          </w:p>
        </w:tc>
      </w:tr>
      <w:tr>
        <w:trPr>
          <w:trHeight w:val="162"/>
        </w:trPr>
        <w:tc>
          <w:tcPr>
            <w:tcW w:w="45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depreciation and amortization</w:t>
            </w:r>
          </w:p>
        </w:tc>
        <w:tc>
          <w:tcPr>
            <w:tcW w:w="14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(31,601)</w:t>
            </w: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9"/>
              </w:rPr>
              <w:t>(26,395)</w:t>
            </w:r>
          </w:p>
        </w:tc>
      </w:tr>
      <w:tr>
        <w:trPr>
          <w:trHeight w:val="163"/>
        </w:trPr>
        <w:tc>
          <w:tcPr>
            <w:tcW w:w="4500" w:type="dxa"/>
            <w:vAlign w:val="bottom"/>
          </w:tcPr>
          <w:p>
            <w:pPr>
              <w:ind w:left="260"/>
              <w:spacing w:after="0"/>
              <w:rPr>
                <w:sz w:val="20"/>
                <w:szCs w:val="20"/>
                <w:color w:val="auto"/>
              </w:rPr>
            </w:pPr>
            <w:r>
              <w:rPr>
                <w:rFonts w:ascii="Arial" w:cs="Arial" w:eastAsia="Arial" w:hAnsi="Arial"/>
                <w:sz w:val="14"/>
                <w:szCs w:val="14"/>
                <w:color w:val="auto"/>
              </w:rPr>
              <w:t>Property and equipment, net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34,654</w:t>
            </w:r>
          </w:p>
        </w:tc>
        <w:tc>
          <w:tcPr>
            <w:tcW w:w="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25,492</w:t>
            </w:r>
          </w:p>
        </w:tc>
        <w:tc>
          <w:tcPr>
            <w:tcW w:w="100" w:type="dxa"/>
            <w:vAlign w:val="bottom"/>
          </w:tcPr>
          <w:p>
            <w:pPr>
              <w:spacing w:after="0"/>
              <w:rPr>
                <w:sz w:val="14"/>
                <w:szCs w:val="14"/>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right="559"/>
        <w:spacing w:after="0" w:line="259" w:lineRule="auto"/>
        <w:rPr>
          <w:sz w:val="20"/>
          <w:szCs w:val="20"/>
          <w:color w:val="auto"/>
        </w:rPr>
      </w:pPr>
      <w:r>
        <w:rPr>
          <w:rFonts w:ascii="Arial" w:cs="Arial" w:eastAsia="Arial" w:hAnsi="Arial"/>
          <w:sz w:val="14"/>
          <w:szCs w:val="14"/>
          <w:color w:val="auto"/>
        </w:rPr>
        <w:t>Depreciation and amortization expense related to property and equipment was $5.2 million and $4.2 million for the nine months ended September 30, 2020 and 2019, respectively.</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238" w:right="1440" w:bottom="1440" w:gutter="0" w:footer="0" w:header="0"/>
        </w:sectPr>
      </w:pPr>
    </w:p>
    <w:bookmarkStart w:id="158" w:name="page159"/>
    <w:bookmarkEnd w:id="158"/>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6. Leases</w:t>
      </w:r>
    </w:p>
    <w:p>
      <w:pPr>
        <w:spacing w:after="0" w:line="85" w:lineRule="exact"/>
        <w:rPr>
          <w:sz w:val="20"/>
          <w:szCs w:val="20"/>
          <w:color w:val="auto"/>
        </w:rPr>
      </w:pPr>
    </w:p>
    <w:p>
      <w:pPr>
        <w:ind w:left="360" w:right="519"/>
        <w:spacing w:after="0" w:line="294" w:lineRule="auto"/>
        <w:rPr>
          <w:sz w:val="20"/>
          <w:szCs w:val="20"/>
          <w:color w:val="auto"/>
        </w:rPr>
      </w:pPr>
      <w:r>
        <w:rPr>
          <w:rFonts w:ascii="Arial" w:cs="Arial" w:eastAsia="Arial" w:hAnsi="Arial"/>
          <w:sz w:val="12"/>
          <w:szCs w:val="12"/>
          <w:color w:val="auto"/>
        </w:rPr>
        <w:t>The Company currently leases its headquarters under a single lease classified as an operating lease expiring in January 2023. Fixed rent escalates each year, but the Company is responsible for a portion of the landlord’s operating expenses such as property tax, insurance and common area maintenance which are considered variable costs. Under the lease, the Company has one 60-month renewal option, which has been included in the calculation of lease liabilities and right of use assets at the adoption date as the exercise of the option was reasonably certain. As the renewal rent has not been negotiated, the Company uses an estimated rent rate which approximates the fair market rent at adoption for the extension period. This lease does not have any contingent rent payments and does not contain residual value guarantees.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Company does not have any leases classified as financing leases.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components of lease related expense are as follows (amounts in thousands):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100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auto"/>
                <w:w w:val="93"/>
              </w:rPr>
              <w:t>Nine Months Ended</w:t>
            </w:r>
          </w:p>
        </w:tc>
        <w:tc>
          <w:tcPr>
            <w:tcW w:w="0" w:type="dxa"/>
            <w:vAlign w:val="bottom"/>
          </w:tcPr>
          <w:p>
            <w:pPr>
              <w:spacing w:after="0"/>
              <w:rPr>
                <w:sz w:val="1"/>
                <w:szCs w:val="1"/>
                <w:color w:val="auto"/>
              </w:rPr>
            </w:pPr>
          </w:p>
        </w:tc>
      </w:tr>
      <w:tr>
        <w:trPr>
          <w:trHeight w:val="129"/>
        </w:trPr>
        <w:tc>
          <w:tcPr>
            <w:tcW w:w="6140" w:type="dxa"/>
            <w:vAlign w:val="bottom"/>
            <w:gridSpan w:val="2"/>
            <w:vMerge w:val="restart"/>
          </w:tcPr>
          <w:p>
            <w:pPr>
              <w:ind w:left="1000"/>
              <w:spacing w:after="0"/>
              <w:rPr>
                <w:sz w:val="20"/>
                <w:szCs w:val="20"/>
                <w:color w:val="auto"/>
              </w:rPr>
            </w:pPr>
            <w:r>
              <w:rPr>
                <w:rFonts w:ascii="Arial" w:cs="Arial" w:eastAsia="Arial" w:hAnsi="Arial"/>
                <w:sz w:val="11"/>
                <w:szCs w:val="11"/>
                <w:color w:val="auto"/>
              </w:rPr>
              <w:t>Operating leases</w:t>
            </w:r>
          </w:p>
        </w:tc>
        <w:tc>
          <w:tcPr>
            <w:tcW w:w="80" w:type="dxa"/>
            <w:vAlign w:val="bottom"/>
          </w:tcPr>
          <w:p>
            <w:pPr>
              <w:spacing w:after="0"/>
              <w:rPr>
                <w:sz w:val="11"/>
                <w:szCs w:val="11"/>
                <w:color w:val="auto"/>
              </w:rPr>
            </w:pPr>
          </w:p>
        </w:tc>
        <w:tc>
          <w:tcPr>
            <w:tcW w:w="1080" w:type="dxa"/>
            <w:vAlign w:val="bottom"/>
            <w:gridSpan w:val="6"/>
          </w:tcPr>
          <w:p>
            <w:pPr>
              <w:jc w:val="right"/>
              <w:ind w:right="240"/>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02"/>
        </w:trPr>
        <w:tc>
          <w:tcPr>
            <w:tcW w:w="61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jc w:val="right"/>
              <w:ind w:right="1"/>
              <w:spacing w:after="0" w:line="102" w:lineRule="exact"/>
              <w:rPr>
                <w:sz w:val="20"/>
                <w:szCs w:val="20"/>
                <w:color w:val="auto"/>
              </w:rPr>
            </w:pPr>
            <w:r>
              <w:rPr>
                <w:rFonts w:ascii="Arial" w:cs="Arial" w:eastAsia="Arial" w:hAnsi="Arial"/>
                <w:sz w:val="11"/>
                <w:szCs w:val="11"/>
                <w:b w:val="1"/>
                <w:bCs w:val="1"/>
                <w:color w:val="auto"/>
              </w:rPr>
              <w:t>2020</w:t>
            </w: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jc w:val="right"/>
              <w:spacing w:after="0" w:line="102" w:lineRule="exact"/>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5140" w:type="dxa"/>
            <w:vAlign w:val="bottom"/>
            <w:tcBorders>
              <w:top w:val="single" w:sz="8" w:color="CCEEFF"/>
            </w:tcBorders>
            <w:shd w:val="clear" w:color="auto" w:fill="CCEEFF"/>
          </w:tcPr>
          <w:p>
            <w:pPr>
              <w:ind w:left="260"/>
              <w:spacing w:after="0" w:line="153" w:lineRule="exact"/>
              <w:rPr>
                <w:sz w:val="20"/>
                <w:szCs w:val="20"/>
                <w:color w:val="auto"/>
              </w:rPr>
            </w:pPr>
            <w:r>
              <w:rPr>
                <w:rFonts w:ascii="Arial" w:cs="Arial" w:eastAsia="Arial" w:hAnsi="Arial"/>
                <w:sz w:val="14"/>
                <w:szCs w:val="14"/>
                <w:color w:val="auto"/>
              </w:rPr>
              <w:t>Operating lease cost</w:t>
            </w: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righ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w w:val="74"/>
              </w:rPr>
              <w:t>$1,607</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9"/>
              </w:rPr>
              <w:t>$1,607</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5140" w:type="dxa"/>
            <w:vAlign w:val="bottom"/>
          </w:tcPr>
          <w:p>
            <w:pPr>
              <w:ind w:left="260"/>
              <w:spacing w:after="0"/>
              <w:rPr>
                <w:sz w:val="20"/>
                <w:szCs w:val="20"/>
                <w:color w:val="auto"/>
              </w:rPr>
            </w:pPr>
            <w:r>
              <w:rPr>
                <w:rFonts w:ascii="Arial" w:cs="Arial" w:eastAsia="Arial" w:hAnsi="Arial"/>
                <w:sz w:val="14"/>
                <w:szCs w:val="14"/>
                <w:color w:val="auto"/>
              </w:rPr>
              <w:t>Variable lease cost</w:t>
            </w:r>
          </w:p>
        </w:tc>
        <w:tc>
          <w:tcPr>
            <w:tcW w:w="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600" w:type="dxa"/>
            <w:vAlign w:val="bottom"/>
            <w:gridSpan w:val="4"/>
          </w:tcPr>
          <w:p>
            <w:pPr>
              <w:jc w:val="right"/>
              <w:ind w:right="60"/>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vMerge w:val="continue"/>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1,912</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4"/>
                <w:szCs w:val="14"/>
                <w:color w:val="auto"/>
                <w:w w:val="88"/>
              </w:rPr>
              <w:t>The components of supplemental cash flow information related to leases are as follows (amounts in thousands):</w:t>
            </w: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1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6"/>
          </w:tcPr>
          <w:p>
            <w:pPr>
              <w:jc w:val="right"/>
              <w:ind w:right="140"/>
              <w:spacing w:after="0"/>
              <w:rPr>
                <w:sz w:val="20"/>
                <w:szCs w:val="20"/>
                <w:color w:val="auto"/>
              </w:rPr>
            </w:pPr>
            <w:r>
              <w:rPr>
                <w:rFonts w:ascii="Arial" w:cs="Arial" w:eastAsia="Arial" w:hAnsi="Arial"/>
                <w:sz w:val="11"/>
                <w:szCs w:val="11"/>
                <w:b w:val="1"/>
                <w:bCs w:val="1"/>
                <w:color w:val="auto"/>
                <w:w w:val="89"/>
              </w:rPr>
              <w:t>Nine Months Ended</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6"/>
          </w:tcPr>
          <w:p>
            <w:pPr>
              <w:jc w:val="right"/>
              <w:ind w:right="280"/>
              <w:spacing w:after="0"/>
              <w:rPr>
                <w:sz w:val="20"/>
                <w:szCs w:val="20"/>
                <w:color w:val="auto"/>
              </w:rPr>
            </w:pPr>
            <w:r>
              <w:rPr>
                <w:rFonts w:ascii="Arial" w:cs="Arial" w:eastAsia="Arial" w:hAnsi="Arial"/>
                <w:sz w:val="11"/>
                <w:szCs w:val="11"/>
                <w:b w:val="1"/>
                <w:bCs w:val="1"/>
                <w:color w:val="auto"/>
              </w:rPr>
              <w:t>September 30,</w:t>
            </w:r>
          </w:p>
        </w:tc>
        <w:tc>
          <w:tcPr>
            <w:tcW w:w="0" w:type="dxa"/>
            <w:vAlign w:val="bottom"/>
          </w:tcPr>
          <w:p>
            <w:pPr>
              <w:spacing w:after="0"/>
              <w:rPr>
                <w:sz w:val="1"/>
                <w:szCs w:val="1"/>
                <w:color w:val="auto"/>
              </w:rPr>
            </w:pPr>
          </w:p>
        </w:tc>
      </w:tr>
      <w:tr>
        <w:trPr>
          <w:trHeight w:val="102"/>
        </w:trPr>
        <w:tc>
          <w:tcPr>
            <w:tcW w:w="100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40" w:type="dxa"/>
            <w:vAlign w:val="bottom"/>
            <w:tcBorders>
              <w:top w:val="single" w:sz="8" w:color="auto"/>
            </w:tcBorders>
            <w:gridSpan w:val="2"/>
          </w:tcPr>
          <w:p>
            <w:pPr>
              <w:ind w:left="80"/>
              <w:spacing w:after="0" w:line="102" w:lineRule="exact"/>
              <w:rPr>
                <w:sz w:val="20"/>
                <w:szCs w:val="20"/>
                <w:color w:val="auto"/>
              </w:rPr>
            </w:pPr>
            <w:r>
              <w:rPr>
                <w:rFonts w:ascii="Arial" w:cs="Arial" w:eastAsia="Arial" w:hAnsi="Arial"/>
                <w:sz w:val="11"/>
                <w:szCs w:val="11"/>
                <w:b w:val="1"/>
                <w:bCs w:val="1"/>
                <w:color w:val="auto"/>
              </w:rPr>
              <w:t>2020</w:t>
            </w: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gridSpan w:val="3"/>
          </w:tcPr>
          <w:p>
            <w:pPr>
              <w:jc w:val="right"/>
              <w:ind w:right="32"/>
              <w:spacing w:after="0" w:line="102" w:lineRule="exact"/>
              <w:rPr>
                <w:sz w:val="20"/>
                <w:szCs w:val="20"/>
                <w:color w:val="auto"/>
              </w:rPr>
            </w:pPr>
            <w:r>
              <w:rPr>
                <w:rFonts w:ascii="Arial" w:cs="Arial" w:eastAsia="Arial" w:hAnsi="Arial"/>
                <w:sz w:val="11"/>
                <w:szCs w:val="11"/>
                <w:b w:val="1"/>
                <w:bCs w:val="1"/>
                <w:color w:val="auto"/>
              </w:rPr>
              <w:t>2019</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00" w:type="dxa"/>
            <w:vAlign w:val="bottom"/>
          </w:tcPr>
          <w:p>
            <w:pPr>
              <w:spacing w:after="0"/>
              <w:rPr>
                <w:sz w:val="13"/>
                <w:szCs w:val="13"/>
                <w:color w:val="auto"/>
              </w:rPr>
            </w:pPr>
          </w:p>
        </w:tc>
        <w:tc>
          <w:tcPr>
            <w:tcW w:w="514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Operating cash flows - operating leases</w:t>
            </w:r>
          </w:p>
        </w:tc>
        <w:tc>
          <w:tcPr>
            <w:tcW w:w="440" w:type="dxa"/>
            <w:vAlign w:val="bottom"/>
            <w:tcBorders>
              <w:top w:val="single" w:sz="8" w:color="auto"/>
              <w:right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w w:val="93"/>
              </w:rPr>
              <w:t>$1,494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89"/>
              </w:rPr>
              <w:t>$ 1,451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5140" w:type="dxa"/>
            <w:vAlign w:val="bottom"/>
          </w:tcPr>
          <w:p>
            <w:pPr>
              <w:spacing w:after="0" w:line="152" w:lineRule="exact"/>
              <w:rPr>
                <w:sz w:val="20"/>
                <w:szCs w:val="20"/>
                <w:color w:val="auto"/>
              </w:rPr>
            </w:pPr>
            <w:r>
              <w:rPr>
                <w:rFonts w:ascii="Arial" w:cs="Arial" w:eastAsia="Arial" w:hAnsi="Arial"/>
                <w:sz w:val="14"/>
                <w:szCs w:val="14"/>
                <w:color w:val="auto"/>
              </w:rPr>
              <w:t>Right-of-use assets obtained in exchange for</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5140" w:type="dxa"/>
            <w:vAlign w:val="bottom"/>
          </w:tcPr>
          <w:p>
            <w:pPr>
              <w:ind w:left="140"/>
              <w:spacing w:after="0"/>
              <w:rPr>
                <w:sz w:val="20"/>
                <w:szCs w:val="20"/>
                <w:color w:val="auto"/>
              </w:rPr>
            </w:pPr>
            <w:r>
              <w:rPr>
                <w:rFonts w:ascii="Arial" w:cs="Arial" w:eastAsia="Arial" w:hAnsi="Arial"/>
                <w:sz w:val="14"/>
                <w:szCs w:val="14"/>
                <w:color w:val="auto"/>
              </w:rPr>
              <w:t>operating lease liabilities</w:t>
            </w:r>
          </w:p>
        </w:tc>
        <w:tc>
          <w:tcPr>
            <w:tcW w:w="560" w:type="dxa"/>
            <w:vAlign w:val="bottom"/>
            <w:gridSpan w:val="3"/>
          </w:tcPr>
          <w:p>
            <w:pPr>
              <w:spacing w:after="0"/>
              <w:rPr>
                <w:sz w:val="20"/>
                <w:szCs w:val="20"/>
                <w:color w:val="auto"/>
              </w:rPr>
            </w:pPr>
            <w:r>
              <w:rPr>
                <w:rFonts w:ascii="Arial" w:cs="Arial" w:eastAsia="Arial" w:hAnsi="Arial"/>
                <w:sz w:val="14"/>
                <w:szCs w:val="14"/>
                <w:color w:val="auto"/>
              </w:rPr>
              <w:t>$  —</w:t>
            </w:r>
          </w:p>
        </w:tc>
        <w:tc>
          <w:tcPr>
            <w:tcW w:w="600" w:type="dxa"/>
            <w:vAlign w:val="bottom"/>
            <w:gridSpan w:val="4"/>
          </w:tcPr>
          <w:p>
            <w:pPr>
              <w:jc w:val="right"/>
              <w:ind w:right="60"/>
              <w:spacing w:after="0"/>
              <w:rPr>
                <w:sz w:val="20"/>
                <w:szCs w:val="20"/>
                <w:color w:val="auto"/>
              </w:rPr>
            </w:pPr>
            <w:r>
              <w:rPr>
                <w:rFonts w:ascii="Arial" w:cs="Arial" w:eastAsia="Arial" w:hAnsi="Arial"/>
                <w:sz w:val="14"/>
                <w:szCs w:val="14"/>
                <w:color w:val="auto"/>
              </w:rPr>
              <w:t>$14,100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September 30, 2020, future minimum payments during the next five years and thereafter are as follows (amounts in thousands):</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35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60" w:type="dxa"/>
            <w:vAlign w:val="bottom"/>
            <w:gridSpan w:val="3"/>
          </w:tcPr>
          <w:p>
            <w:pPr>
              <w:spacing w:after="0"/>
              <w:rPr>
                <w:sz w:val="20"/>
                <w:szCs w:val="20"/>
                <w:color w:val="auto"/>
              </w:rPr>
            </w:pPr>
            <w:r>
              <w:rPr>
                <w:rFonts w:ascii="Arial" w:cs="Arial" w:eastAsia="Arial" w:hAnsi="Arial"/>
                <w:sz w:val="11"/>
                <w:szCs w:val="11"/>
                <w:b w:val="1"/>
                <w:bCs w:val="1"/>
                <w:color w:val="auto"/>
              </w:rPr>
              <w:t>Operating</w:t>
            </w:r>
          </w:p>
        </w:tc>
      </w:tr>
      <w:tr>
        <w:trPr>
          <w:trHeight w:val="129"/>
        </w:trPr>
        <w:tc>
          <w:tcPr>
            <w:tcW w:w="35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74"/>
              </w:rPr>
              <w:t>Leases</w:t>
            </w:r>
          </w:p>
        </w:tc>
      </w:tr>
      <w:tr>
        <w:trPr>
          <w:trHeight w:val="153"/>
        </w:trPr>
        <w:tc>
          <w:tcPr>
            <w:tcW w:w="35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Six Months Ended December 31, 2020</w:t>
            </w:r>
          </w:p>
        </w:tc>
        <w:tc>
          <w:tcPr>
            <w:tcW w:w="1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499</w:t>
            </w:r>
          </w:p>
        </w:tc>
        <w:tc>
          <w:tcPr>
            <w:tcW w:w="80" w:type="dxa"/>
            <w:vAlign w:val="bottom"/>
            <w:tcBorders>
              <w:top w:val="single" w:sz="8" w:color="CCEEFF"/>
            </w:tcBorders>
            <w:shd w:val="clear" w:color="auto" w:fill="CCEEFF"/>
          </w:tcPr>
          <w:p>
            <w:pPr>
              <w:spacing w:after="0"/>
              <w:rPr>
                <w:sz w:val="13"/>
                <w:szCs w:val="13"/>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Year Ended December 31, 2021</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2,053</w:t>
            </w: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2022</w:t>
            </w: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2,115</w:t>
            </w: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Year Ended December 31, 2023</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2,301</w:t>
            </w: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Year Ended December 31, 2024</w:t>
            </w: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2,318</w:t>
            </w:r>
          </w:p>
        </w:tc>
      </w:tr>
      <w:tr>
        <w:trPr>
          <w:trHeight w:val="163"/>
        </w:trPr>
        <w:tc>
          <w:tcPr>
            <w:tcW w:w="3580" w:type="dxa"/>
            <w:vAlign w:val="bottom"/>
          </w:tcPr>
          <w:p>
            <w:pPr>
              <w:spacing w:after="0"/>
              <w:rPr>
                <w:sz w:val="20"/>
                <w:szCs w:val="20"/>
                <w:color w:val="auto"/>
              </w:rPr>
            </w:pPr>
            <w:r>
              <w:rPr>
                <w:rFonts w:ascii="Arial" w:cs="Arial" w:eastAsia="Arial" w:hAnsi="Arial"/>
                <w:sz w:val="14"/>
                <w:szCs w:val="14"/>
                <w:color w:val="auto"/>
              </w:rPr>
              <w:t>Thereafter</w:t>
            </w:r>
          </w:p>
        </w:tc>
        <w:tc>
          <w:tcPr>
            <w:tcW w:w="1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7,146</w:t>
            </w:r>
          </w:p>
        </w:tc>
        <w:tc>
          <w:tcPr>
            <w:tcW w:w="80" w:type="dxa"/>
            <w:vAlign w:val="bottom"/>
          </w:tcPr>
          <w:p>
            <w:pPr>
              <w:spacing w:after="0"/>
              <w:rPr>
                <w:sz w:val="14"/>
                <w:szCs w:val="14"/>
                <w:color w:val="auto"/>
              </w:rPr>
            </w:pPr>
          </w:p>
        </w:tc>
      </w:tr>
      <w:tr>
        <w:trPr>
          <w:trHeight w:val="162"/>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16,432</w:t>
            </w:r>
          </w:p>
        </w:tc>
      </w:tr>
      <w:tr>
        <w:trPr>
          <w:trHeight w:val="162"/>
        </w:trPr>
        <w:tc>
          <w:tcPr>
            <w:tcW w:w="3580" w:type="dxa"/>
            <w:vAlign w:val="bottom"/>
          </w:tcPr>
          <w:p>
            <w:pPr>
              <w:spacing w:after="0"/>
              <w:rPr>
                <w:sz w:val="20"/>
                <w:szCs w:val="20"/>
                <w:color w:val="auto"/>
              </w:rPr>
            </w:pPr>
            <w:r>
              <w:rPr>
                <w:rFonts w:ascii="Arial" w:cs="Arial" w:eastAsia="Arial" w:hAnsi="Arial"/>
                <w:sz w:val="14"/>
                <w:szCs w:val="14"/>
                <w:color w:val="auto"/>
              </w:rPr>
              <w:t>Less present value discount</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(3,690)</w:t>
            </w:r>
          </w:p>
        </w:tc>
      </w:tr>
      <w:tr>
        <w:trPr>
          <w:trHeight w:val="20"/>
        </w:trPr>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2"/>
        </w:trPr>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1560" w:type="dxa"/>
            <w:vAlign w:val="bottom"/>
            <w:gridSpan w:val="2"/>
            <w:shd w:val="clear" w:color="auto" w:fill="CCEEFF"/>
          </w:tcPr>
          <w:p>
            <w:pPr>
              <w:ind w:left="1480"/>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8"/>
              </w:rPr>
              <w:t>12,742</w:t>
            </w:r>
          </w:p>
        </w:tc>
      </w:tr>
      <w:tr>
        <w:trPr>
          <w:trHeight w:val="20"/>
        </w:trPr>
        <w:tc>
          <w:tcPr>
            <w:tcW w:w="3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7. Commitments and Contingencies</w:t>
      </w:r>
    </w:p>
    <w:p>
      <w:pPr>
        <w:spacing w:after="0" w:line="85" w:lineRule="exact"/>
        <w:rPr>
          <w:sz w:val="20"/>
          <w:szCs w:val="20"/>
          <w:color w:val="auto"/>
        </w:rPr>
      </w:pPr>
    </w:p>
    <w:p>
      <w:pPr>
        <w:ind w:left="360" w:right="759"/>
        <w:spacing w:after="0" w:line="259" w:lineRule="auto"/>
        <w:rPr>
          <w:sz w:val="20"/>
          <w:szCs w:val="20"/>
          <w:color w:val="auto"/>
        </w:rPr>
      </w:pPr>
      <w:r>
        <w:rPr>
          <w:rFonts w:ascii="Arial" w:cs="Arial" w:eastAsia="Arial" w:hAnsi="Arial"/>
          <w:sz w:val="14"/>
          <w:szCs w:val="14"/>
          <w:color w:val="auto"/>
        </w:rPr>
        <w:t>The Company is currently not aware of any investigations, claims, or lawsuits that it believes could have a material adverse effect on the financial position or on the results of operations.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8. Redeemable Convertible Preferred Stock</w:t>
      </w:r>
    </w:p>
    <w:p>
      <w:pPr>
        <w:spacing w:after="0" w:line="85" w:lineRule="exact"/>
        <w:rPr>
          <w:sz w:val="20"/>
          <w:szCs w:val="20"/>
          <w:color w:val="auto"/>
        </w:rPr>
      </w:pPr>
    </w:p>
    <w:p>
      <w:pPr>
        <w:ind w:left="360" w:right="479"/>
        <w:spacing w:after="0" w:line="250" w:lineRule="auto"/>
        <w:rPr>
          <w:sz w:val="20"/>
          <w:szCs w:val="20"/>
          <w:color w:val="auto"/>
        </w:rPr>
      </w:pPr>
      <w:r>
        <w:rPr>
          <w:rFonts w:ascii="Arial" w:cs="Arial" w:eastAsia="Arial" w:hAnsi="Arial"/>
          <w:sz w:val="14"/>
          <w:szCs w:val="14"/>
          <w:color w:val="auto"/>
        </w:rPr>
        <w:t>The Company’s certificate of incorporation, as amended and restated as of May 14, 2020 authorizes the issuance of 63,329,998 shares of $0.0001 par value convertible preferred stock. The following table summarizes the convertible preferred stock outstanding as of September 30, 2020, and the rights and preferences of the respective series:</w:t>
      </w:r>
    </w:p>
    <w:p>
      <w:pPr>
        <w:spacing w:after="0" w:line="146"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7"/>
          </w:tcPr>
          <w:p>
            <w:pPr>
              <w:ind w:left="200"/>
              <w:spacing w:after="0"/>
              <w:rPr>
                <w:sz w:val="20"/>
                <w:szCs w:val="20"/>
                <w:color w:val="auto"/>
              </w:rPr>
            </w:pPr>
            <w:r>
              <w:rPr>
                <w:rFonts w:ascii="Arial" w:cs="Arial" w:eastAsia="Arial" w:hAnsi="Arial"/>
                <w:sz w:val="11"/>
                <w:szCs w:val="11"/>
                <w:b w:val="1"/>
                <w:bCs w:val="1"/>
                <w:color w:val="auto"/>
              </w:rPr>
              <w:t>Shares</w:t>
            </w:r>
          </w:p>
        </w:tc>
      </w:tr>
      <w:tr>
        <w:trPr>
          <w:trHeight w:val="129"/>
        </w:trPr>
        <w:tc>
          <w:tcPr>
            <w:tcW w:w="3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720" w:type="dxa"/>
            <w:vAlign w:val="bottom"/>
            <w:gridSpan w:val="4"/>
          </w:tcPr>
          <w:p>
            <w:pPr>
              <w:ind w:left="80"/>
              <w:spacing w:after="0"/>
              <w:rPr>
                <w:sz w:val="20"/>
                <w:szCs w:val="20"/>
                <w:color w:val="auto"/>
              </w:rPr>
            </w:pPr>
            <w:r>
              <w:rPr>
                <w:rFonts w:ascii="Arial" w:cs="Arial" w:eastAsia="Arial" w:hAnsi="Arial"/>
                <w:sz w:val="11"/>
                <w:szCs w:val="11"/>
                <w:b w:val="1"/>
                <w:bCs w:val="1"/>
                <w:color w:val="auto"/>
              </w:rPr>
              <w:t>Authorized</w:t>
            </w:r>
          </w:p>
        </w:tc>
        <w:tc>
          <w:tcPr>
            <w:tcW w:w="100" w:type="dxa"/>
            <w:vAlign w:val="bottom"/>
          </w:tcPr>
          <w:p>
            <w:pPr>
              <w:spacing w:after="0"/>
              <w:rPr>
                <w:sz w:val="11"/>
                <w:szCs w:val="11"/>
                <w:color w:val="auto"/>
              </w:rPr>
            </w:pPr>
          </w:p>
        </w:tc>
        <w:tc>
          <w:tcPr>
            <w:tcW w:w="720" w:type="dxa"/>
            <w:vAlign w:val="bottom"/>
            <w:gridSpan w:val="4"/>
          </w:tcPr>
          <w:p>
            <w:pPr>
              <w:ind w:left="180"/>
              <w:spacing w:after="0"/>
              <w:rPr>
                <w:sz w:val="20"/>
                <w:szCs w:val="20"/>
                <w:color w:val="auto"/>
              </w:rPr>
            </w:pPr>
            <w:r>
              <w:rPr>
                <w:rFonts w:ascii="Arial" w:cs="Arial" w:eastAsia="Arial" w:hAnsi="Arial"/>
                <w:sz w:val="11"/>
                <w:szCs w:val="11"/>
                <w:b w:val="1"/>
                <w:bCs w:val="1"/>
                <w:color w:val="auto"/>
              </w:rPr>
              <w:t>Issued</w:t>
            </w:r>
          </w:p>
        </w:tc>
      </w:tr>
      <w:tr>
        <w:trPr>
          <w:trHeight w:val="153"/>
        </w:trPr>
        <w:tc>
          <w:tcPr>
            <w:tcW w:w="476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Series A</w:t>
            </w:r>
          </w:p>
        </w:tc>
        <w:tc>
          <w:tcPr>
            <w:tcW w:w="660" w:type="dxa"/>
            <w:vAlign w:val="bottom"/>
            <w:tcBorders>
              <w:top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w w:val="91"/>
              </w:rPr>
              <w:t>12,316,831</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w w:val="91"/>
              </w:rPr>
              <w:t>12,192,245</w:t>
            </w:r>
          </w:p>
        </w:tc>
        <w:tc>
          <w:tcPr>
            <w:tcW w:w="60" w:type="dxa"/>
            <w:vAlign w:val="bottom"/>
            <w:tcBorders>
              <w:top w:val="single" w:sz="8" w:color="CCEEFF"/>
            </w:tcBorders>
            <w:shd w:val="clear" w:color="auto" w:fill="CCEEFF"/>
          </w:tcPr>
          <w:p>
            <w:pPr>
              <w:spacing w:after="0"/>
              <w:rPr>
                <w:sz w:val="13"/>
                <w:szCs w:val="13"/>
                <w:color w:val="auto"/>
              </w:rPr>
            </w:pPr>
          </w:p>
        </w:tc>
      </w:tr>
      <w:tr>
        <w:trPr>
          <w:trHeight w:val="162"/>
        </w:trPr>
        <w:tc>
          <w:tcPr>
            <w:tcW w:w="4760" w:type="dxa"/>
            <w:vAlign w:val="bottom"/>
            <w:gridSpan w:val="2"/>
          </w:tcPr>
          <w:p>
            <w:pPr>
              <w:spacing w:after="0"/>
              <w:rPr>
                <w:sz w:val="20"/>
                <w:szCs w:val="20"/>
                <w:color w:val="auto"/>
              </w:rPr>
            </w:pPr>
            <w:r>
              <w:rPr>
                <w:rFonts w:ascii="Arial" w:cs="Arial" w:eastAsia="Arial" w:hAnsi="Arial"/>
                <w:sz w:val="14"/>
                <w:szCs w:val="14"/>
                <w:color w:val="auto"/>
              </w:rPr>
              <w:t>Series B</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w w:val="91"/>
              </w:rPr>
              <w:t>12,381,008</w:t>
            </w:r>
          </w:p>
        </w:tc>
        <w:tc>
          <w:tcPr>
            <w:tcW w:w="820" w:type="dxa"/>
            <w:vAlign w:val="bottom"/>
            <w:gridSpan w:val="5"/>
          </w:tcPr>
          <w:p>
            <w:pPr>
              <w:jc w:val="right"/>
              <w:ind w:right="60"/>
              <w:spacing w:after="0"/>
              <w:rPr>
                <w:sz w:val="20"/>
                <w:szCs w:val="20"/>
                <w:color w:val="auto"/>
              </w:rPr>
            </w:pPr>
            <w:r>
              <w:rPr>
                <w:rFonts w:ascii="Arial" w:cs="Arial" w:eastAsia="Arial" w:hAnsi="Arial"/>
                <w:sz w:val="14"/>
                <w:szCs w:val="14"/>
                <w:color w:val="auto"/>
              </w:rPr>
              <w:t>12,381,008</w:t>
            </w:r>
          </w:p>
        </w:tc>
      </w:tr>
      <w:tr>
        <w:trPr>
          <w:trHeight w:val="162"/>
        </w:trPr>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B-1</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4,076,037</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4,076,037</w:t>
            </w:r>
          </w:p>
        </w:tc>
        <w:tc>
          <w:tcPr>
            <w:tcW w:w="60" w:type="dxa"/>
            <w:vAlign w:val="bottom"/>
            <w:shd w:val="clear" w:color="auto" w:fill="CCEEFF"/>
          </w:tcPr>
          <w:p>
            <w:pPr>
              <w:spacing w:after="0"/>
              <w:rPr>
                <w:sz w:val="14"/>
                <w:szCs w:val="14"/>
                <w:color w:val="auto"/>
              </w:rPr>
            </w:pPr>
          </w:p>
        </w:tc>
      </w:tr>
      <w:tr>
        <w:trPr>
          <w:trHeight w:val="162"/>
        </w:trPr>
        <w:tc>
          <w:tcPr>
            <w:tcW w:w="4760" w:type="dxa"/>
            <w:vAlign w:val="bottom"/>
            <w:gridSpan w:val="2"/>
          </w:tcPr>
          <w:p>
            <w:pPr>
              <w:spacing w:after="0"/>
              <w:rPr>
                <w:sz w:val="20"/>
                <w:szCs w:val="20"/>
                <w:color w:val="auto"/>
              </w:rPr>
            </w:pPr>
            <w:r>
              <w:rPr>
                <w:rFonts w:ascii="Arial" w:cs="Arial" w:eastAsia="Arial" w:hAnsi="Arial"/>
                <w:sz w:val="14"/>
                <w:szCs w:val="14"/>
                <w:color w:val="auto"/>
              </w:rPr>
              <w:t>Series C</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w w:val="91"/>
              </w:rPr>
              <w:t>11,388,090</w:t>
            </w:r>
          </w:p>
        </w:tc>
        <w:tc>
          <w:tcPr>
            <w:tcW w:w="820" w:type="dxa"/>
            <w:vAlign w:val="bottom"/>
            <w:gridSpan w:val="5"/>
          </w:tcPr>
          <w:p>
            <w:pPr>
              <w:jc w:val="right"/>
              <w:ind w:right="60"/>
              <w:spacing w:after="0"/>
              <w:rPr>
                <w:sz w:val="20"/>
                <w:szCs w:val="20"/>
                <w:color w:val="auto"/>
              </w:rPr>
            </w:pPr>
            <w:r>
              <w:rPr>
                <w:rFonts w:ascii="Arial" w:cs="Arial" w:eastAsia="Arial" w:hAnsi="Arial"/>
                <w:sz w:val="14"/>
                <w:szCs w:val="14"/>
                <w:color w:val="auto"/>
              </w:rPr>
              <w:t>11,258,372</w:t>
            </w:r>
          </w:p>
        </w:tc>
      </w:tr>
      <w:tr>
        <w:trPr>
          <w:trHeight w:val="162"/>
        </w:trPr>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D</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2,983,189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2,983,189</w:t>
            </w:r>
          </w:p>
        </w:tc>
        <w:tc>
          <w:tcPr>
            <w:tcW w:w="60" w:type="dxa"/>
            <w:vAlign w:val="bottom"/>
            <w:shd w:val="clear" w:color="auto" w:fill="CCEEFF"/>
          </w:tcPr>
          <w:p>
            <w:pPr>
              <w:spacing w:after="0"/>
              <w:rPr>
                <w:sz w:val="14"/>
                <w:szCs w:val="14"/>
                <w:color w:val="auto"/>
              </w:rPr>
            </w:pPr>
          </w:p>
        </w:tc>
      </w:tr>
      <w:tr>
        <w:trPr>
          <w:trHeight w:val="162"/>
        </w:trPr>
        <w:tc>
          <w:tcPr>
            <w:tcW w:w="4760" w:type="dxa"/>
            <w:vAlign w:val="bottom"/>
            <w:gridSpan w:val="2"/>
          </w:tcPr>
          <w:p>
            <w:pPr>
              <w:spacing w:after="0"/>
              <w:rPr>
                <w:sz w:val="20"/>
                <w:szCs w:val="20"/>
                <w:color w:val="auto"/>
              </w:rPr>
            </w:pPr>
            <w:r>
              <w:rPr>
                <w:rFonts w:ascii="Arial" w:cs="Arial" w:eastAsia="Arial" w:hAnsi="Arial"/>
                <w:sz w:val="14"/>
                <w:szCs w:val="14"/>
                <w:color w:val="auto"/>
              </w:rPr>
              <w:t>Series E</w:t>
            </w:r>
          </w:p>
        </w:tc>
        <w:tc>
          <w:tcPr>
            <w:tcW w:w="720" w:type="dxa"/>
            <w:vAlign w:val="bottom"/>
            <w:gridSpan w:val="4"/>
          </w:tcPr>
          <w:p>
            <w:pPr>
              <w:jc w:val="right"/>
              <w:ind w:right="60"/>
              <w:spacing w:after="0"/>
              <w:rPr>
                <w:sz w:val="20"/>
                <w:szCs w:val="20"/>
                <w:color w:val="auto"/>
              </w:rPr>
            </w:pPr>
            <w:r>
              <w:rPr>
                <w:rFonts w:ascii="Arial" w:cs="Arial" w:eastAsia="Arial" w:hAnsi="Arial"/>
                <w:sz w:val="14"/>
                <w:szCs w:val="14"/>
                <w:color w:val="auto"/>
              </w:rPr>
              <w:t>5,500,000</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5,500,000</w:t>
            </w:r>
          </w:p>
        </w:tc>
        <w:tc>
          <w:tcPr>
            <w:tcW w:w="60" w:type="dxa"/>
            <w:vAlign w:val="bottom"/>
          </w:tcPr>
          <w:p>
            <w:pPr>
              <w:spacing w:after="0"/>
              <w:rPr>
                <w:sz w:val="14"/>
                <w:szCs w:val="14"/>
                <w:color w:val="auto"/>
              </w:rPr>
            </w:pPr>
          </w:p>
        </w:tc>
      </w:tr>
      <w:tr>
        <w:trPr>
          <w:trHeight w:val="162"/>
        </w:trPr>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F</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w w:val="91"/>
              </w:rPr>
              <w:t>14,684,843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r>
      <w:tr>
        <w:trPr>
          <w:trHeight w:val="163"/>
        </w:trPr>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63,329,998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48,390,851</w:t>
            </w:r>
          </w:p>
        </w:tc>
        <w:tc>
          <w:tcPr>
            <w:tcW w:w="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7"/>
          </w:tcPr>
          <w:p>
            <w:pPr>
              <w:jc w:val="center"/>
              <w:ind w:right="380"/>
              <w:spacing w:after="0"/>
              <w:rPr>
                <w:sz w:val="20"/>
                <w:szCs w:val="20"/>
                <w:color w:val="auto"/>
              </w:rPr>
            </w:pPr>
            <w:r>
              <w:rPr>
                <w:rFonts w:ascii="Arial" w:cs="Arial" w:eastAsia="Arial" w:hAnsi="Arial"/>
                <w:sz w:val="11"/>
                <w:szCs w:val="11"/>
                <w:b w:val="1"/>
                <w:bCs w:val="1"/>
                <w:color w:val="auto"/>
                <w:w w:val="87"/>
              </w:rPr>
              <w:t>Series F Tranche</w:t>
            </w:r>
          </w:p>
        </w:tc>
      </w:tr>
      <w:tr>
        <w:trPr>
          <w:trHeight w:val="112"/>
        </w:trPr>
        <w:tc>
          <w:tcPr>
            <w:tcW w:w="34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gridSpan w:val="7"/>
          </w:tcPr>
          <w:p>
            <w:pPr>
              <w:jc w:val="center"/>
              <w:ind w:right="380"/>
              <w:spacing w:after="0" w:line="112" w:lineRule="exact"/>
              <w:rPr>
                <w:sz w:val="20"/>
                <w:szCs w:val="20"/>
                <w:color w:val="auto"/>
              </w:rPr>
            </w:pPr>
            <w:r>
              <w:rPr>
                <w:rFonts w:ascii="Arial" w:cs="Arial" w:eastAsia="Arial" w:hAnsi="Arial"/>
                <w:sz w:val="11"/>
                <w:szCs w:val="11"/>
                <w:b w:val="1"/>
                <w:bCs w:val="1"/>
                <w:color w:val="auto"/>
                <w:w w:val="92"/>
              </w:rPr>
              <w:t>Commitment</w:t>
            </w:r>
          </w:p>
        </w:tc>
      </w:tr>
      <w:tr>
        <w:trPr>
          <w:trHeight w:val="129"/>
        </w:trPr>
        <w:tc>
          <w:tcPr>
            <w:tcW w:w="34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7"/>
          </w:tcPr>
          <w:p>
            <w:pPr>
              <w:jc w:val="center"/>
              <w:ind w:right="400"/>
              <w:spacing w:after="0"/>
              <w:rPr>
                <w:sz w:val="20"/>
                <w:szCs w:val="20"/>
                <w:color w:val="auto"/>
              </w:rPr>
            </w:pPr>
            <w:r>
              <w:rPr>
                <w:rFonts w:ascii="Arial" w:cs="Arial" w:eastAsia="Arial" w:hAnsi="Arial"/>
                <w:sz w:val="11"/>
                <w:szCs w:val="11"/>
                <w:b w:val="1"/>
                <w:bCs w:val="1"/>
                <w:color w:val="auto"/>
                <w:w w:val="96"/>
              </w:rPr>
              <w:t>Liability</w:t>
            </w:r>
          </w:p>
        </w:tc>
      </w:tr>
      <w:tr>
        <w:trPr>
          <w:trHeight w:val="153"/>
        </w:trPr>
        <w:tc>
          <w:tcPr>
            <w:tcW w:w="340" w:type="dxa"/>
            <w:vAlign w:val="bottom"/>
          </w:tcPr>
          <w:p>
            <w:pPr>
              <w:spacing w:after="0"/>
              <w:rPr>
                <w:sz w:val="13"/>
                <w:szCs w:val="13"/>
                <w:color w:val="auto"/>
              </w:rPr>
            </w:pPr>
          </w:p>
        </w:tc>
        <w:tc>
          <w:tcPr>
            <w:tcW w:w="44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Estimated fair value at June 30, 2020</w:t>
            </w:r>
          </w:p>
        </w:tc>
        <w:tc>
          <w:tcPr>
            <w:tcW w:w="1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right w:val="single" w:sz="8" w:color="CCEEFF"/>
            </w:tcBorders>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3"/>
        </w:trPr>
        <w:tc>
          <w:tcPr>
            <w:tcW w:w="34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Change in fair 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82"/>
              </w:rPr>
              <w:t>347,120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Estimated fair value at September 30, 2020</w:t>
            </w:r>
          </w:p>
        </w:tc>
        <w:tc>
          <w:tcPr>
            <w:tcW w:w="660" w:type="dxa"/>
            <w:vAlign w:val="bottom"/>
            <w:gridSpan w:val="3"/>
            <w:shd w:val="clear" w:color="auto" w:fill="CCEEFF"/>
          </w:tcPr>
          <w:p>
            <w:pPr>
              <w:jc w:val="right"/>
              <w:ind w:right="166"/>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82"/>
              </w:rPr>
              <w:t>347,120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7"/>
        </w:trPr>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w w:val="79"/>
              </w:rPr>
              <w:t>As of</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2"/>
        </w:trPr>
        <w:tc>
          <w:tcPr>
            <w:tcW w:w="3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5"/>
          </w:tcPr>
          <w:p>
            <w:pPr>
              <w:spacing w:after="0" w:line="102" w:lineRule="exact"/>
              <w:rPr>
                <w:sz w:val="20"/>
                <w:szCs w:val="20"/>
                <w:color w:val="auto"/>
              </w:rPr>
            </w:pPr>
            <w:r>
              <w:rPr>
                <w:rFonts w:ascii="Arial" w:cs="Arial" w:eastAsia="Arial" w:hAnsi="Arial"/>
                <w:sz w:val="11"/>
                <w:szCs w:val="11"/>
                <w:b w:val="1"/>
                <w:bCs w:val="1"/>
                <w:color w:val="auto"/>
                <w:w w:val="85"/>
              </w:rPr>
              <w:t>September 30, 2020</w:t>
            </w:r>
          </w:p>
        </w:tc>
        <w:tc>
          <w:tcPr>
            <w:tcW w:w="500" w:type="dxa"/>
            <w:vAlign w:val="bottom"/>
            <w:gridSpan w:val="3"/>
          </w:tcPr>
          <w:p>
            <w:pPr>
              <w:spacing w:after="0"/>
              <w:rPr>
                <w:sz w:val="8"/>
                <w:szCs w:val="8"/>
                <w:color w:val="auto"/>
              </w:rPr>
            </w:pPr>
          </w:p>
        </w:tc>
      </w:tr>
      <w:tr>
        <w:trPr>
          <w:trHeight w:val="132"/>
        </w:trPr>
        <w:tc>
          <w:tcPr>
            <w:tcW w:w="340" w:type="dxa"/>
            <w:vAlign w:val="bottom"/>
          </w:tcPr>
          <w:p>
            <w:pPr>
              <w:spacing w:after="0"/>
              <w:rPr>
                <w:sz w:val="11"/>
                <w:szCs w:val="11"/>
                <w:color w:val="auto"/>
              </w:rPr>
            </w:pPr>
          </w:p>
        </w:tc>
        <w:tc>
          <w:tcPr>
            <w:tcW w:w="44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4"/>
                <w:szCs w:val="14"/>
                <w:color w:val="auto"/>
              </w:rPr>
              <w:t>Estimated future value of Series F redeemable convertible preferred</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3"/>
        </w:trPr>
        <w:tc>
          <w:tcPr>
            <w:tcW w:w="340" w:type="dxa"/>
            <w:vAlign w:val="bottom"/>
          </w:tcPr>
          <w:p>
            <w:pPr>
              <w:spacing w:after="0"/>
              <w:rPr>
                <w:sz w:val="15"/>
                <w:szCs w:val="15"/>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5"/>
              </w:rPr>
              <w:t>50.05</w:t>
            </w:r>
          </w:p>
        </w:tc>
        <w:tc>
          <w:tcPr>
            <w:tcW w:w="160" w:type="dxa"/>
            <w:vAlign w:val="bottom"/>
            <w:tcBorders>
              <w:right w:val="single" w:sz="8" w:color="CCEEFF"/>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62"/>
        </w:trPr>
        <w:tc>
          <w:tcPr>
            <w:tcW w:w="34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Discount rate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rPr>
              <w:t>0.09%</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Time to liquidity (years)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0.15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152" w:lineRule="exact"/>
        <w:rPr>
          <w:sz w:val="20"/>
          <w:szCs w:val="20"/>
          <w:color w:val="auto"/>
        </w:rPr>
      </w:pPr>
    </w:p>
    <w:p>
      <w:pPr>
        <w:ind w:left="360" w:right="459"/>
        <w:spacing w:after="0" w:line="312" w:lineRule="auto"/>
        <w:rPr>
          <w:sz w:val="20"/>
          <w:szCs w:val="20"/>
          <w:color w:val="auto"/>
        </w:rPr>
      </w:pPr>
      <w:r>
        <w:rPr>
          <w:rFonts w:ascii="Arial" w:cs="Arial" w:eastAsia="Arial" w:hAnsi="Arial"/>
          <w:sz w:val="12"/>
          <w:szCs w:val="12"/>
          <w:color w:val="auto"/>
        </w:rPr>
        <w:t>In March 2016, the Board of Directors and stockholders approved the issuance of additional 2,983,189 shares of Series D convertible preferred stock at a price of $20.1127 per share and 2,485,990 shares were sold for net proceeds of $49.7 million to two new strategic investors. In March 2017, the Company sold 497,199 shares of Series D convertible preferred stock to an existing strategic investor for net proceeds of $10.0 million.</w:t>
      </w:r>
    </w:p>
    <w:p>
      <w:pPr>
        <w:spacing w:after="0" w:line="111" w:lineRule="exact"/>
        <w:rPr>
          <w:sz w:val="20"/>
          <w:szCs w:val="20"/>
          <w:color w:val="auto"/>
        </w:rPr>
      </w:pPr>
    </w:p>
    <w:p>
      <w:pPr>
        <w:ind w:left="360" w:right="379"/>
        <w:spacing w:after="0" w:line="292" w:lineRule="auto"/>
        <w:rPr>
          <w:sz w:val="20"/>
          <w:szCs w:val="20"/>
          <w:color w:val="auto"/>
        </w:rPr>
      </w:pPr>
      <w:r>
        <w:rPr>
          <w:rFonts w:ascii="Arial" w:cs="Arial" w:eastAsia="Arial" w:hAnsi="Arial"/>
          <w:sz w:val="12"/>
          <w:szCs w:val="12"/>
          <w:color w:val="auto"/>
        </w:rPr>
        <w:t>The Company determined that Series D convertible preferred stock share purchase agreements with the two new investors executed in 2016 contained strategic terms. Both companies had strategic interest in the Company’s technology and have negotiated specific strategic terms expected to benefit these new investors, over and above the value that would be expected to be realized from the equity investment itself. Thus, the sale of the Series D convertible preferred stock to these two new investors reflected a higher price (“strategic premium”) than what a market participant who did not receive these strategic benefits would be willing to pay. The Company allocated the net proceeds of $49.7 million from these two investors between the Series D convertible preferred stock and the strategic premium. Based on the Company’s valuation of the Series D convertible preferred stock, the Company calculated the strategic premium to be approximately $6.2 million which it recorded as a deferred liability on the balance sheet.</w:t>
      </w:r>
    </w:p>
    <w:p>
      <w:pPr>
        <w:sectPr>
          <w:pgSz w:w="11900" w:h="16838" w:orient="portrait"/>
          <w:cols w:equalWidth="0" w:num="1">
            <w:col w:w="9019"/>
          </w:cols>
          <w:pgMar w:left="1440" w:top="238" w:right="1440" w:bottom="1440" w:gutter="0" w:footer="0" w:header="0"/>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8" w:right="1440" w:bottom="1440" w:gutter="0" w:footer="0" w:header="0"/>
          <w:type w:val="continuous"/>
        </w:sectPr>
      </w:pPr>
    </w:p>
    <w:bookmarkStart w:id="159" w:name="page160"/>
    <w:bookmarkEnd w:id="159"/>
    <w:p>
      <w:pPr>
        <w:ind w:left="360" w:right="719"/>
        <w:spacing w:after="0" w:line="31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sales of Series D convertible preferred stock in March 2017 to an existing investor was also determined to have included strategic terms as the investor is expected to benefit over and above the value to be realized from the equity investment itself. The Company allocated approximately $1.7 million of the proceeds as a strategic premium and recorded it as a deferred liability on the balance sheet.</w:t>
      </w:r>
    </w:p>
    <w:p>
      <w:pPr>
        <w:spacing w:after="0" w:line="111" w:lineRule="exact"/>
        <w:rPr>
          <w:sz w:val="20"/>
          <w:szCs w:val="20"/>
          <w:color w:val="auto"/>
        </w:rPr>
      </w:pPr>
    </w:p>
    <w:p>
      <w:pPr>
        <w:ind w:left="360" w:right="479"/>
        <w:spacing w:after="0" w:line="302" w:lineRule="auto"/>
        <w:rPr>
          <w:sz w:val="20"/>
          <w:szCs w:val="20"/>
          <w:color w:val="auto"/>
        </w:rPr>
      </w:pPr>
      <w:r>
        <w:rPr>
          <w:rFonts w:ascii="Arial" w:cs="Arial" w:eastAsia="Arial" w:hAnsi="Arial"/>
          <w:sz w:val="12"/>
          <w:szCs w:val="12"/>
          <w:color w:val="auto"/>
        </w:rPr>
        <w:t>The strategic premium is considered akin to payment for research and development efforts as the strategic premium will be used to pay for incremental cost associated with the Company’s battery cell development. The Company has an accounting policy to record research and development effort payments as contra research and development. Therefore, the Company records the benefits (amortization of the strategic premium) over the estimated period of the development agreements with the investors which was originally estimated to be three years at March 2016 and two years at March 2017.</w:t>
      </w:r>
    </w:p>
    <w:p>
      <w:pPr>
        <w:spacing w:after="0" w:line="117" w:lineRule="exact"/>
        <w:rPr>
          <w:sz w:val="20"/>
          <w:szCs w:val="20"/>
          <w:color w:val="auto"/>
        </w:rPr>
      </w:pPr>
    </w:p>
    <w:p>
      <w:pPr>
        <w:ind w:left="360" w:right="419"/>
        <w:spacing w:after="0" w:line="246" w:lineRule="auto"/>
        <w:rPr>
          <w:sz w:val="20"/>
          <w:szCs w:val="20"/>
          <w:color w:val="auto"/>
        </w:rPr>
      </w:pPr>
      <w:r>
        <w:rPr>
          <w:rFonts w:ascii="Arial" w:cs="Arial" w:eastAsia="Arial" w:hAnsi="Arial"/>
          <w:sz w:val="14"/>
          <w:szCs w:val="14"/>
          <w:color w:val="auto"/>
        </w:rPr>
        <w:t>Subsequent to the Series D issuance, in 2018, 2019 and in the nine months ended September 30, 2020, the Company re-assessed the estimated period of the development agreements as part of its annual forecast process and determined that the period should be extended. The updated period of the estimated period of the development agreements was utilized to amortize the remaining strategic premium during those periods. For the nine months ended September 30, 2020 and September 30, 2019, the Company recorded amortization of $0.5 million and $0.7 million, respectively, as a reduction to research and development expenses.</w:t>
      </w:r>
    </w:p>
    <w:p>
      <w:pPr>
        <w:spacing w:after="0" w:line="149" w:lineRule="exact"/>
        <w:rPr>
          <w:sz w:val="20"/>
          <w:szCs w:val="20"/>
          <w:color w:val="auto"/>
        </w:rPr>
      </w:pPr>
    </w:p>
    <w:p>
      <w:pPr>
        <w:ind w:left="360" w:right="559"/>
        <w:spacing w:after="0" w:line="250" w:lineRule="auto"/>
        <w:rPr>
          <w:sz w:val="20"/>
          <w:szCs w:val="20"/>
          <w:color w:val="auto"/>
        </w:rPr>
      </w:pPr>
      <w:r>
        <w:rPr>
          <w:rFonts w:ascii="Arial" w:cs="Arial" w:eastAsia="Arial" w:hAnsi="Arial"/>
          <w:sz w:val="14"/>
          <w:szCs w:val="14"/>
          <w:color w:val="auto"/>
        </w:rPr>
        <w:t>In May and July 2020, the Board of Directors and stockholders approved the sale of up to 14,684,843 shares of Series F convertible preferred stock at the price of $26.4218 per share for gross proceeds of approximately $388.0 million to VGA and other new and existing investors. The proceeds are expected to be received in November 2020, December 2020 and Q1 2021.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Dividends</w:t>
      </w:r>
    </w:p>
    <w:p>
      <w:pPr>
        <w:spacing w:after="0" w:line="83" w:lineRule="exact"/>
        <w:rPr>
          <w:sz w:val="20"/>
          <w:szCs w:val="20"/>
          <w:color w:val="auto"/>
        </w:rPr>
      </w:pPr>
    </w:p>
    <w:p>
      <w:pPr>
        <w:ind w:left="360" w:right="419"/>
        <w:spacing w:after="0" w:line="297" w:lineRule="auto"/>
        <w:rPr>
          <w:sz w:val="20"/>
          <w:szCs w:val="20"/>
          <w:color w:val="auto"/>
        </w:rPr>
      </w:pPr>
      <w:r>
        <w:rPr>
          <w:rFonts w:ascii="Arial" w:cs="Arial" w:eastAsia="Arial" w:hAnsi="Arial"/>
          <w:sz w:val="12"/>
          <w:szCs w:val="12"/>
          <w:color w:val="auto"/>
        </w:rPr>
        <w:t>The holders of shares of Series A, Series B, Series B-1, Series C, Series D, Series E and Series F convertible preferred stock are entitled to receive non-cumulative dividends, out of any assets legally available for such purpose, prior and in preference to any declaration or payment of any dividend on the common stock, when, as, and if, declared by the Board of Directors in the amount equal to at least $0.1761408, $0.402, $0.4965296, $0.8325736, $1.6090, $1.787 and $2.1137 per share, respectively on each outstanding share of preferred stock. No distributions shall be made with respect to the common stock unless declared dividends on the preferred stock have been paid or set aside.</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Conversion</w:t>
      </w:r>
    </w:p>
    <w:p>
      <w:pPr>
        <w:spacing w:after="0" w:line="83" w:lineRule="exact"/>
        <w:rPr>
          <w:sz w:val="20"/>
          <w:szCs w:val="20"/>
          <w:color w:val="auto"/>
        </w:rPr>
      </w:pPr>
    </w:p>
    <w:p>
      <w:pPr>
        <w:ind w:left="360" w:right="379"/>
        <w:spacing w:after="0" w:line="246" w:lineRule="auto"/>
        <w:rPr>
          <w:sz w:val="20"/>
          <w:szCs w:val="20"/>
          <w:color w:val="auto"/>
        </w:rPr>
      </w:pPr>
      <w:r>
        <w:rPr>
          <w:rFonts w:ascii="Arial" w:cs="Arial" w:eastAsia="Arial" w:hAnsi="Arial"/>
          <w:sz w:val="14"/>
          <w:szCs w:val="14"/>
          <w:color w:val="auto"/>
        </w:rPr>
        <w:t>Each share of Series A, Series B, and Series B-1 convertible preferred stock is convertible, at the option of the holder thereof, at any time after the date of issuance of such share, into such number of fully paid and non-assessable shares of Class B common stock as is determined by dividing the applicable original issue price by the conversion price applicable to such share in effect on the date of conversion (Series A at $2.20131 as of September 30, 2020 and December 31, 2019; Series B at $5.01900 as of September 30, 2020 and December 31, 2019; and Series B-1 at $6.20662 as of September 30, 2020 and December 31, 2019).</w:t>
      </w:r>
    </w:p>
    <w:p>
      <w:pPr>
        <w:spacing w:after="0" w:line="149" w:lineRule="exact"/>
        <w:rPr>
          <w:sz w:val="20"/>
          <w:szCs w:val="20"/>
          <w:color w:val="auto"/>
        </w:rPr>
      </w:pPr>
    </w:p>
    <w:p>
      <w:pPr>
        <w:ind w:left="360" w:right="499"/>
        <w:spacing w:after="0" w:line="246" w:lineRule="auto"/>
        <w:rPr>
          <w:sz w:val="20"/>
          <w:szCs w:val="20"/>
          <w:color w:val="auto"/>
        </w:rPr>
      </w:pPr>
      <w:r>
        <w:rPr>
          <w:rFonts w:ascii="Arial" w:cs="Arial" w:eastAsia="Arial" w:hAnsi="Arial"/>
          <w:sz w:val="14"/>
          <w:szCs w:val="14"/>
          <w:color w:val="auto"/>
        </w:rPr>
        <w:t>Each share of Series C, Series D, Series E, and Series F convertible preferred stock is convertible, at the option of the holder thereof, at any time after the date of issuance of such share, into such number of fully paid and non-assessable shares of Class A common stock as is determined by dividing the applicable original issue price by the conversion price applicable to such share in effect on the date of conversion (Series C at $10.40717 as of September 30, 2020 and December 31, 2019 , Series D at $20.1127 as of September 30, 2020 and December 31, 2019, and Series E at $22.3437 as of September 30, 2020 and December 31, 2019).</w:t>
      </w:r>
    </w:p>
    <w:p>
      <w:pPr>
        <w:spacing w:after="0" w:line="149" w:lineRule="exact"/>
        <w:rPr>
          <w:sz w:val="20"/>
          <w:szCs w:val="20"/>
          <w:color w:val="auto"/>
        </w:rPr>
      </w:pPr>
    </w:p>
    <w:p>
      <w:pPr>
        <w:ind w:left="360" w:right="379"/>
        <w:spacing w:after="0" w:line="289" w:lineRule="auto"/>
        <w:rPr>
          <w:sz w:val="20"/>
          <w:szCs w:val="20"/>
          <w:color w:val="auto"/>
        </w:rPr>
      </w:pPr>
      <w:r>
        <w:rPr>
          <w:rFonts w:ascii="Arial" w:cs="Arial" w:eastAsia="Arial" w:hAnsi="Arial"/>
          <w:sz w:val="12"/>
          <w:szCs w:val="12"/>
          <w:color w:val="auto"/>
        </w:rPr>
        <w:t>The conversion price of each series of preferred stock may be subject to adjustment from time to time under certain circumstances. The preferred stock issued to date was sold at a price of $2.20131, $5.01900, $6.20662, $10.40717, $20.1127 and $22.3437 per share for Series A, Series B, Series B-1, Series C, Series D and Series E convertible preferred stock, respectively, which exceeded the fair value of the common stock. Accordingly, there was no intrinsic value associated with the issuance of the preferred stock through September 30, 2020, and there were no other separate instruments issued with the preferred stock that required further evaluation of a beneficial conversion option. Each share of convertible preferred stock shall automatically be converted into fully paid, non-assessable shares of common stock immediately upon the earlier of: (i) the sale by the Company of its common stock in a firm commitment, underwritten public offering pursuant to a registration statement under the Securities Act of 1933, as amended (the Securities Act), the public offering price of which results in the aggregate cash proceeds to the Company of not less than $50,000,000 (net of underwriting discounts and commissions); or (ii) upon the receipt by the Company of a written request for such conversion from the holders of a majority of the preferred stock then outstanding.</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240" w:right="1440" w:bottom="1440" w:gutter="0" w:footer="0" w:header="0"/>
        </w:sectPr>
      </w:pPr>
    </w:p>
    <w:bookmarkStart w:id="160" w:name="page161"/>
    <w:bookmarkEnd w:id="160"/>
    <w:p>
      <w:pPr>
        <w:ind w:left="360"/>
        <w:spacing w:after="0"/>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Liquidation Preferences</w:t>
      </w:r>
    </w:p>
    <w:p>
      <w:pPr>
        <w:spacing w:after="0" w:line="83" w:lineRule="exact"/>
        <w:rPr>
          <w:sz w:val="20"/>
          <w:szCs w:val="20"/>
          <w:color w:val="auto"/>
        </w:rPr>
      </w:pPr>
    </w:p>
    <w:p>
      <w:pPr>
        <w:ind w:left="360" w:right="379"/>
        <w:spacing w:after="0" w:line="297" w:lineRule="auto"/>
        <w:rPr>
          <w:sz w:val="20"/>
          <w:szCs w:val="20"/>
          <w:color w:val="auto"/>
        </w:rPr>
      </w:pPr>
      <w:r>
        <w:rPr>
          <w:rFonts w:ascii="Arial" w:cs="Arial" w:eastAsia="Arial" w:hAnsi="Arial"/>
          <w:sz w:val="12"/>
          <w:szCs w:val="12"/>
          <w:color w:val="auto"/>
        </w:rPr>
        <w:t>In the event the Company liquidates, dissolves, or winds up its business, either voluntarily or involuntarily, the holders of its Series A, Series B, Series B-1, Series C, Series D, Series E and Series F convertible preferred stock shall be entitled to receive, prior and in preference to any distribution of any of its assets to the holders of common stock, $2.20131, $5.019, $6.20662, $10.40717, $20.1127 $22.3437 and $26.4218 per share, respectively, plus any declared but unpaid dividends. If the assets are insufficient to distribute this liquidation preference, then the entire assets of the Company shall be distributed on a pro rata basis to the convertible preferred stockholders.</w:t>
      </w:r>
    </w:p>
    <w:p>
      <w:pPr>
        <w:spacing w:after="0" w:line="120" w:lineRule="exact"/>
        <w:rPr>
          <w:sz w:val="20"/>
          <w:szCs w:val="20"/>
          <w:color w:val="auto"/>
        </w:rPr>
      </w:pPr>
    </w:p>
    <w:p>
      <w:pPr>
        <w:ind w:left="360" w:right="479"/>
        <w:spacing w:after="0" w:line="342" w:lineRule="auto"/>
        <w:rPr>
          <w:sz w:val="20"/>
          <w:szCs w:val="20"/>
          <w:color w:val="auto"/>
        </w:rPr>
      </w:pPr>
      <w:r>
        <w:rPr>
          <w:rFonts w:ascii="Arial" w:cs="Arial" w:eastAsia="Arial" w:hAnsi="Arial"/>
          <w:sz w:val="12"/>
          <w:szCs w:val="12"/>
          <w:color w:val="auto"/>
        </w:rPr>
        <w:t>If there are any remaining assets upon the completion of the liquidating distribution to the Series A, Series B, Series B-1, Series C, Series D, Series E and Series F convertible preferred stockholders, the holders of the Company’s common stock will receive all of its remaining assets on a pro rata basis.</w:t>
      </w:r>
    </w:p>
    <w:p>
      <w:pPr>
        <w:spacing w:after="0" w:line="94" w:lineRule="exact"/>
        <w:rPr>
          <w:sz w:val="20"/>
          <w:szCs w:val="20"/>
          <w:color w:val="auto"/>
        </w:rPr>
      </w:pPr>
    </w:p>
    <w:p>
      <w:pPr>
        <w:ind w:left="360" w:right="479"/>
        <w:spacing w:after="0" w:line="294" w:lineRule="auto"/>
        <w:rPr>
          <w:sz w:val="20"/>
          <w:szCs w:val="20"/>
          <w:color w:val="auto"/>
        </w:rPr>
      </w:pPr>
      <w:r>
        <w:rPr>
          <w:rFonts w:ascii="Arial" w:cs="Arial" w:eastAsia="Arial" w:hAnsi="Arial"/>
          <w:sz w:val="12"/>
          <w:szCs w:val="12"/>
          <w:color w:val="auto"/>
        </w:rPr>
        <w:t>The merger or consolidation of the Company into another entity in which the Company’s stockholders own less than 50% of the voting stock of the surviving company, or the sale, transfer, or lease of substantially all the Company’s assets, shall be deemed a liquidation, dissolution, or winding up of the Company. However, the treatment of a liquidation, dissolution, or winding up may be waived by consent or vote of a majority of the outstanding preferred stockholders (voting as one class on an as-converted basis). The underlying Series A, Series B, Series B-1, Series C, Series D, Series E and Series F convertible preferred shares are considered redeemable outside of the Company’s control (i.e., the Series A, Series B, Series B-1, and Series C convertible stockholders control a majority of the Board of Directors, and a majority vote of Series A convertible stockholders can cause a liquidation).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Voting Rights</w:t>
      </w:r>
    </w:p>
    <w:p>
      <w:pPr>
        <w:spacing w:after="0" w:line="83" w:lineRule="exact"/>
        <w:rPr>
          <w:sz w:val="20"/>
          <w:szCs w:val="20"/>
          <w:color w:val="auto"/>
        </w:rPr>
      </w:pPr>
    </w:p>
    <w:p>
      <w:pPr>
        <w:ind w:left="360" w:right="479"/>
        <w:spacing w:after="0" w:line="294" w:lineRule="auto"/>
        <w:rPr>
          <w:sz w:val="20"/>
          <w:szCs w:val="20"/>
          <w:color w:val="auto"/>
        </w:rPr>
      </w:pPr>
      <w:r>
        <w:rPr>
          <w:rFonts w:ascii="Arial" w:cs="Arial" w:eastAsia="Arial" w:hAnsi="Arial"/>
          <w:sz w:val="12"/>
          <w:szCs w:val="12"/>
          <w:color w:val="auto"/>
        </w:rPr>
        <w:t>Each holder of convertible preferred stock Series A, Series B, and Series B-1 will convert into Class B common stock. Each holder of Series C, Series D, Series E and Series F convertible preferred stock will convert into Class A common stock. Each holder of Class B common stock shall be entitled to ten (10) votes per share of Class B common stock held by such holder as of the applicable record date. Each holder of Class A common stock shall be entitled to one (1) vote for each share of Class A common stock held by such holder as of the applicable record date. Except as otherwise expressly provided or by applicable law, the holders of Class A common stock and the holders of Class B common stock shall at all times vote together as one class on all matters submitted to a vote or for the written consent of the stockholders of the corporation.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Convertible Preferred Stock Tranche Liabilities</w:t>
      </w:r>
    </w:p>
    <w:p>
      <w:pPr>
        <w:spacing w:after="0" w:line="83" w:lineRule="exact"/>
        <w:rPr>
          <w:sz w:val="20"/>
          <w:szCs w:val="20"/>
          <w:color w:val="auto"/>
        </w:rPr>
      </w:pPr>
    </w:p>
    <w:p>
      <w:pPr>
        <w:ind w:left="360" w:right="499"/>
        <w:spacing w:after="0" w:line="291" w:lineRule="auto"/>
        <w:rPr>
          <w:sz w:val="20"/>
          <w:szCs w:val="20"/>
          <w:color w:val="auto"/>
        </w:rPr>
      </w:pPr>
      <w:r>
        <w:rPr>
          <w:rFonts w:ascii="Arial" w:cs="Arial" w:eastAsia="Arial" w:hAnsi="Arial"/>
          <w:sz w:val="12"/>
          <w:szCs w:val="12"/>
          <w:color w:val="auto"/>
        </w:rPr>
        <w:t>As noted in Note 4, “Fair Value Measurements”, the Company executed a stock purchase agreement and other related agreements with VGA for the investment of $200 million in the Company’s Series F convertible preferred stock. The transaction will be funded in two tranches with the first tranche to occur on December 1, 2020 and second tranche contingent on the occurrence of two milestones. In August 2020, the Company executed multiple stock purchase agreements with new and existing investors for the investment of $188.0 million in the Company’s Series F convertible preferred stock of which $94.0 million will be funded at the earlier of December 1, 2020 or the SPAC business combination closing. The remaining $94.0 million tranche will be funded at the earlier of the SPAC business combination closing or March 2021. No Series F convertible preferred shares were outstanding as of September 30, 2020. See discussion in Note 4, “Fair Value Measurements”, for further discussion of the Company’s further consideration of this financing.</w:t>
      </w:r>
    </w:p>
    <w:p>
      <w:pPr>
        <w:spacing w:after="0" w:line="202" w:lineRule="exact"/>
        <w:rPr>
          <w:sz w:val="20"/>
          <w:szCs w:val="20"/>
          <w:color w:val="auto"/>
        </w:rPr>
      </w:pPr>
    </w:p>
    <w:p>
      <w:pPr>
        <w:ind w:left="360" w:right="7299" w:firstLine="3"/>
        <w:spacing w:after="0" w:line="425" w:lineRule="auto"/>
        <w:tabs>
          <w:tab w:leader="none" w:pos="495" w:val="left"/>
        </w:tabs>
        <w:numPr>
          <w:ilvl w:val="0"/>
          <w:numId w:val="188"/>
        </w:numPr>
        <w:rPr>
          <w:rFonts w:ascii="Arial" w:cs="Arial" w:eastAsia="Arial" w:hAnsi="Arial"/>
          <w:sz w:val="12"/>
          <w:szCs w:val="12"/>
          <w:b w:val="1"/>
          <w:bCs w:val="1"/>
          <w:color w:val="auto"/>
        </w:rPr>
      </w:pPr>
      <w:r>
        <w:rPr>
          <w:rFonts w:ascii="Arial" w:cs="Arial" w:eastAsia="Arial" w:hAnsi="Arial"/>
          <w:sz w:val="12"/>
          <w:szCs w:val="12"/>
          <w:b w:val="1"/>
          <w:bCs w:val="1"/>
          <w:color w:val="auto"/>
        </w:rPr>
        <w:t>Stockholders’ Equity Common Stock</w:t>
      </w:r>
    </w:p>
    <w:p>
      <w:pPr>
        <w:jc w:val="both"/>
        <w:ind w:left="360" w:right="419"/>
        <w:spacing w:after="0" w:line="312" w:lineRule="auto"/>
        <w:rPr>
          <w:sz w:val="20"/>
          <w:szCs w:val="20"/>
          <w:color w:val="auto"/>
        </w:rPr>
      </w:pPr>
      <w:r>
        <w:rPr>
          <w:rFonts w:ascii="Arial" w:cs="Arial" w:eastAsia="Arial" w:hAnsi="Arial"/>
          <w:sz w:val="12"/>
          <w:szCs w:val="12"/>
          <w:color w:val="auto"/>
        </w:rPr>
        <w:t>As of September 30, 2020, the Company is authorized to issue 95,684,843 shares of Class A common stock, and 47,000,000 shares of Class B common stock, each with a par value of $0.0001 per share. As of September 30, 2020 and December 31, 2019, common stock outstanding consists of 10,697,052 and 10,651,152 shares of Class B common stock, respectively and 636,208 and 578,089 shares of Class A common stock, respectively.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2010 Equity Incentive Plan</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 Options</w:t>
      </w:r>
    </w:p>
    <w:p>
      <w:pPr>
        <w:spacing w:after="0" w:line="83" w:lineRule="exact"/>
        <w:rPr>
          <w:sz w:val="20"/>
          <w:szCs w:val="20"/>
          <w:color w:val="auto"/>
        </w:rPr>
      </w:pPr>
    </w:p>
    <w:p>
      <w:pPr>
        <w:ind w:left="360" w:right="559"/>
        <w:spacing w:after="0" w:line="259" w:lineRule="auto"/>
        <w:rPr>
          <w:sz w:val="20"/>
          <w:szCs w:val="20"/>
          <w:color w:val="auto"/>
        </w:rPr>
      </w:pPr>
      <w:r>
        <w:rPr>
          <w:rFonts w:ascii="Arial" w:cs="Arial" w:eastAsia="Arial" w:hAnsi="Arial"/>
          <w:sz w:val="14"/>
          <w:szCs w:val="14"/>
          <w:color w:val="auto"/>
        </w:rPr>
        <w:t>Under the Company’s 2010 Equity Incentive Plan (the Plan), the Company may grant options to purchase or directly issue shares of common stock to employees, directors, and non-employees.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240" w:right="1440" w:bottom="1440" w:gutter="0" w:footer="0" w:header="0"/>
        </w:sectPr>
      </w:pPr>
    </w:p>
    <w:bookmarkStart w:id="161" w:name="page162"/>
    <w:bookmarkEnd w:id="161"/>
    <w:p>
      <w:pPr>
        <w:ind w:left="360" w:right="37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Options may be granted at a price per share not less than 100% of the fair market value at the date of grant. If the option is granted to a 10% stockholder, then the purchase or exercise price per share shall not be less than 110% of the fair market value per share of the common stock on the grant date. Options granted generally vest over a period of four years and have ten-year contractual terms.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Stock option activity under the Plan is as follows:</w:t>
      </w:r>
    </w:p>
    <w:p>
      <w:pPr>
        <w:spacing w:after="0" w:line="163"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980" w:type="dxa"/>
            <w:vAlign w:val="bottom"/>
          </w:tcPr>
          <w:p>
            <w:pPr>
              <w:spacing w:after="0"/>
              <w:rPr>
                <w:sz w:val="10"/>
                <w:szCs w:val="10"/>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1"/>
                <w:szCs w:val="11"/>
                <w:b w:val="1"/>
                <w:bCs w:val="1"/>
                <w:color w:val="auto"/>
                <w:w w:val="91"/>
              </w:rPr>
              <w:t>Number</w:t>
            </w: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1"/>
                <w:szCs w:val="11"/>
                <w:b w:val="1"/>
                <w:bCs w:val="1"/>
                <w:color w:val="auto"/>
                <w:w w:val="88"/>
              </w:rPr>
              <w:t>Weighted</w:t>
            </w:r>
          </w:p>
        </w:tc>
        <w:tc>
          <w:tcPr>
            <w:tcW w:w="8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5"/>
              </w:rPr>
              <w:t>Weighted Average</w:t>
            </w: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1"/>
                <w:szCs w:val="11"/>
                <w:b w:val="1"/>
                <w:bCs w:val="1"/>
                <w:color w:val="auto"/>
                <w:w w:val="86"/>
              </w:rPr>
              <w:t>Number of Shares</w:t>
            </w:r>
          </w:p>
        </w:tc>
        <w:tc>
          <w:tcPr>
            <w:tcW w:w="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880" w:type="dxa"/>
            <w:vAlign w:val="bottom"/>
            <w:gridSpan w:val="2"/>
          </w:tcPr>
          <w:p>
            <w:pPr>
              <w:jc w:val="center"/>
              <w:ind w:right="20"/>
              <w:spacing w:after="0" w:line="112" w:lineRule="exact"/>
              <w:rPr>
                <w:sz w:val="20"/>
                <w:szCs w:val="20"/>
                <w:color w:val="auto"/>
              </w:rPr>
            </w:pPr>
            <w:r>
              <w:rPr>
                <w:rFonts w:ascii="Arial" w:cs="Arial" w:eastAsia="Arial" w:hAnsi="Arial"/>
                <w:sz w:val="11"/>
                <w:szCs w:val="11"/>
                <w:b w:val="1"/>
                <w:bCs w:val="1"/>
                <w:color w:val="auto"/>
                <w:w w:val="88"/>
              </w:rPr>
              <w:t>Remaining</w:t>
            </w: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1340" w:type="dxa"/>
            <w:vAlign w:val="bottom"/>
            <w:gridSpan w:val="2"/>
          </w:tcPr>
          <w:p>
            <w:pPr>
              <w:jc w:val="center"/>
              <w:ind w:right="460"/>
              <w:spacing w:after="0" w:line="112" w:lineRule="exact"/>
              <w:rPr>
                <w:sz w:val="20"/>
                <w:szCs w:val="20"/>
                <w:color w:val="auto"/>
              </w:rPr>
            </w:pPr>
            <w:r>
              <w:rPr>
                <w:rFonts w:ascii="Arial" w:cs="Arial" w:eastAsia="Arial" w:hAnsi="Arial"/>
                <w:sz w:val="11"/>
                <w:szCs w:val="11"/>
                <w:b w:val="1"/>
                <w:bCs w:val="1"/>
                <w:color w:val="auto"/>
                <w:w w:val="86"/>
              </w:rPr>
              <w:t>of Shares Available</w:t>
            </w:r>
          </w:p>
        </w:tc>
        <w:tc>
          <w:tcPr>
            <w:tcW w:w="12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600"/>
              <w:spacing w:after="0" w:line="112" w:lineRule="exact"/>
              <w:rPr>
                <w:sz w:val="20"/>
                <w:szCs w:val="20"/>
                <w:color w:val="auto"/>
              </w:rPr>
            </w:pPr>
            <w:r>
              <w:rPr>
                <w:rFonts w:ascii="Arial" w:cs="Arial" w:eastAsia="Arial" w:hAnsi="Arial"/>
                <w:sz w:val="11"/>
                <w:szCs w:val="11"/>
                <w:b w:val="1"/>
                <w:bCs w:val="1"/>
                <w:color w:val="auto"/>
                <w:w w:val="96"/>
              </w:rPr>
              <w:t>Average</w:t>
            </w:r>
          </w:p>
        </w:tc>
        <w:tc>
          <w:tcPr>
            <w:tcW w:w="880" w:type="dxa"/>
            <w:vAlign w:val="bottom"/>
            <w:gridSpan w:val="2"/>
          </w:tcPr>
          <w:p>
            <w:pPr>
              <w:jc w:val="center"/>
              <w:ind w:right="20"/>
              <w:spacing w:after="0" w:line="112" w:lineRule="exact"/>
              <w:rPr>
                <w:sz w:val="20"/>
                <w:szCs w:val="20"/>
                <w:color w:val="auto"/>
              </w:rPr>
            </w:pPr>
            <w:r>
              <w:rPr>
                <w:rFonts w:ascii="Arial" w:cs="Arial" w:eastAsia="Arial" w:hAnsi="Arial"/>
                <w:sz w:val="11"/>
                <w:szCs w:val="11"/>
                <w:b w:val="1"/>
                <w:bCs w:val="1"/>
                <w:color w:val="auto"/>
                <w:w w:val="89"/>
              </w:rPr>
              <w:t>Contractual Term</w:t>
            </w: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w w:val="89"/>
              </w:rPr>
              <w:t>for Issuance</w:t>
            </w:r>
            <w:r>
              <w:rPr>
                <w:rFonts w:ascii="Arial" w:cs="Arial" w:eastAsia="Arial" w:hAnsi="Arial"/>
                <w:sz w:val="9"/>
                <w:szCs w:val="9"/>
                <w:b w:val="1"/>
                <w:bCs w:val="1"/>
                <w:color w:val="auto"/>
                <w:w w:val="89"/>
              </w:rPr>
              <w:t>(1)</w:t>
            </w:r>
          </w:p>
        </w:tc>
        <w:tc>
          <w:tcPr>
            <w:tcW w:w="1280" w:type="dxa"/>
            <w:vAlign w:val="bottom"/>
            <w:gridSpan w:val="2"/>
          </w:tcPr>
          <w:p>
            <w:pPr>
              <w:jc w:val="right"/>
              <w:ind w:right="580"/>
              <w:spacing w:after="0"/>
              <w:rPr>
                <w:sz w:val="20"/>
                <w:szCs w:val="20"/>
                <w:color w:val="auto"/>
              </w:rPr>
            </w:pPr>
            <w:r>
              <w:rPr>
                <w:rFonts w:ascii="Arial" w:cs="Arial" w:eastAsia="Arial" w:hAnsi="Arial"/>
                <w:sz w:val="11"/>
                <w:szCs w:val="11"/>
                <w:b w:val="1"/>
                <w:bCs w:val="1"/>
                <w:color w:val="auto"/>
              </w:rPr>
              <w:t>Outstanding</w:t>
            </w:r>
          </w:p>
        </w:tc>
        <w:tc>
          <w:tcPr>
            <w:tcW w:w="1120" w:type="dxa"/>
            <w:vAlign w:val="bottom"/>
            <w:gridSpan w:val="3"/>
          </w:tcPr>
          <w:p>
            <w:pPr>
              <w:spacing w:after="0"/>
              <w:rPr>
                <w:sz w:val="20"/>
                <w:szCs w:val="20"/>
                <w:color w:val="auto"/>
              </w:rPr>
            </w:pPr>
            <w:r>
              <w:rPr>
                <w:rFonts w:ascii="Arial" w:cs="Arial" w:eastAsia="Arial" w:hAnsi="Arial"/>
                <w:sz w:val="11"/>
                <w:szCs w:val="11"/>
                <w:b w:val="1"/>
                <w:bCs w:val="1"/>
                <w:color w:val="auto"/>
              </w:rPr>
              <w:t>Exercise Price</w:t>
            </w:r>
          </w:p>
        </w:tc>
        <w:tc>
          <w:tcPr>
            <w:tcW w:w="88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1"/>
              </w:rPr>
              <w:t>(Years)</w:t>
            </w:r>
          </w:p>
        </w:tc>
        <w:tc>
          <w:tcPr>
            <w:tcW w:w="0" w:type="dxa"/>
            <w:vAlign w:val="bottom"/>
          </w:tcPr>
          <w:p>
            <w:pPr>
              <w:spacing w:after="0"/>
              <w:rPr>
                <w:sz w:val="1"/>
                <w:szCs w:val="1"/>
                <w:color w:val="auto"/>
              </w:rPr>
            </w:pPr>
          </w:p>
        </w:tc>
      </w:tr>
      <w:tr>
        <w:trPr>
          <w:trHeight w:val="153"/>
        </w:trPr>
        <w:tc>
          <w:tcPr>
            <w:tcW w:w="298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2019</w:t>
            </w:r>
          </w:p>
        </w:tc>
        <w:tc>
          <w:tcPr>
            <w:tcW w:w="8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2,031,367</w:t>
            </w:r>
          </w:p>
        </w:tc>
        <w:tc>
          <w:tcPr>
            <w:tcW w:w="4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13,789,308</w:t>
            </w: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5.32</w:t>
            </w:r>
          </w:p>
        </w:tc>
        <w:tc>
          <w:tcPr>
            <w:tcW w:w="4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620"/>
              <w:spacing w:after="0" w:line="153" w:lineRule="exact"/>
              <w:rPr>
                <w:sz w:val="20"/>
                <w:szCs w:val="20"/>
                <w:color w:val="auto"/>
              </w:rPr>
            </w:pPr>
            <w:r>
              <w:rPr>
                <w:rFonts w:ascii="Arial" w:cs="Arial" w:eastAsia="Arial" w:hAnsi="Arial"/>
                <w:sz w:val="14"/>
                <w:szCs w:val="14"/>
                <w:b w:val="1"/>
                <w:bCs w:val="1"/>
                <w:color w:val="auto"/>
                <w:w w:val="73"/>
              </w:rPr>
              <w:t>6.32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60"/>
              <w:spacing w:after="0"/>
              <w:rPr>
                <w:sz w:val="20"/>
                <w:szCs w:val="20"/>
                <w:color w:val="auto"/>
              </w:rPr>
            </w:pPr>
            <w:r>
              <w:rPr>
                <w:rFonts w:ascii="Arial" w:cs="Arial" w:eastAsia="Arial" w:hAnsi="Arial"/>
                <w:sz w:val="14"/>
                <w:szCs w:val="14"/>
                <w:color w:val="auto"/>
              </w:rPr>
              <w:t>Additional shares authorized</w:t>
            </w: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1,745,956</w:t>
            </w:r>
          </w:p>
        </w:tc>
        <w:tc>
          <w:tcPr>
            <w:tcW w:w="12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Granted</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(4,193,155)</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961,530</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260"/>
              <w:spacing w:after="0"/>
              <w:rPr>
                <w:sz w:val="20"/>
                <w:szCs w:val="20"/>
                <w:color w:val="auto"/>
              </w:rPr>
            </w:pPr>
            <w:r>
              <w:rPr>
                <w:rFonts w:ascii="Arial" w:cs="Arial" w:eastAsia="Arial" w:hAnsi="Arial"/>
                <w:sz w:val="14"/>
                <w:szCs w:val="14"/>
                <w:color w:val="auto"/>
              </w:rPr>
              <w:t xml:space="preserve">Cancelled and forfeited </w:t>
            </w:r>
            <w:r>
              <w:rPr>
                <w:rFonts w:ascii="Arial" w:cs="Arial" w:eastAsia="Arial" w:hAnsi="Arial"/>
                <w:sz w:val="11"/>
                <w:szCs w:val="11"/>
                <w:color w:val="auto"/>
              </w:rPr>
              <w:t>(2)</w:t>
            </w: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rPr>
              <w:t>415,832</w:t>
            </w: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rPr>
              <w:t>(415,832)</w:t>
            </w: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color w:val="auto"/>
              </w:rPr>
              <w:t>4.05</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Exercised</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(104,019)</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3.07</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80" w:type="dxa"/>
            <w:vAlign w:val="bottom"/>
          </w:tcPr>
          <w:p>
            <w:pPr>
              <w:spacing w:after="0"/>
              <w:rPr>
                <w:sz w:val="20"/>
                <w:szCs w:val="20"/>
                <w:color w:val="auto"/>
              </w:rPr>
            </w:pPr>
            <w:r>
              <w:rPr>
                <w:rFonts w:ascii="Arial" w:cs="Arial" w:eastAsia="Arial" w:hAnsi="Arial"/>
                <w:sz w:val="14"/>
                <w:szCs w:val="14"/>
                <w:color w:val="auto"/>
              </w:rPr>
              <w:t>Balance at September 30, 2020</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14,230,987</w:t>
            </w:r>
          </w:p>
        </w:tc>
        <w:tc>
          <w:tcPr>
            <w:tcW w:w="4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6.39</w:t>
            </w:r>
          </w:p>
        </w:tc>
        <w:tc>
          <w:tcPr>
            <w:tcW w:w="880" w:type="dxa"/>
            <w:vAlign w:val="bottom"/>
            <w:gridSpan w:val="2"/>
          </w:tcPr>
          <w:p>
            <w:pPr>
              <w:ind w:left="620"/>
              <w:spacing w:after="0"/>
              <w:rPr>
                <w:sz w:val="20"/>
                <w:szCs w:val="20"/>
                <w:color w:val="auto"/>
              </w:rPr>
            </w:pPr>
            <w:r>
              <w:rPr>
                <w:rFonts w:ascii="Arial" w:cs="Arial" w:eastAsia="Arial" w:hAnsi="Arial"/>
                <w:sz w:val="14"/>
                <w:szCs w:val="14"/>
                <w:b w:val="1"/>
                <w:bCs w:val="1"/>
                <w:color w:val="auto"/>
                <w:w w:val="87"/>
              </w:rPr>
              <w:t>5.92</w:t>
            </w: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Vested and exercisable – September 30, 2020</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10,348,278</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5.32</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hanging="317"/>
        <w:spacing w:after="0"/>
        <w:tabs>
          <w:tab w:leader="none" w:pos="680" w:val="left"/>
        </w:tabs>
        <w:numPr>
          <w:ilvl w:val="0"/>
          <w:numId w:val="189"/>
        </w:numPr>
        <w:rPr>
          <w:rFonts w:ascii="Arial" w:cs="Arial" w:eastAsia="Arial" w:hAnsi="Arial"/>
          <w:sz w:val="11"/>
          <w:szCs w:val="11"/>
          <w:color w:val="auto"/>
        </w:rPr>
      </w:pPr>
      <w:r>
        <w:rPr>
          <w:rFonts w:ascii="Arial" w:cs="Arial" w:eastAsia="Arial" w:hAnsi="Arial"/>
          <w:sz w:val="14"/>
          <w:szCs w:val="14"/>
          <w:color w:val="auto"/>
        </w:rPr>
        <w:t>Includes option and restricted stock unit grants.</w:t>
      </w:r>
    </w:p>
    <w:p>
      <w:pPr>
        <w:spacing w:after="0" w:line="11" w:lineRule="exact"/>
        <w:rPr>
          <w:rFonts w:ascii="Arial" w:cs="Arial" w:eastAsia="Arial" w:hAnsi="Arial"/>
          <w:sz w:val="11"/>
          <w:szCs w:val="11"/>
          <w:color w:val="auto"/>
        </w:rPr>
      </w:pPr>
    </w:p>
    <w:p>
      <w:pPr>
        <w:ind w:left="680" w:right="579" w:hanging="317"/>
        <w:spacing w:after="0" w:line="244" w:lineRule="auto"/>
        <w:tabs>
          <w:tab w:leader="none" w:pos="680" w:val="left"/>
        </w:tabs>
        <w:numPr>
          <w:ilvl w:val="0"/>
          <w:numId w:val="189"/>
        </w:numPr>
        <w:rPr>
          <w:rFonts w:ascii="Arial" w:cs="Arial" w:eastAsia="Arial" w:hAnsi="Arial"/>
          <w:sz w:val="11"/>
          <w:szCs w:val="11"/>
          <w:color w:val="auto"/>
        </w:rPr>
      </w:pPr>
      <w:r>
        <w:rPr>
          <w:rFonts w:ascii="Arial" w:cs="Arial" w:eastAsia="Arial" w:hAnsi="Arial"/>
          <w:sz w:val="14"/>
          <w:szCs w:val="14"/>
          <w:color w:val="auto"/>
        </w:rPr>
        <w:t>All option grants approved after July 2013 are from the Class A option pool. Class B cancellation and forfeitures are converted from Class B to Class A upon return to the option pool.</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There were 104,019 vested shares exercised during the nine months ended September 30, 2020 at the aggregate intrinsic value of $1.9 million.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Options with a fair value of $6.9 million and $4.8 million vested in the nine months ended September 30, 2020 and 2019, respectively.</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Additional information regarding options outstanding at September 30, 2020, is as follows:</w:t>
      </w:r>
    </w:p>
    <w:p>
      <w:pPr>
        <w:spacing w:after="0" w:line="163"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380" w:type="dxa"/>
            <w:vAlign w:val="bottom"/>
            <w:gridSpan w:val="2"/>
            <w:vMerge w:val="restart"/>
          </w:tcPr>
          <w:p>
            <w:pPr>
              <w:jc w:val="center"/>
              <w:ind w:left="3393"/>
              <w:spacing w:after="0"/>
              <w:rPr>
                <w:sz w:val="20"/>
                <w:szCs w:val="20"/>
                <w:color w:val="auto"/>
              </w:rPr>
            </w:pPr>
            <w:r>
              <w:rPr>
                <w:rFonts w:ascii="Arial" w:cs="Arial" w:eastAsia="Arial" w:hAnsi="Arial"/>
                <w:sz w:val="11"/>
                <w:szCs w:val="11"/>
                <w:b w:val="1"/>
                <w:bCs w:val="1"/>
                <w:color w:val="auto"/>
                <w:w w:val="88"/>
              </w:rPr>
              <w:t>Number of Options</w:t>
            </w:r>
          </w:p>
        </w:tc>
        <w:tc>
          <w:tcPr>
            <w:tcW w:w="560" w:type="dxa"/>
            <w:vAlign w:val="bottom"/>
          </w:tcPr>
          <w:p>
            <w:pPr>
              <w:spacing w:after="0"/>
              <w:rPr>
                <w:sz w:val="9"/>
                <w:szCs w:val="9"/>
                <w:color w:val="auto"/>
              </w:rPr>
            </w:pPr>
          </w:p>
        </w:tc>
        <w:tc>
          <w:tcPr>
            <w:tcW w:w="880" w:type="dxa"/>
            <w:vAlign w:val="bottom"/>
            <w:gridSpan w:val="2"/>
          </w:tcPr>
          <w:p>
            <w:pPr>
              <w:jc w:val="center"/>
              <w:ind w:right="40"/>
              <w:spacing w:after="0" w:line="112"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12"/>
        </w:trPr>
        <w:tc>
          <w:tcPr>
            <w:tcW w:w="114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6"/>
              </w:rPr>
              <w:t>Exercise Price per Share</w:t>
            </w:r>
          </w:p>
        </w:tc>
        <w:tc>
          <w:tcPr>
            <w:tcW w:w="43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jc w:val="center"/>
              <w:ind w:right="40"/>
              <w:spacing w:after="0" w:line="112" w:lineRule="exact"/>
              <w:rPr>
                <w:sz w:val="20"/>
                <w:szCs w:val="20"/>
                <w:color w:val="auto"/>
              </w:rPr>
            </w:pPr>
            <w:r>
              <w:rPr>
                <w:rFonts w:ascii="Arial" w:cs="Arial" w:eastAsia="Arial" w:hAnsi="Arial"/>
                <w:sz w:val="11"/>
                <w:szCs w:val="11"/>
                <w:b w:val="1"/>
                <w:bCs w:val="1"/>
                <w:color w:val="auto"/>
                <w:w w:val="90"/>
              </w:rPr>
              <w:t>Contractual Life</w:t>
            </w:r>
          </w:p>
        </w:tc>
        <w:tc>
          <w:tcPr>
            <w:tcW w:w="0" w:type="dxa"/>
            <w:vAlign w:val="bottom"/>
          </w:tcPr>
          <w:p>
            <w:pPr>
              <w:spacing w:after="0"/>
              <w:rPr>
                <w:sz w:val="1"/>
                <w:szCs w:val="1"/>
                <w:color w:val="auto"/>
              </w:rPr>
            </w:pPr>
          </w:p>
        </w:tc>
      </w:tr>
      <w:tr>
        <w:trPr>
          <w:trHeight w:val="139"/>
        </w:trPr>
        <w:tc>
          <w:tcPr>
            <w:tcW w:w="1140" w:type="dxa"/>
            <w:vAlign w:val="bottom"/>
            <w:gridSpan w:val="2"/>
            <w:vMerge w:val="continue"/>
          </w:tcPr>
          <w:p>
            <w:pPr>
              <w:spacing w:after="0"/>
              <w:rPr>
                <w:sz w:val="12"/>
                <w:szCs w:val="12"/>
                <w:color w:val="auto"/>
              </w:rPr>
            </w:pPr>
          </w:p>
        </w:tc>
        <w:tc>
          <w:tcPr>
            <w:tcW w:w="3480" w:type="dxa"/>
            <w:vAlign w:val="bottom"/>
          </w:tcPr>
          <w:p>
            <w:pPr>
              <w:spacing w:after="0"/>
              <w:rPr>
                <w:sz w:val="12"/>
                <w:szCs w:val="12"/>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9"/>
              </w:rPr>
              <w:t>Outstanding</w:t>
            </w:r>
          </w:p>
        </w:tc>
        <w:tc>
          <w:tcPr>
            <w:tcW w:w="560" w:type="dxa"/>
            <w:vAlign w:val="bottom"/>
          </w:tcPr>
          <w:p>
            <w:pPr>
              <w:spacing w:after="0"/>
              <w:rPr>
                <w:sz w:val="12"/>
                <w:szCs w:val="12"/>
                <w:color w:val="auto"/>
              </w:rPr>
            </w:pPr>
          </w:p>
        </w:tc>
        <w:tc>
          <w:tcPr>
            <w:tcW w:w="880" w:type="dxa"/>
            <w:vAlign w:val="bottom"/>
            <w:gridSpan w:val="2"/>
          </w:tcPr>
          <w:p>
            <w:pPr>
              <w:jc w:val="center"/>
              <w:ind w:right="40"/>
              <w:spacing w:after="0" w:line="119" w:lineRule="exact"/>
              <w:rPr>
                <w:sz w:val="20"/>
                <w:szCs w:val="20"/>
                <w:color w:val="auto"/>
              </w:rPr>
            </w:pPr>
            <w:r>
              <w:rPr>
                <w:rFonts w:ascii="Arial" w:cs="Arial" w:eastAsia="Arial" w:hAnsi="Arial"/>
                <w:sz w:val="11"/>
                <w:szCs w:val="11"/>
                <w:b w:val="1"/>
                <w:bCs w:val="1"/>
                <w:color w:val="auto"/>
                <w:w w:val="85"/>
              </w:rPr>
              <w:t>(Years)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$ 0.44</w:t>
            </w:r>
          </w:p>
        </w:tc>
        <w:tc>
          <w:tcPr>
            <w:tcW w:w="34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418,000</w:t>
            </w:r>
          </w:p>
        </w:tc>
        <w:tc>
          <w:tcPr>
            <w:tcW w:w="5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0.41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0.52</w:t>
            </w:r>
          </w:p>
        </w:tc>
        <w:tc>
          <w:tcPr>
            <w:tcW w:w="4380" w:type="dxa"/>
            <w:vAlign w:val="bottom"/>
            <w:gridSpan w:val="2"/>
          </w:tcPr>
          <w:p>
            <w:pPr>
              <w:jc w:val="right"/>
              <w:spacing w:after="0"/>
              <w:rPr>
                <w:sz w:val="20"/>
                <w:szCs w:val="20"/>
                <w:color w:val="auto"/>
              </w:rPr>
            </w:pPr>
            <w:r>
              <w:rPr>
                <w:rFonts w:ascii="Arial" w:cs="Arial" w:eastAsia="Arial" w:hAnsi="Arial"/>
                <w:sz w:val="14"/>
                <w:szCs w:val="14"/>
                <w:color w:val="auto"/>
              </w:rPr>
              <w:t>752,775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1.84</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162,880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2.59</w:t>
            </w:r>
          </w:p>
        </w:tc>
        <w:tc>
          <w:tcPr>
            <w:tcW w:w="4380" w:type="dxa"/>
            <w:vAlign w:val="bottom"/>
            <w:gridSpan w:val="2"/>
          </w:tcPr>
          <w:p>
            <w:pPr>
              <w:jc w:val="right"/>
              <w:spacing w:after="0"/>
              <w:rPr>
                <w:sz w:val="20"/>
                <w:szCs w:val="20"/>
                <w:color w:val="auto"/>
              </w:rPr>
            </w:pPr>
            <w:r>
              <w:rPr>
                <w:rFonts w:ascii="Arial" w:cs="Arial" w:eastAsia="Arial" w:hAnsi="Arial"/>
                <w:sz w:val="14"/>
                <w:szCs w:val="14"/>
                <w:color w:val="auto"/>
              </w:rPr>
              <w:t>1,672,435</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4.22</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663,858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4.24</w:t>
            </w:r>
          </w:p>
        </w:tc>
        <w:tc>
          <w:tcPr>
            <w:tcW w:w="4380" w:type="dxa"/>
            <w:vAlign w:val="bottom"/>
            <w:gridSpan w:val="2"/>
          </w:tcPr>
          <w:p>
            <w:pPr>
              <w:jc w:val="right"/>
              <w:spacing w:after="0"/>
              <w:rPr>
                <w:sz w:val="20"/>
                <w:szCs w:val="20"/>
                <w:color w:val="auto"/>
              </w:rPr>
            </w:pPr>
            <w:r>
              <w:rPr>
                <w:rFonts w:ascii="Arial" w:cs="Arial" w:eastAsia="Arial" w:hAnsi="Arial"/>
                <w:sz w:val="14"/>
                <w:szCs w:val="14"/>
                <w:color w:val="auto"/>
              </w:rPr>
              <w:t>1,208,691</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5.28</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1,112,982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5.33</w:t>
            </w:r>
          </w:p>
        </w:tc>
        <w:tc>
          <w:tcPr>
            <w:tcW w:w="4380" w:type="dxa"/>
            <w:vAlign w:val="bottom"/>
            <w:gridSpan w:val="2"/>
          </w:tcPr>
          <w:p>
            <w:pPr>
              <w:jc w:val="right"/>
              <w:spacing w:after="0"/>
              <w:rPr>
                <w:sz w:val="20"/>
                <w:szCs w:val="20"/>
                <w:color w:val="auto"/>
              </w:rPr>
            </w:pPr>
            <w:r>
              <w:rPr>
                <w:rFonts w:ascii="Arial" w:cs="Arial" w:eastAsia="Arial" w:hAnsi="Arial"/>
                <w:sz w:val="14"/>
                <w:szCs w:val="14"/>
                <w:color w:val="auto"/>
              </w:rPr>
              <w:t>4,046,890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5.41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9.56</w:t>
            </w:r>
          </w:p>
        </w:tc>
        <w:tc>
          <w:tcPr>
            <w:tcW w:w="4380" w:type="dxa"/>
            <w:vAlign w:val="bottom"/>
            <w:gridSpan w:val="2"/>
          </w:tcPr>
          <w:p>
            <w:pPr>
              <w:jc w:val="right"/>
              <w:spacing w:after="0"/>
              <w:rPr>
                <w:sz w:val="20"/>
                <w:szCs w:val="20"/>
                <w:color w:val="auto"/>
              </w:rPr>
            </w:pPr>
            <w:r>
              <w:rPr>
                <w:rFonts w:ascii="Arial" w:cs="Arial" w:eastAsia="Arial" w:hAnsi="Arial"/>
                <w:sz w:val="14"/>
                <w:szCs w:val="14"/>
                <w:color w:val="auto"/>
              </w:rPr>
              <w:t>3,195,446</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8.73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9.58</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283,500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25.07</w:t>
            </w:r>
          </w:p>
        </w:tc>
        <w:tc>
          <w:tcPr>
            <w:tcW w:w="34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673,030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9.93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14,230,987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gridSpan w:val="3"/>
            <w:vMerge w:val="restart"/>
          </w:tcPr>
          <w:p>
            <w:pPr>
              <w:jc w:val="right"/>
              <w:ind w:right="40"/>
              <w:spacing w:after="0"/>
              <w:rPr>
                <w:sz w:val="20"/>
                <w:szCs w:val="20"/>
                <w:color w:val="auto"/>
              </w:rPr>
            </w:pPr>
            <w:r>
              <w:rPr>
                <w:rFonts w:ascii="Arial" w:cs="Arial" w:eastAsia="Arial" w:hAnsi="Arial"/>
                <w:sz w:val="11"/>
                <w:szCs w:val="11"/>
                <w:b w:val="1"/>
                <w:bCs w:val="1"/>
                <w:color w:val="auto"/>
              </w:rPr>
              <w:t>Weighted Average</w:t>
            </w: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Number of RSU</w:t>
            </w:r>
          </w:p>
        </w:tc>
        <w:tc>
          <w:tcPr>
            <w:tcW w:w="560" w:type="dxa"/>
            <w:vAlign w:val="bottom"/>
          </w:tcPr>
          <w:p>
            <w:pPr>
              <w:spacing w:after="0"/>
              <w:rPr>
                <w:sz w:val="9"/>
                <w:szCs w:val="9"/>
                <w:color w:val="auto"/>
              </w:rPr>
            </w:pPr>
          </w:p>
        </w:tc>
        <w:tc>
          <w:tcPr>
            <w:tcW w:w="880" w:type="dxa"/>
            <w:vAlign w:val="bottom"/>
            <w:gridSpan w:val="2"/>
          </w:tcPr>
          <w:p>
            <w:pPr>
              <w:jc w:val="center"/>
              <w:ind w:right="40"/>
              <w:spacing w:after="0" w:line="112"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tcPr>
          <w:p>
            <w:pPr>
              <w:jc w:val="center"/>
              <w:ind w:right="40"/>
              <w:spacing w:after="0" w:line="112" w:lineRule="exact"/>
              <w:rPr>
                <w:sz w:val="20"/>
                <w:szCs w:val="20"/>
                <w:color w:val="auto"/>
              </w:rPr>
            </w:pPr>
            <w:r>
              <w:rPr>
                <w:rFonts w:ascii="Arial" w:cs="Arial" w:eastAsia="Arial" w:hAnsi="Arial"/>
                <w:sz w:val="11"/>
                <w:szCs w:val="11"/>
                <w:b w:val="1"/>
                <w:bCs w:val="1"/>
                <w:color w:val="auto"/>
                <w:w w:val="90"/>
              </w:rPr>
              <w:t>Contractual Life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82"/>
              </w:rPr>
              <w:t>unvested</w:t>
            </w:r>
          </w:p>
        </w:tc>
        <w:tc>
          <w:tcPr>
            <w:tcW w:w="560" w:type="dxa"/>
            <w:vAlign w:val="bottom"/>
          </w:tcPr>
          <w:p>
            <w:pPr>
              <w:spacing w:after="0"/>
              <w:rPr>
                <w:sz w:val="11"/>
                <w:szCs w:val="11"/>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85"/>
              </w:rPr>
              <w:t>(Years)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3,231,625</w:t>
            </w:r>
          </w:p>
        </w:tc>
        <w:tc>
          <w:tcPr>
            <w:tcW w:w="5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9.86</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weighted average assumptions were used as inputs to the Black-Scholes OPM in determining the estimated grant-date fair value of the</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Company’s stock options to employees:</w:t>
      </w:r>
    </w:p>
    <w:p>
      <w:pPr>
        <w:spacing w:after="0" w:line="168" w:lineRule="exact"/>
        <w:rPr>
          <w:sz w:val="20"/>
          <w:szCs w:val="20"/>
          <w:color w:val="auto"/>
        </w:rPr>
      </w:pPr>
    </w:p>
    <w:tbl>
      <w:tblPr>
        <w:tblLayout w:type="fixed"/>
        <w:tblInd w:w="360" w:type="dxa"/>
        <w:tblCellMar>
          <w:top w:w="0" w:type="dxa"/>
          <w:left w:w="0" w:type="dxa"/>
          <w:bottom w:w="0" w:type="dxa"/>
          <w:right w:w="0" w:type="dxa"/>
        </w:tblCellMar>
      </w:tblPr>
      <w:tr>
        <w:trPr>
          <w:trHeight w:val="129"/>
        </w:trPr>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gridSpan w:val="10"/>
          </w:tcPr>
          <w:p>
            <w:pPr>
              <w:ind w:left="20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02"/>
        </w:trPr>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20" w:type="dxa"/>
            <w:vAlign w:val="bottom"/>
            <w:tcBorders>
              <w:top w:val="single" w:sz="8" w:color="auto"/>
              <w:bottom w:val="single" w:sz="8" w:color="auto"/>
            </w:tcBorders>
            <w:gridSpan w:val="2"/>
          </w:tcPr>
          <w:p>
            <w:pPr>
              <w:jc w:val="right"/>
              <w:ind w:right="143"/>
              <w:spacing w:after="0" w:line="102" w:lineRule="exact"/>
              <w:rPr>
                <w:sz w:val="20"/>
                <w:szCs w:val="20"/>
                <w:color w:val="auto"/>
              </w:rPr>
            </w:pPr>
            <w:r>
              <w:rPr>
                <w:rFonts w:ascii="Arial" w:cs="Arial" w:eastAsia="Arial" w:hAnsi="Arial"/>
                <w:sz w:val="11"/>
                <w:szCs w:val="11"/>
                <w:b w:val="1"/>
                <w:bCs w:val="1"/>
                <w:color w:val="auto"/>
              </w:rPr>
              <w:t>2020</w:t>
            </w:r>
          </w:p>
        </w:tc>
        <w:tc>
          <w:tcPr>
            <w:tcW w:w="140" w:type="dxa"/>
            <w:vAlign w:val="bottom"/>
            <w:tcBorders>
              <w:top w:val="single" w:sz="8" w:color="auto"/>
              <w:bottom w:val="single" w:sz="8" w:color="CCEEFF"/>
            </w:tcBorders>
          </w:tcPr>
          <w:p>
            <w:pPr>
              <w:spacing w:after="0"/>
              <w:rPr>
                <w:sz w:val="8"/>
                <w:szCs w:val="8"/>
                <w:color w:val="auto"/>
              </w:rPr>
            </w:pPr>
          </w:p>
        </w:tc>
        <w:tc>
          <w:tcPr>
            <w:tcW w:w="320" w:type="dxa"/>
            <w:vAlign w:val="bottom"/>
            <w:tcBorders>
              <w:top w:val="single" w:sz="8" w:color="auto"/>
              <w:bottom w:val="single" w:sz="8" w:color="CCEEFF"/>
            </w:tcBorders>
          </w:tcPr>
          <w:p>
            <w:pPr>
              <w:spacing w:after="0"/>
              <w:rPr>
                <w:sz w:val="8"/>
                <w:szCs w:val="8"/>
                <w:color w:val="auto"/>
              </w:rPr>
            </w:pPr>
          </w:p>
        </w:tc>
        <w:tc>
          <w:tcPr>
            <w:tcW w:w="260" w:type="dxa"/>
            <w:vAlign w:val="bottom"/>
            <w:tcBorders>
              <w:top w:val="single" w:sz="8" w:color="auto"/>
              <w:bottom w:val="single" w:sz="8" w:color="CCEEFF"/>
            </w:tcBorders>
          </w:tcPr>
          <w:p>
            <w:pPr>
              <w:spacing w:after="0"/>
              <w:rPr>
                <w:sz w:val="8"/>
                <w:szCs w:val="8"/>
                <w:color w:val="auto"/>
              </w:rPr>
            </w:pPr>
          </w:p>
        </w:tc>
        <w:tc>
          <w:tcPr>
            <w:tcW w:w="660" w:type="dxa"/>
            <w:vAlign w:val="bottom"/>
            <w:tcBorders>
              <w:top w:val="single" w:sz="8" w:color="auto"/>
              <w:bottom w:val="single" w:sz="8" w:color="auto"/>
            </w:tcBorders>
            <w:gridSpan w:val="2"/>
          </w:tcPr>
          <w:p>
            <w:pPr>
              <w:jc w:val="right"/>
              <w:ind w:right="161"/>
              <w:spacing w:after="0" w:line="102" w:lineRule="exact"/>
              <w:rPr>
                <w:sz w:val="20"/>
                <w:szCs w:val="20"/>
                <w:color w:val="auto"/>
              </w:rPr>
            </w:pPr>
            <w:r>
              <w:rPr>
                <w:rFonts w:ascii="Arial" w:cs="Arial" w:eastAsia="Arial" w:hAnsi="Arial"/>
                <w:sz w:val="11"/>
                <w:szCs w:val="11"/>
                <w:b w:val="1"/>
                <w:bCs w:val="1"/>
                <w:color w:val="auto"/>
              </w:rPr>
              <w:t>2019</w:t>
            </w:r>
          </w:p>
        </w:tc>
        <w:tc>
          <w:tcPr>
            <w:tcW w:w="160" w:type="dxa"/>
            <w:vAlign w:val="bottom"/>
            <w:tcBorders>
              <w:bottom w:val="single" w:sz="8" w:color="CCEEFF"/>
            </w:tcBorders>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Volatility</w:t>
            </w: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70.00%</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70.00%</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Risk-free interest rate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0.39%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1.93%</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Expected term (in years)</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6.08</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6.02</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Expected dividend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fair value at grant date</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6.04</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680" w:type="dxa"/>
            <w:vAlign w:val="bottom"/>
            <w:gridSpan w:val="3"/>
          </w:tcPr>
          <w:p>
            <w:pPr>
              <w:spacing w:after="0"/>
              <w:rPr>
                <w:sz w:val="20"/>
                <w:szCs w:val="20"/>
                <w:color w:val="auto"/>
              </w:rPr>
            </w:pPr>
            <w:r>
              <w:rPr>
                <w:rFonts w:ascii="Arial" w:cs="Arial" w:eastAsia="Arial" w:hAnsi="Arial"/>
                <w:sz w:val="14"/>
                <w:szCs w:val="14"/>
                <w:color w:val="auto"/>
              </w:rPr>
              <w:t>Restricted Stock Units</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Number</w:t>
            </w:r>
          </w:p>
        </w:tc>
        <w:tc>
          <w:tcPr>
            <w:tcW w:w="420" w:type="dxa"/>
            <w:vAlign w:val="bottom"/>
          </w:tcPr>
          <w:p>
            <w:pPr>
              <w:spacing w:after="0"/>
              <w:rPr>
                <w:sz w:val="24"/>
                <w:szCs w:val="24"/>
                <w:color w:val="auto"/>
              </w:rPr>
            </w:pPr>
          </w:p>
        </w:tc>
        <w:tc>
          <w:tcPr>
            <w:tcW w:w="920" w:type="dxa"/>
            <w:vAlign w:val="bottom"/>
            <w:gridSpan w:val="4"/>
            <w:vMerge w:val="restart"/>
          </w:tcPr>
          <w:p>
            <w:pPr>
              <w:ind w:left="100"/>
              <w:spacing w:after="0"/>
              <w:rPr>
                <w:sz w:val="20"/>
                <w:szCs w:val="20"/>
                <w:color w:val="auto"/>
              </w:rPr>
            </w:pPr>
            <w:r>
              <w:rPr>
                <w:rFonts w:ascii="Arial" w:cs="Arial" w:eastAsia="Arial" w:hAnsi="Arial"/>
                <w:sz w:val="11"/>
                <w:szCs w:val="11"/>
                <w:b w:val="1"/>
                <w:bCs w:val="1"/>
                <w:color w:val="auto"/>
              </w:rPr>
              <w:t>Weighted</w:t>
            </w:r>
          </w:p>
        </w:tc>
        <w:tc>
          <w:tcPr>
            <w:tcW w:w="1140" w:type="dxa"/>
            <w:vAlign w:val="bottom"/>
            <w:gridSpan w:val="5"/>
          </w:tcPr>
          <w:p>
            <w:pPr>
              <w:jc w:val="center"/>
              <w:ind w:left="157"/>
              <w:spacing w:after="0"/>
              <w:rPr>
                <w:sz w:val="20"/>
                <w:szCs w:val="20"/>
                <w:color w:val="auto"/>
              </w:rPr>
            </w:pPr>
            <w:r>
              <w:rPr>
                <w:rFonts w:ascii="Arial" w:cs="Arial" w:eastAsia="Arial" w:hAnsi="Arial"/>
                <w:sz w:val="11"/>
                <w:szCs w:val="11"/>
                <w:b w:val="1"/>
                <w:bCs w:val="1"/>
                <w:color w:val="auto"/>
                <w:w w:val="87"/>
              </w:rPr>
              <w:t>Weighted Average</w:t>
            </w:r>
          </w:p>
        </w:tc>
        <w:tc>
          <w:tcPr>
            <w:tcW w:w="0" w:type="dxa"/>
            <w:vAlign w:val="bottom"/>
          </w:tcPr>
          <w:p>
            <w:pPr>
              <w:spacing w:after="0"/>
              <w:rPr>
                <w:sz w:val="1"/>
                <w:szCs w:val="1"/>
                <w:color w:val="auto"/>
              </w:rPr>
            </w:pPr>
          </w:p>
        </w:tc>
      </w:tr>
      <w:tr>
        <w:trPr>
          <w:trHeight w:val="112"/>
        </w:trPr>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4"/>
          </w:tcPr>
          <w:p>
            <w:pPr>
              <w:jc w:val="center"/>
              <w:ind w:right="40"/>
              <w:spacing w:after="0" w:line="112"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12"/>
        </w:trPr>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60" w:type="dxa"/>
            <w:vAlign w:val="bottom"/>
            <w:gridSpan w:val="3"/>
          </w:tcPr>
          <w:p>
            <w:pPr>
              <w:jc w:val="right"/>
              <w:ind w:right="120"/>
              <w:spacing w:after="0" w:line="112" w:lineRule="exact"/>
              <w:rPr>
                <w:sz w:val="20"/>
                <w:szCs w:val="20"/>
                <w:color w:val="auto"/>
              </w:rPr>
            </w:pPr>
            <w:r>
              <w:rPr>
                <w:rFonts w:ascii="Arial" w:cs="Arial" w:eastAsia="Arial" w:hAnsi="Arial"/>
                <w:sz w:val="11"/>
                <w:szCs w:val="11"/>
                <w:b w:val="1"/>
                <w:bCs w:val="1"/>
                <w:color w:val="auto"/>
              </w:rPr>
              <w:t>of Restricted Stock</w:t>
            </w:r>
          </w:p>
        </w:tc>
        <w:tc>
          <w:tcPr>
            <w:tcW w:w="420" w:type="dxa"/>
            <w:vAlign w:val="bottom"/>
          </w:tcPr>
          <w:p>
            <w:pPr>
              <w:spacing w:after="0"/>
              <w:rPr>
                <w:sz w:val="9"/>
                <w:szCs w:val="9"/>
                <w:color w:val="auto"/>
              </w:rPr>
            </w:pPr>
          </w:p>
        </w:tc>
        <w:tc>
          <w:tcPr>
            <w:tcW w:w="920" w:type="dxa"/>
            <w:vAlign w:val="bottom"/>
            <w:gridSpan w:val="4"/>
          </w:tcPr>
          <w:p>
            <w:pPr>
              <w:spacing w:after="0" w:line="112" w:lineRule="exact"/>
              <w:rPr>
                <w:sz w:val="20"/>
                <w:szCs w:val="20"/>
                <w:color w:val="auto"/>
              </w:rPr>
            </w:pPr>
            <w:r>
              <w:rPr>
                <w:rFonts w:ascii="Arial" w:cs="Arial" w:eastAsia="Arial" w:hAnsi="Arial"/>
                <w:sz w:val="11"/>
                <w:szCs w:val="11"/>
                <w:b w:val="1"/>
                <w:bCs w:val="1"/>
                <w:color w:val="auto"/>
              </w:rPr>
              <w:t>Average grant</w:t>
            </w:r>
          </w:p>
        </w:tc>
        <w:tc>
          <w:tcPr>
            <w:tcW w:w="1140" w:type="dxa"/>
            <w:vAlign w:val="bottom"/>
            <w:gridSpan w:val="5"/>
          </w:tcPr>
          <w:p>
            <w:pPr>
              <w:jc w:val="center"/>
              <w:ind w:left="157"/>
              <w:spacing w:after="0" w:line="112" w:lineRule="exact"/>
              <w:rPr>
                <w:sz w:val="20"/>
                <w:szCs w:val="20"/>
                <w:color w:val="auto"/>
              </w:rPr>
            </w:pPr>
            <w:r>
              <w:rPr>
                <w:rFonts w:ascii="Arial" w:cs="Arial" w:eastAsia="Arial" w:hAnsi="Arial"/>
                <w:sz w:val="11"/>
                <w:szCs w:val="11"/>
                <w:b w:val="1"/>
                <w:bCs w:val="1"/>
                <w:color w:val="auto"/>
                <w:w w:val="92"/>
              </w:rPr>
              <w:t>Contractual Term</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8"/>
              </w:rPr>
              <w:t>Units Outstanding</w:t>
            </w:r>
          </w:p>
        </w:tc>
        <w:tc>
          <w:tcPr>
            <w:tcW w:w="1340" w:type="dxa"/>
            <w:vAlign w:val="bottom"/>
            <w:gridSpan w:val="5"/>
          </w:tcPr>
          <w:p>
            <w:pPr>
              <w:ind w:left="420"/>
              <w:spacing w:after="0"/>
              <w:rPr>
                <w:sz w:val="20"/>
                <w:szCs w:val="20"/>
                <w:color w:val="auto"/>
              </w:rPr>
            </w:pPr>
            <w:r>
              <w:rPr>
                <w:rFonts w:ascii="Arial" w:cs="Arial" w:eastAsia="Arial" w:hAnsi="Arial"/>
                <w:sz w:val="11"/>
                <w:szCs w:val="11"/>
                <w:b w:val="1"/>
                <w:bCs w:val="1"/>
                <w:color w:val="auto"/>
              </w:rPr>
              <w:t>date fair value</w:t>
            </w:r>
          </w:p>
        </w:tc>
        <w:tc>
          <w:tcPr>
            <w:tcW w:w="260" w:type="dxa"/>
            <w:vAlign w:val="bottom"/>
          </w:tcPr>
          <w:p>
            <w:pPr>
              <w:spacing w:after="0"/>
              <w:rPr>
                <w:sz w:val="11"/>
                <w:szCs w:val="11"/>
                <w:color w:val="auto"/>
              </w:rPr>
            </w:pPr>
          </w:p>
        </w:tc>
        <w:tc>
          <w:tcPr>
            <w:tcW w:w="88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85"/>
              </w:rPr>
              <w:t>(Years)</w:t>
            </w: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300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2019</w:t>
            </w:r>
          </w:p>
        </w:tc>
        <w:tc>
          <w:tcPr>
            <w:tcW w:w="4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ind w:left="660"/>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center"/>
              <w:spacing w:after="0" w:line="153"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000" w:type="dxa"/>
            <w:vAlign w:val="bottom"/>
            <w:gridSpan w:val="2"/>
          </w:tcPr>
          <w:p>
            <w:pPr>
              <w:ind w:left="260"/>
              <w:spacing w:after="0"/>
              <w:rPr>
                <w:sz w:val="20"/>
                <w:szCs w:val="20"/>
                <w:color w:val="auto"/>
              </w:rPr>
            </w:pPr>
            <w:r>
              <w:rPr>
                <w:rFonts w:ascii="Arial" w:cs="Arial" w:eastAsia="Arial" w:hAnsi="Arial"/>
                <w:sz w:val="14"/>
                <w:szCs w:val="14"/>
                <w:color w:val="auto"/>
              </w:rPr>
              <w:t>Granted</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3,231,625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w w:val="85"/>
              </w:rPr>
              <w:t>16.72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0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Vested</w:t>
            </w:r>
          </w:p>
        </w:tc>
        <w:tc>
          <w:tcPr>
            <w:tcW w:w="4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000" w:type="dxa"/>
            <w:vAlign w:val="bottom"/>
            <w:gridSpan w:val="2"/>
          </w:tcPr>
          <w:p>
            <w:pPr>
              <w:ind w:left="260"/>
              <w:spacing w:after="0"/>
              <w:rPr>
                <w:sz w:val="20"/>
                <w:szCs w:val="20"/>
                <w:color w:val="auto"/>
              </w:rPr>
            </w:pPr>
            <w:r>
              <w:rPr>
                <w:rFonts w:ascii="Arial" w:cs="Arial" w:eastAsia="Arial" w:hAnsi="Arial"/>
                <w:sz w:val="14"/>
                <w:szCs w:val="14"/>
                <w:color w:val="auto"/>
              </w:rPr>
              <w:t>Forfeited</w:t>
            </w:r>
          </w:p>
        </w:tc>
        <w:tc>
          <w:tcPr>
            <w:tcW w:w="480" w:type="dxa"/>
            <w:vAlign w:val="bottom"/>
          </w:tcPr>
          <w:p>
            <w:pPr>
              <w:spacing w:after="0"/>
              <w:rPr>
                <w:sz w:val="14"/>
                <w:szCs w:val="14"/>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4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3,231,625</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3"/>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16.72</w:t>
            </w:r>
          </w:p>
        </w:tc>
        <w:tc>
          <w:tcPr>
            <w:tcW w:w="26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9.86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ind w:left="660"/>
              <w:spacing w:after="0"/>
              <w:rPr>
                <w:sz w:val="20"/>
                <w:szCs w:val="20"/>
                <w:color w:val="auto"/>
              </w:rPr>
            </w:pPr>
            <w:r>
              <w:rPr>
                <w:rFonts w:ascii="Arial" w:cs="Arial" w:eastAsia="Arial" w:hAnsi="Arial"/>
                <w:sz w:val="14"/>
                <w:szCs w:val="14"/>
                <w:color w:val="auto"/>
              </w:rPr>
              <w:t>Vested – September 30, 2020</w:t>
            </w:r>
          </w:p>
        </w:tc>
        <w:tc>
          <w:tcPr>
            <w:tcW w:w="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20" w:type="dxa"/>
            <w:vAlign w:val="bottom"/>
            <w:gridSpan w:val="2"/>
            <w:vMerge w:val="restart"/>
          </w:tcPr>
          <w:p>
            <w:pPr>
              <w:jc w:val="right"/>
              <w:ind w:right="83"/>
              <w:spacing w:after="0"/>
              <w:rPr>
                <w:sz w:val="20"/>
                <w:szCs w:val="20"/>
                <w:color w:val="auto"/>
              </w:rPr>
            </w:pPr>
            <w:r>
              <w:rPr>
                <w:rFonts w:ascii="Arial" w:cs="Arial" w:eastAsia="Arial" w:hAnsi="Arial"/>
                <w:sz w:val="14"/>
                <w:szCs w:val="14"/>
                <w:color w:val="auto"/>
              </w:rPr>
              <w:t>$</w:t>
            </w:r>
          </w:p>
        </w:tc>
        <w:tc>
          <w:tcPr>
            <w:tcW w:w="140" w:type="dxa"/>
            <w:vAlign w:val="bottom"/>
          </w:tcPr>
          <w:p>
            <w:pPr>
              <w:spacing w:after="0" w:line="20" w:lineRule="exact"/>
              <w:rPr>
                <w:sz w:val="1"/>
                <w:szCs w:val="1"/>
                <w:color w:val="auto"/>
              </w:rPr>
            </w:pP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w w:val="85"/>
              </w:rPr>
              <w:t>16.72</w:t>
            </w: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tcPr>
          <w:p>
            <w:pPr>
              <w:ind w:left="66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60" w:right="599"/>
        <w:spacing w:after="0" w:line="250" w:lineRule="auto"/>
        <w:rPr>
          <w:sz w:val="20"/>
          <w:szCs w:val="20"/>
          <w:color w:val="auto"/>
        </w:rPr>
      </w:pPr>
      <w:r>
        <w:rPr>
          <w:rFonts w:ascii="Arial" w:cs="Arial" w:eastAsia="Arial" w:hAnsi="Arial"/>
          <w:sz w:val="14"/>
          <w:szCs w:val="14"/>
          <w:color w:val="auto"/>
        </w:rPr>
        <w:t>The restricted stock units were not vested in the nine months ended September 30, 2020. The amortization of the restricted stock unit expense for the nine months ended September 30, 2020 was $2.4 million which represents the fair value of the RSUs amortized on a straight line over the vesting period.</w:t>
      </w:r>
    </w:p>
    <w:p>
      <w:pPr>
        <w:spacing w:after="0" w:line="146" w:lineRule="exact"/>
        <w:rPr>
          <w:sz w:val="20"/>
          <w:szCs w:val="20"/>
          <w:color w:val="auto"/>
        </w:rPr>
      </w:pPr>
    </w:p>
    <w:p>
      <w:pPr>
        <w:ind w:left="360" w:right="419"/>
        <w:spacing w:after="0" w:line="259" w:lineRule="auto"/>
        <w:rPr>
          <w:sz w:val="20"/>
          <w:szCs w:val="20"/>
          <w:color w:val="auto"/>
        </w:rPr>
      </w:pPr>
      <w:r>
        <w:rPr>
          <w:rFonts w:ascii="Arial" w:cs="Arial" w:eastAsia="Arial" w:hAnsi="Arial"/>
          <w:sz w:val="14"/>
          <w:szCs w:val="14"/>
          <w:color w:val="auto"/>
        </w:rPr>
        <w:t>As of September 30, 2020, unrecognized compensation costs related to RSUs granted under our equity incentive plans were $51.8 million. We expect to recognize those costs over a weighted average period of 3.18 years.</w:t>
      </w:r>
    </w:p>
    <w:p>
      <w:pPr>
        <w:spacing w:after="0" w:line="140" w:lineRule="exact"/>
        <w:rPr>
          <w:sz w:val="20"/>
          <w:szCs w:val="20"/>
          <w:color w:val="auto"/>
        </w:rPr>
      </w:pPr>
    </w:p>
    <w:p>
      <w:pPr>
        <w:ind w:left="360" w:right="439"/>
        <w:spacing w:after="0" w:line="342" w:lineRule="auto"/>
        <w:rPr>
          <w:sz w:val="20"/>
          <w:szCs w:val="20"/>
          <w:color w:val="auto"/>
        </w:rPr>
      </w:pPr>
      <w:r>
        <w:rPr>
          <w:rFonts w:ascii="Arial" w:cs="Arial" w:eastAsia="Arial" w:hAnsi="Arial"/>
          <w:sz w:val="12"/>
          <w:szCs w:val="12"/>
          <w:color w:val="auto"/>
        </w:rPr>
        <w:t>As of September 30, 2020, the Company had employee and non-employee stock-based compensation of $24.6 million related to unvested stock options not yet recognized that are expected to be recognized over an estimated weighted average period of 3.20 years.</w:t>
      </w:r>
    </w:p>
    <w:p>
      <w:pPr>
        <w:spacing w:after="0" w:line="94" w:lineRule="exact"/>
        <w:rPr>
          <w:sz w:val="20"/>
          <w:szCs w:val="20"/>
          <w:color w:val="auto"/>
        </w:rPr>
      </w:pPr>
    </w:p>
    <w:p>
      <w:pPr>
        <w:ind w:left="360" w:right="579"/>
        <w:spacing w:after="0" w:line="259" w:lineRule="auto"/>
        <w:rPr>
          <w:sz w:val="20"/>
          <w:szCs w:val="20"/>
          <w:color w:val="auto"/>
        </w:rPr>
      </w:pPr>
      <w:r>
        <w:rPr>
          <w:rFonts w:ascii="Arial" w:cs="Arial" w:eastAsia="Arial" w:hAnsi="Arial"/>
          <w:sz w:val="14"/>
          <w:szCs w:val="14"/>
          <w:color w:val="auto"/>
        </w:rPr>
        <w:t>Total stock-based compensation expense recognized in the accompanying statements of operations and comprehensive loss for all equity awards is as follows (amounts in thousands):</w:t>
      </w:r>
    </w:p>
    <w:p>
      <w:pPr>
        <w:spacing w:after="0" w:line="154" w:lineRule="exact"/>
        <w:rPr>
          <w:sz w:val="20"/>
          <w:szCs w:val="20"/>
          <w:color w:val="auto"/>
        </w:rPr>
      </w:pPr>
    </w:p>
    <w:tbl>
      <w:tblPr>
        <w:tblLayout w:type="fixed"/>
        <w:tblInd w:w="136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ind w:left="40"/>
              <w:spacing w:after="0"/>
              <w:rPr>
                <w:sz w:val="20"/>
                <w:szCs w:val="20"/>
                <w:color w:val="auto"/>
              </w:rPr>
            </w:pPr>
            <w:r>
              <w:rPr>
                <w:rFonts w:ascii="Arial" w:cs="Arial" w:eastAsia="Arial" w:hAnsi="Arial"/>
                <w:sz w:val="11"/>
                <w:szCs w:val="11"/>
                <w:b w:val="1"/>
                <w:bCs w:val="1"/>
                <w:color w:val="auto"/>
                <w:w w:val="97"/>
              </w:rPr>
              <w:t>Nine Months Ended September 30,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8"/>
              <w:spacing w:after="0" w:line="102" w:lineRule="exact"/>
              <w:rPr>
                <w:sz w:val="20"/>
                <w:szCs w:val="20"/>
                <w:color w:val="auto"/>
              </w:rPr>
            </w:pPr>
            <w:r>
              <w:rPr>
                <w:rFonts w:ascii="Arial" w:cs="Arial" w:eastAsia="Arial" w:hAnsi="Arial"/>
                <w:sz w:val="11"/>
                <w:szCs w:val="11"/>
                <w:b w:val="1"/>
                <w:bCs w:val="1"/>
                <w:color w:val="auto"/>
              </w:rPr>
              <w:t>2020</w:t>
            </w:r>
          </w:p>
        </w:tc>
        <w:tc>
          <w:tcPr>
            <w:tcW w:w="460" w:type="dxa"/>
            <w:vAlign w:val="bottom"/>
            <w:tcBorders>
              <w:top w:val="single" w:sz="8" w:color="auto"/>
              <w:bottom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102" w:lineRule="exact"/>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3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5,542</w:t>
            </w: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w w:val="79"/>
              </w:rPr>
              <w:t>2,790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3,711</w:t>
            </w:r>
          </w:p>
        </w:tc>
        <w:tc>
          <w:tcPr>
            <w:tcW w:w="16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w w:val="96"/>
              </w:rPr>
              <w:t>4,817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10. Earnings (Loss) Per Share</w:t>
      </w:r>
    </w:p>
    <w:p>
      <w:pPr>
        <w:spacing w:after="0" w:line="85" w:lineRule="exact"/>
        <w:rPr>
          <w:sz w:val="20"/>
          <w:szCs w:val="20"/>
          <w:color w:val="auto"/>
        </w:rPr>
      </w:pPr>
    </w:p>
    <w:p>
      <w:pPr>
        <w:ind w:left="360" w:right="839"/>
        <w:spacing w:after="0" w:line="342" w:lineRule="auto"/>
        <w:rPr>
          <w:sz w:val="20"/>
          <w:szCs w:val="20"/>
          <w:color w:val="auto"/>
        </w:rPr>
      </w:pPr>
      <w:r>
        <w:rPr>
          <w:rFonts w:ascii="Arial" w:cs="Arial" w:eastAsia="Arial" w:hAnsi="Arial"/>
          <w:sz w:val="12"/>
          <w:szCs w:val="12"/>
          <w:color w:val="auto"/>
        </w:rPr>
        <w:t>Basic and diluted earnings per share were the same for each period presented as the inclusion of all potential Class A common stock and Class B common stock outstanding would have been anti-dilutive. Basic and diluted earnings per share are the same for each class</w:t>
      </w:r>
    </w:p>
    <w:p>
      <w:pPr>
        <w:sectPr>
          <w:pgSz w:w="11900" w:h="16838" w:orient="portrait"/>
          <w:cols w:equalWidth="0" w:num="1">
            <w:col w:w="9019"/>
          </w:cols>
          <w:pgMar w:left="1440" w:top="240" w:right="1440" w:bottom="408" w:gutter="0" w:footer="0" w:header="0"/>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40" w:right="1440" w:bottom="408" w:gutter="0" w:footer="0" w:header="0"/>
          <w:type w:val="continuous"/>
        </w:sectPr>
      </w:pPr>
    </w:p>
    <w:bookmarkStart w:id="162" w:name="page163"/>
    <w:bookmarkEnd w:id="162"/>
    <w:p>
      <w:pPr>
        <w:jc w:val="both"/>
        <w:ind w:left="360" w:right="679"/>
        <w:spacing w:after="0" w:line="25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of common stock because they are entitled to the same liquidation and dividend rights. Since the Company has net loss, there are no dilutive equity awards. The following table sets forth the computation of basic and diluted loss per Class A common stock and Class B common stock (amounts in thousands, except share and per share amounts):</w:t>
      </w:r>
    </w:p>
    <w:p>
      <w:pPr>
        <w:spacing w:after="0" w:line="146"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3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rPr>
              <w:t>Nine Months Ended</w:t>
            </w:r>
          </w:p>
        </w:tc>
      </w:tr>
      <w:tr>
        <w:trPr>
          <w:trHeight w:val="129"/>
        </w:trPr>
        <w:tc>
          <w:tcPr>
            <w:tcW w:w="3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40" w:type="dxa"/>
            <w:vAlign w:val="bottom"/>
            <w:gridSpan w:val="5"/>
          </w:tcPr>
          <w:p>
            <w:pPr>
              <w:jc w:val="right"/>
              <w:ind w:right="720"/>
              <w:spacing w:after="0"/>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1"/>
                <w:szCs w:val="11"/>
                <w:b w:val="1"/>
                <w:bCs w:val="1"/>
                <w:color w:val="auto"/>
              </w:rPr>
              <w:t>September 30,</w:t>
            </w:r>
          </w:p>
        </w:tc>
      </w:tr>
      <w:tr>
        <w:trPr>
          <w:trHeight w:val="102"/>
        </w:trPr>
        <w:tc>
          <w:tcPr>
            <w:tcW w:w="378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179"/>
              <w:spacing w:after="0" w:line="102" w:lineRule="exact"/>
              <w:rPr>
                <w:sz w:val="20"/>
                <w:szCs w:val="20"/>
                <w:color w:val="auto"/>
              </w:rPr>
            </w:pPr>
            <w:r>
              <w:rPr>
                <w:rFonts w:ascii="Arial" w:cs="Arial" w:eastAsia="Arial" w:hAnsi="Arial"/>
                <w:sz w:val="11"/>
                <w:szCs w:val="11"/>
                <w:b w:val="1"/>
                <w:bCs w:val="1"/>
                <w:color w:val="auto"/>
              </w:rPr>
              <w:t>2020</w:t>
            </w:r>
          </w:p>
        </w:tc>
        <w:tc>
          <w:tcPr>
            <w:tcW w:w="3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6"/>
              <w:spacing w:after="0" w:line="102" w:lineRule="exact"/>
              <w:rPr>
                <w:sz w:val="20"/>
                <w:szCs w:val="20"/>
                <w:color w:val="auto"/>
              </w:rPr>
            </w:pPr>
            <w:r>
              <w:rPr>
                <w:rFonts w:ascii="Arial" w:cs="Arial" w:eastAsia="Arial" w:hAnsi="Arial"/>
                <w:sz w:val="11"/>
                <w:szCs w:val="11"/>
                <w:b w:val="1"/>
                <w:bCs w:val="1"/>
                <w:color w:val="auto"/>
              </w:rPr>
              <w:t>2019</w:t>
            </w:r>
          </w:p>
        </w:tc>
        <w:tc>
          <w:tcPr>
            <w:tcW w:w="2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59"/>
              <w:spacing w:after="0" w:line="102"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56"/>
              <w:spacing w:after="0" w:line="102"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8"/>
                <w:szCs w:val="8"/>
                <w:color w:val="auto"/>
              </w:rPr>
            </w:pPr>
          </w:p>
        </w:tc>
      </w:tr>
      <w:tr>
        <w:trPr>
          <w:trHeight w:val="142"/>
        </w:trPr>
        <w:tc>
          <w:tcPr>
            <w:tcW w:w="37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Numerator:</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2"/>
        </w:trPr>
        <w:tc>
          <w:tcPr>
            <w:tcW w:w="3780" w:type="dxa"/>
            <w:vAlign w:val="bottom"/>
          </w:tcPr>
          <w:p>
            <w:pPr>
              <w:ind w:left="260"/>
              <w:spacing w:after="0"/>
              <w:rPr>
                <w:sz w:val="20"/>
                <w:szCs w:val="20"/>
                <w:color w:val="auto"/>
              </w:rPr>
            </w:pPr>
            <w:r>
              <w:rPr>
                <w:rFonts w:ascii="Arial" w:cs="Arial" w:eastAsia="Arial" w:hAnsi="Arial"/>
                <w:sz w:val="14"/>
                <w:szCs w:val="14"/>
                <w:color w:val="auto"/>
              </w:rPr>
              <w:t>Net loss attributable to common stockholders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(375,854)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(13,494)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(405,172)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(36,995)</w:t>
            </w:r>
          </w:p>
        </w:tc>
      </w:tr>
      <w:tr>
        <w:trPr>
          <w:trHeight w:val="162"/>
        </w:trPr>
        <w:tc>
          <w:tcPr>
            <w:tcW w:w="3780" w:type="dxa"/>
            <w:vAlign w:val="bottom"/>
            <w:shd w:val="clear" w:color="auto" w:fill="CCEEFF"/>
          </w:tcPr>
          <w:p>
            <w:pPr>
              <w:spacing w:after="0"/>
              <w:rPr>
                <w:sz w:val="20"/>
                <w:szCs w:val="20"/>
                <w:color w:val="auto"/>
              </w:rPr>
            </w:pPr>
            <w:r>
              <w:rPr>
                <w:rFonts w:ascii="Arial" w:cs="Arial" w:eastAsia="Arial" w:hAnsi="Arial"/>
                <w:sz w:val="14"/>
                <w:szCs w:val="14"/>
                <w:color w:val="auto"/>
              </w:rPr>
              <w:t>Denominator:</w:t>
            </w: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3780" w:type="dxa"/>
            <w:vAlign w:val="bottom"/>
          </w:tcPr>
          <w:p>
            <w:pPr>
              <w:ind w:left="260"/>
              <w:spacing w:after="0" w:line="152" w:lineRule="exact"/>
              <w:rPr>
                <w:sz w:val="20"/>
                <w:szCs w:val="20"/>
                <w:color w:val="auto"/>
              </w:rPr>
            </w:pPr>
            <w:r>
              <w:rPr>
                <w:rFonts w:ascii="Arial" w:cs="Arial" w:eastAsia="Arial" w:hAnsi="Arial"/>
                <w:sz w:val="14"/>
                <w:szCs w:val="14"/>
                <w:color w:val="auto"/>
              </w:rPr>
              <w:t>Weighted average Class A and Class B common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3780" w:type="dxa"/>
            <w:vAlign w:val="bottom"/>
          </w:tcPr>
          <w:p>
            <w:pPr>
              <w:ind w:left="400"/>
              <w:spacing w:after="0"/>
              <w:rPr>
                <w:sz w:val="20"/>
                <w:szCs w:val="20"/>
                <w:color w:val="auto"/>
              </w:rPr>
            </w:pPr>
            <w:r>
              <w:rPr>
                <w:rFonts w:ascii="Arial" w:cs="Arial" w:eastAsia="Arial" w:hAnsi="Arial"/>
                <w:sz w:val="14"/>
                <w:szCs w:val="14"/>
                <w:color w:val="auto"/>
              </w:rPr>
              <w:t>outstanding- Basic and Diluted</w:t>
            </w:r>
          </w:p>
        </w:tc>
        <w:tc>
          <w:tcPr>
            <w:tcW w:w="6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85"/>
              </w:rPr>
              <w:t>11,265,320</w:t>
            </w: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2"/>
              </w:rPr>
              <w:t>11,194,200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2"/>
              </w:rPr>
              <w:t>11,244,365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82"/>
              </w:rPr>
              <w:t>11,186,064</w:t>
            </w:r>
          </w:p>
        </w:tc>
      </w:tr>
      <w:tr>
        <w:trPr>
          <w:trHeight w:val="152"/>
        </w:trPr>
        <w:tc>
          <w:tcPr>
            <w:tcW w:w="37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w w:val="95"/>
              </w:rPr>
              <w:t>Net loss per share attributable to Class A and Class B Common</w:t>
            </w: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3"/>
        </w:trPr>
        <w:tc>
          <w:tcPr>
            <w:tcW w:w="3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stockholders- Basic and Diluted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(33.36)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(3.31)</w:t>
            </w:r>
          </w:p>
        </w:tc>
      </w:tr>
      <w:tr>
        <w:trPr>
          <w:trHeight w:val="20"/>
        </w:trPr>
        <w:tc>
          <w:tcPr>
            <w:tcW w:w="3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right="419"/>
        <w:spacing w:after="0" w:line="259" w:lineRule="auto"/>
        <w:rPr>
          <w:sz w:val="20"/>
          <w:szCs w:val="20"/>
          <w:color w:val="auto"/>
        </w:rPr>
      </w:pPr>
      <w:r>
        <w:rPr>
          <w:rFonts w:ascii="Arial" w:cs="Arial" w:eastAsia="Arial" w:hAnsi="Arial"/>
          <w:sz w:val="14"/>
          <w:szCs w:val="14"/>
          <w:color w:val="auto"/>
        </w:rPr>
        <w:t>The following table presents the potential common shares outstanding that were excluded from the computation of diluted net loss per share of common stock as of the periods presented because including them would have been antidilutive:</w:t>
      </w:r>
    </w:p>
    <w:p>
      <w:pPr>
        <w:spacing w:after="0" w:line="151" w:lineRule="exact"/>
        <w:rPr>
          <w:sz w:val="20"/>
          <w:szCs w:val="20"/>
          <w:color w:val="auto"/>
        </w:rPr>
      </w:pPr>
    </w:p>
    <w:p>
      <w:pPr>
        <w:jc w:val="center"/>
        <w:ind w:left="4700"/>
        <w:spacing w:after="0"/>
        <w:rPr>
          <w:sz w:val="20"/>
          <w:szCs w:val="20"/>
          <w:color w:val="auto"/>
        </w:rPr>
      </w:pPr>
      <w:r>
        <w:rPr>
          <w:rFonts w:ascii="Arial" w:cs="Arial" w:eastAsia="Arial" w:hAnsi="Arial"/>
          <w:sz w:val="11"/>
          <w:szCs w:val="11"/>
          <w:b w:val="1"/>
          <w:bCs w:val="1"/>
          <w:color w:val="auto"/>
        </w:rPr>
        <w:t>Nine Months Ended</w:t>
      </w:r>
    </w:p>
    <w:p>
      <w:pPr>
        <w:jc w:val="center"/>
        <w:ind w:left="4700"/>
        <w:spacing w:after="0" w:line="221" w:lineRule="auto"/>
        <w:rPr>
          <w:sz w:val="20"/>
          <w:szCs w:val="20"/>
          <w:color w:val="auto"/>
        </w:rPr>
      </w:pPr>
      <w:r>
        <w:rPr>
          <w:rFonts w:ascii="Arial" w:cs="Arial" w:eastAsia="Arial" w:hAnsi="Arial"/>
          <w:sz w:val="11"/>
          <w:szCs w:val="11"/>
          <w:b w:val="1"/>
          <w:bCs w:val="1"/>
          <w:color w:val="auto"/>
        </w:rPr>
        <w:t>September 30,</w:t>
      </w:r>
    </w:p>
    <w:tbl>
      <w:tblPr>
        <w:tblLayout w:type="fixed"/>
        <w:tblInd w:w="1360" w:type="dxa"/>
        <w:tblCellMar>
          <w:top w:w="0" w:type="dxa"/>
          <w:left w:w="0" w:type="dxa"/>
          <w:bottom w:w="0" w:type="dxa"/>
          <w:right w:w="0" w:type="dxa"/>
        </w:tblCellMar>
      </w:tblPr>
      <w:tr>
        <w:trPr>
          <w:trHeight w:val="102"/>
        </w:trPr>
        <w:tc>
          <w:tcPr>
            <w:tcW w:w="4760" w:type="dxa"/>
            <w:vAlign w:val="bottom"/>
            <w:tcBorders>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2020</w:t>
            </w:r>
          </w:p>
        </w:tc>
        <w:tc>
          <w:tcPr>
            <w:tcW w:w="160" w:type="dxa"/>
            <w:vAlign w:val="bottom"/>
            <w:tcBorders>
              <w:top w:val="single" w:sz="8" w:color="auto"/>
              <w:bottom w:val="single" w:sz="8" w:color="CCEEFF"/>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2019</w:t>
            </w:r>
          </w:p>
        </w:tc>
        <w:tc>
          <w:tcPr>
            <w:tcW w:w="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7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Series A convertible preferred stock</w:t>
            </w: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1"/>
              </w:rPr>
              <w:t>12,192,245</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91"/>
              </w:rPr>
              <w:t>12,192,245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Series B convertible preferred stock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12,381,008</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12,381,008</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Series B-1 convertible preferred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4,076,037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4,076,037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Series C convertible preferred stock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11,258,372</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11,258,372</w:t>
            </w: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Series D convertible preferred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2,983,189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2,983,189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Series E convertible preferred stock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5,500,000</w:t>
            </w:r>
          </w:p>
        </w:tc>
        <w:tc>
          <w:tcPr>
            <w:tcW w:w="660" w:type="dxa"/>
            <w:vAlign w:val="bottom"/>
          </w:tcPr>
          <w:p>
            <w:pPr>
              <w:jc w:val="right"/>
              <w:spacing w:after="0"/>
              <w:rPr>
                <w:sz w:val="20"/>
                <w:szCs w:val="20"/>
                <w:color w:val="auto"/>
              </w:rPr>
            </w:pPr>
            <w:r>
              <w:rPr>
                <w:rFonts w:ascii="Arial" w:cs="Arial" w:eastAsia="Arial" w:hAnsi="Arial"/>
                <w:sz w:val="14"/>
                <w:szCs w:val="14"/>
                <w:color w:val="auto"/>
              </w:rPr>
              <w:t>5,500,000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Warrants to purchase Series A convertible preferred stock</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124,586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124,586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20"/>
                <w:szCs w:val="20"/>
                <w:color w:val="auto"/>
              </w:rPr>
            </w:pPr>
            <w:r>
              <w:rPr>
                <w:rFonts w:ascii="Arial" w:cs="Arial" w:eastAsia="Arial" w:hAnsi="Arial"/>
                <w:sz w:val="14"/>
                <w:szCs w:val="14"/>
                <w:color w:val="auto"/>
              </w:rPr>
              <w:t>Warrants to purchase Series C convertible preferred stock</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129,718</w:t>
            </w:r>
          </w:p>
        </w:tc>
        <w:tc>
          <w:tcPr>
            <w:tcW w:w="660" w:type="dxa"/>
            <w:vAlign w:val="bottom"/>
          </w:tcPr>
          <w:p>
            <w:pPr>
              <w:jc w:val="right"/>
              <w:spacing w:after="0"/>
              <w:rPr>
                <w:sz w:val="20"/>
                <w:szCs w:val="20"/>
                <w:color w:val="auto"/>
              </w:rPr>
            </w:pPr>
            <w:r>
              <w:rPr>
                <w:rFonts w:ascii="Arial" w:cs="Arial" w:eastAsia="Arial" w:hAnsi="Arial"/>
                <w:sz w:val="14"/>
                <w:szCs w:val="14"/>
                <w:color w:val="auto"/>
              </w:rPr>
              <w:t>129,718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Options outstanding</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14,230,987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13,349,486</w:t>
            </w:r>
          </w:p>
        </w:tc>
        <w:tc>
          <w:tcPr>
            <w:tcW w:w="0" w:type="dxa"/>
            <w:vAlign w:val="bottom"/>
          </w:tcPr>
          <w:p>
            <w:pPr>
              <w:spacing w:after="0"/>
              <w:rPr>
                <w:sz w:val="1"/>
                <w:szCs w:val="1"/>
                <w:color w:val="auto"/>
              </w:rPr>
            </w:pPr>
          </w:p>
        </w:tc>
      </w:tr>
      <w:tr>
        <w:trPr>
          <w:trHeight w:val="163"/>
        </w:trPr>
        <w:tc>
          <w:tcPr>
            <w:tcW w:w="47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3,231,625</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62,876,142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61,994,641</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3080"/>
              <w:spacing w:after="0"/>
              <w:rPr>
                <w:sz w:val="20"/>
                <w:szCs w:val="20"/>
                <w:color w:val="auto"/>
              </w:rPr>
            </w:pPr>
            <w:r>
              <w:rPr>
                <w:rFonts w:ascii="Arial" w:cs="Arial" w:eastAsia="Arial" w:hAnsi="Arial"/>
                <w:sz w:val="14"/>
                <w:szCs w:val="14"/>
                <w:color w:val="auto"/>
              </w:rPr>
              <w:t>17</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760" w:type="dxa"/>
            <w:vAlign w:val="bottom"/>
            <w:vMerge w:val="continue"/>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40" w:right="1440" w:bottom="1440" w:gutter="0" w:footer="0" w:header="0"/>
        </w:sectPr>
      </w:pPr>
    </w:p>
    <w:bookmarkStart w:id="163" w:name="page164"/>
    <w:bookmarkEnd w:id="163"/>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11. Joint Venture and Non-controlling interest</w:t>
      </w:r>
    </w:p>
    <w:p>
      <w:pPr>
        <w:spacing w:after="0" w:line="85" w:lineRule="exact"/>
        <w:rPr>
          <w:sz w:val="20"/>
          <w:szCs w:val="20"/>
          <w:color w:val="auto"/>
        </w:rPr>
      </w:pPr>
    </w:p>
    <w:p>
      <w:pPr>
        <w:ind w:left="360" w:right="399"/>
        <w:spacing w:after="0" w:line="294" w:lineRule="auto"/>
        <w:rPr>
          <w:sz w:val="20"/>
          <w:szCs w:val="20"/>
          <w:color w:val="auto"/>
        </w:rPr>
      </w:pPr>
      <w:r>
        <w:rPr>
          <w:rFonts w:ascii="Arial" w:cs="Arial" w:eastAsia="Arial" w:hAnsi="Arial"/>
          <w:sz w:val="12"/>
          <w:szCs w:val="12"/>
          <w:color w:val="auto"/>
        </w:rPr>
        <w:t>The Company entered into a JVA with VGA and formed the JV entity. The Company determined the entity was a variable interest entity with a related party, and the Company’s operations were more closely associated with the JV entity. As such, the Company consolidated the JV entity for financial reporting purposes, and a non-controlling interest was recorded for VGA’s interest in the net assets and operations of QSV operations to the extent of the VGA investment. The Company’s consolidated balance sheet includes $3.4 million cash and cash equivalents and less than $0.1 million of prepaid expenses of the JV entity at September 30, 2020 ($3.4 million and less than $0.1 million, respectively at December 31, 2019). Although the Company has consolidated the net assets of the JV entity, it has no right to the use of those assets for its standalone operations.</w:t>
      </w:r>
    </w:p>
    <w:p>
      <w:pPr>
        <w:spacing w:after="0" w:line="12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following table sets forth the change in non-controlling interest for the six months ended September 30, 2020 (amounts in thousands):</w:t>
      </w:r>
    </w:p>
    <w:p>
      <w:pPr>
        <w:spacing w:after="0" w:line="186" w:lineRule="exact"/>
        <w:rPr>
          <w:sz w:val="20"/>
          <w:szCs w:val="20"/>
          <w:color w:val="auto"/>
        </w:rPr>
      </w:pPr>
    </w:p>
    <w:tbl>
      <w:tblPr>
        <w:tblLayout w:type="fixed"/>
        <w:tblInd w:w="170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w w:val="97"/>
              </w:rPr>
              <w:t>Non-controlling</w:t>
            </w:r>
          </w:p>
        </w:tc>
      </w:tr>
      <w:tr>
        <w:trPr>
          <w:trHeight w:val="129"/>
        </w:trPr>
        <w:tc>
          <w:tcPr>
            <w:tcW w:w="4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interest</w:t>
            </w:r>
          </w:p>
        </w:tc>
      </w:tr>
      <w:tr>
        <w:trPr>
          <w:trHeight w:val="153"/>
        </w:trPr>
        <w:tc>
          <w:tcPr>
            <w:tcW w:w="48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Balance at December 31, 2019</w:t>
            </w:r>
          </w:p>
        </w:tc>
        <w:tc>
          <w:tcPr>
            <w:tcW w:w="12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1,710</w:t>
            </w:r>
          </w:p>
        </w:tc>
        <w:tc>
          <w:tcPr>
            <w:tcW w:w="80" w:type="dxa"/>
            <w:vAlign w:val="bottom"/>
            <w:tcBorders>
              <w:top w:val="single" w:sz="8" w:color="CCEEFF"/>
            </w:tcBorders>
            <w:shd w:val="clear" w:color="auto" w:fill="CCEEFF"/>
          </w:tcPr>
          <w:p>
            <w:pPr>
              <w:spacing w:after="0"/>
              <w:rPr>
                <w:sz w:val="13"/>
                <w:szCs w:val="13"/>
                <w:color w:val="auto"/>
              </w:rPr>
            </w:pPr>
          </w:p>
        </w:tc>
      </w:tr>
      <w:tr>
        <w:trPr>
          <w:trHeight w:val="163"/>
        </w:trPr>
        <w:tc>
          <w:tcPr>
            <w:tcW w:w="4800" w:type="dxa"/>
            <w:vAlign w:val="bottom"/>
          </w:tcPr>
          <w:p>
            <w:pPr>
              <w:spacing w:after="0"/>
              <w:rPr>
                <w:sz w:val="20"/>
                <w:szCs w:val="20"/>
                <w:color w:val="auto"/>
              </w:rPr>
            </w:pPr>
            <w:r>
              <w:rPr>
                <w:rFonts w:ascii="Arial" w:cs="Arial" w:eastAsia="Arial" w:hAnsi="Arial"/>
                <w:sz w:val="14"/>
                <w:szCs w:val="14"/>
                <w:color w:val="auto"/>
              </w:rPr>
              <w:t>Net loss attributable to non-controlling interest in consolidated JV</w:t>
            </w: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r>
      <w:tr>
        <w:trPr>
          <w:trHeight w:val="162"/>
        </w:trPr>
        <w:tc>
          <w:tcPr>
            <w:tcW w:w="4800" w:type="dxa"/>
            <w:vAlign w:val="bottom"/>
            <w:shd w:val="clear" w:color="auto" w:fill="CCEEFF"/>
          </w:tcPr>
          <w:p>
            <w:pPr>
              <w:spacing w:after="0"/>
              <w:rPr>
                <w:sz w:val="20"/>
                <w:szCs w:val="20"/>
                <w:color w:val="auto"/>
              </w:rPr>
            </w:pPr>
            <w:r>
              <w:rPr>
                <w:rFonts w:ascii="Arial" w:cs="Arial" w:eastAsia="Arial" w:hAnsi="Arial"/>
                <w:sz w:val="14"/>
                <w:szCs w:val="14"/>
                <w:color w:val="auto"/>
              </w:rPr>
              <w:t>Balance at September 30, 2020</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w:t>
            </w:r>
          </w:p>
        </w:tc>
        <w:tc>
          <w:tcPr>
            <w:tcW w:w="80" w:type="dxa"/>
            <w:vAlign w:val="bottom"/>
            <w:shd w:val="clear" w:color="auto" w:fill="CCEEFF"/>
          </w:tcPr>
          <w:p>
            <w:pPr>
              <w:spacing w:after="0"/>
              <w:rPr>
                <w:sz w:val="14"/>
                <w:szCs w:val="14"/>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Fair Value Measurement</w:t>
      </w:r>
    </w:p>
    <w:p>
      <w:pPr>
        <w:spacing w:after="0" w:line="83" w:lineRule="exact"/>
        <w:rPr>
          <w:sz w:val="20"/>
          <w:szCs w:val="20"/>
          <w:color w:val="auto"/>
        </w:rPr>
      </w:pPr>
    </w:p>
    <w:p>
      <w:pPr>
        <w:ind w:left="360" w:right="499"/>
        <w:spacing w:after="0" w:line="297" w:lineRule="auto"/>
        <w:rPr>
          <w:sz w:val="20"/>
          <w:szCs w:val="20"/>
          <w:color w:val="auto"/>
        </w:rPr>
      </w:pPr>
      <w:r>
        <w:rPr>
          <w:rFonts w:ascii="Arial" w:cs="Arial" w:eastAsia="Arial" w:hAnsi="Arial"/>
          <w:sz w:val="12"/>
          <w:szCs w:val="12"/>
          <w:color w:val="auto"/>
        </w:rPr>
        <w:t>On May 14, 2020, the Company amended the JVA and other related agreements regarding the JV entity in connection with VGA’s investment of $200.0 million in the Company’s Series F convertible preferred stock as described in Note 8. The Company determined the amendments represented a reconsideration event and determined that the JV entity is still a variable interest entity. As the significance and nature of the business of the JV entity continues to be more aligned with the core business of the Company and the Company continues to absorb a majority of the variability associated with the JV entity’s anticipated economic performance, the Company continues to be the related party most closely associated with the JV entity.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12. Income Taxes</w:t>
      </w:r>
    </w:p>
    <w:p>
      <w:pPr>
        <w:spacing w:after="0" w:line="85" w:lineRule="exact"/>
        <w:rPr>
          <w:sz w:val="20"/>
          <w:szCs w:val="20"/>
          <w:color w:val="auto"/>
        </w:rPr>
      </w:pPr>
    </w:p>
    <w:p>
      <w:pPr>
        <w:ind w:left="360" w:right="479"/>
        <w:spacing w:after="0" w:line="289" w:lineRule="auto"/>
        <w:rPr>
          <w:sz w:val="20"/>
          <w:szCs w:val="20"/>
          <w:color w:val="auto"/>
        </w:rPr>
      </w:pPr>
      <w:r>
        <w:rPr>
          <w:rFonts w:ascii="Arial" w:cs="Arial" w:eastAsia="Arial" w:hAnsi="Arial"/>
          <w:sz w:val="12"/>
          <w:szCs w:val="12"/>
          <w:color w:val="auto"/>
        </w:rPr>
        <w:t>On March 27, 2020, the U.S. President signed into law the CARES Act, an economic stimulus package in response to the COVID-19 global pandemic. The CARES Act contains several corporate income tax provisions, including making remaining alternative minimum tax credits immediately refundable; providing a 5-year carryback of net operating loss carryforwards (“NOLs”) generated in tax years 2018, 2019, and 2020, and removing the 80% taxable income limitation on utilization of those NOLs if carried back to prior tax years or utilized in tax years beginning before 2021; and temporarily liberalizing the interest deductibility rules under Section 163(j) of the Tax Cuts and Jobs Act, by raising the adjusted taxable income limitation from 30% to 50% for tax years 2019 and 2020 and giving taxpayers the election of using 2019 adjusted taxable income for purposes of computing 2020 interest deductibility. The Company is still evaluating the impact but does not currently expect the provisions of the CARES Act to have a material effect on the realizability of deferred income tax assets or tax expense. There is no material impact for the nine months ended September 30, 2020. As additional guidance is released, the Company will evaluate whether there would need to be a change in the period when such guidance is issued.</w:t>
      </w:r>
    </w:p>
    <w:p>
      <w:pPr>
        <w:spacing w:after="0" w:line="370" w:lineRule="exact"/>
        <w:rPr>
          <w:sz w:val="20"/>
          <w:szCs w:val="20"/>
          <w:color w:val="auto"/>
        </w:rPr>
      </w:pPr>
    </w:p>
    <w:p>
      <w:pPr>
        <w:ind w:left="360" w:right="6839" w:firstLine="3"/>
        <w:spacing w:after="0" w:line="425" w:lineRule="auto"/>
        <w:tabs>
          <w:tab w:leader="none" w:pos="563" w:val="left"/>
        </w:tabs>
        <w:numPr>
          <w:ilvl w:val="0"/>
          <w:numId w:val="190"/>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Parties Agreements Joint Venture Agreement</w:t>
      </w:r>
    </w:p>
    <w:p>
      <w:pPr>
        <w:ind w:left="360" w:right="399"/>
        <w:spacing w:after="0" w:line="302" w:lineRule="auto"/>
        <w:rPr>
          <w:sz w:val="20"/>
          <w:szCs w:val="20"/>
          <w:color w:val="auto"/>
        </w:rPr>
      </w:pPr>
      <w:r>
        <w:rPr>
          <w:rFonts w:ascii="Arial" w:cs="Arial" w:eastAsia="Arial" w:hAnsi="Arial"/>
          <w:sz w:val="12"/>
          <w:szCs w:val="12"/>
          <w:color w:val="auto"/>
        </w:rPr>
        <w:t>In September 11, 2018, the Company entered into a Joint Venture Agreement with VWGoA and VGA as described in Note 2 and Note 11. In connection with this agreement, the parties also have entered into 2 operative agreements: (i) the Limited Liability Company Agreement of the JV entity to govern the respective rights and obligations as Members of the JV entity and (ii) the Common IP License Agreement for the Company to license certain intellectual property rights pertaining to automotive battery cells as defined in the JV Agreement to VWGoA, VGA and the JV Entity.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Other Related Parties</w:t>
      </w:r>
    </w:p>
    <w:p>
      <w:pPr>
        <w:spacing w:after="0" w:line="85" w:lineRule="exact"/>
        <w:rPr>
          <w:sz w:val="20"/>
          <w:szCs w:val="20"/>
          <w:color w:val="auto"/>
        </w:rPr>
      </w:pPr>
    </w:p>
    <w:p>
      <w:pPr>
        <w:ind w:left="360" w:right="519"/>
        <w:spacing w:after="0" w:line="342" w:lineRule="auto"/>
        <w:rPr>
          <w:sz w:val="20"/>
          <w:szCs w:val="20"/>
          <w:color w:val="auto"/>
        </w:rPr>
      </w:pPr>
      <w:r>
        <w:rPr>
          <w:rFonts w:ascii="Arial" w:cs="Arial" w:eastAsia="Arial" w:hAnsi="Arial"/>
          <w:sz w:val="12"/>
          <w:szCs w:val="12"/>
          <w:color w:val="auto"/>
        </w:rPr>
        <w:t>One of the members of the Board of Directors is also a consultant to the Company, providing expertise in the area of science and materials. This board member was paid $0.1 million under a consulting agreement during the nine months ended September 30, 2020 and 2019.</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238" w:right="1440" w:bottom="1440" w:gutter="0" w:footer="0" w:header="0"/>
        </w:sectPr>
      </w:pPr>
    </w:p>
    <w:bookmarkStart w:id="164" w:name="page165"/>
    <w:bookmarkEnd w:id="164"/>
    <w:p>
      <w:pPr>
        <w:ind w:left="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14. Subsequent Events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Company has evaluated subsequent events through December 2, 2020, the date the financial statements were available to be issued.</w:t>
      </w:r>
    </w:p>
    <w:p>
      <w:pPr>
        <w:spacing w:after="0" w:line="187" w:lineRule="exact"/>
        <w:rPr>
          <w:sz w:val="20"/>
          <w:szCs w:val="20"/>
          <w:color w:val="auto"/>
        </w:rPr>
      </w:pPr>
    </w:p>
    <w:p>
      <w:pPr>
        <w:ind w:left="360" w:right="459"/>
        <w:spacing w:after="0" w:line="259" w:lineRule="auto"/>
        <w:rPr>
          <w:sz w:val="20"/>
          <w:szCs w:val="20"/>
          <w:color w:val="auto"/>
        </w:rPr>
      </w:pPr>
      <w:r>
        <w:rPr>
          <w:rFonts w:ascii="Arial" w:cs="Arial" w:eastAsia="Arial" w:hAnsi="Arial"/>
          <w:sz w:val="14"/>
          <w:szCs w:val="14"/>
          <w:color w:val="auto"/>
        </w:rPr>
        <w:t>On November 10, 2020 Kensington filed Form S-4 amendment #4 Registration Statement which was declared effective by the Securities and Exchange Commission on November 12, 2020.</w:t>
      </w:r>
    </w:p>
    <w:p>
      <w:pPr>
        <w:spacing w:after="0" w:line="140" w:lineRule="exact"/>
        <w:rPr>
          <w:sz w:val="20"/>
          <w:szCs w:val="20"/>
          <w:color w:val="auto"/>
        </w:rPr>
      </w:pPr>
    </w:p>
    <w:p>
      <w:pPr>
        <w:ind w:left="360" w:right="399"/>
        <w:spacing w:after="0" w:line="259" w:lineRule="auto"/>
        <w:rPr>
          <w:sz w:val="20"/>
          <w:szCs w:val="20"/>
          <w:color w:val="auto"/>
        </w:rPr>
      </w:pPr>
      <w:r>
        <w:rPr>
          <w:rFonts w:ascii="Arial" w:cs="Arial" w:eastAsia="Arial" w:hAnsi="Arial"/>
          <w:sz w:val="14"/>
          <w:szCs w:val="14"/>
          <w:color w:val="auto"/>
        </w:rPr>
        <w:t>On November 25, 2020, the Company closed the Preferred Series F financing with 11 investors for approximately $188.0 million before banker fees and expenses.</w:t>
      </w:r>
    </w:p>
    <w:p>
      <w:pPr>
        <w:spacing w:after="0" w:line="140" w:lineRule="exact"/>
        <w:rPr>
          <w:sz w:val="20"/>
          <w:szCs w:val="20"/>
          <w:color w:val="auto"/>
        </w:rPr>
      </w:pPr>
    </w:p>
    <w:p>
      <w:pPr>
        <w:jc w:val="both"/>
        <w:ind w:left="360" w:right="519"/>
        <w:spacing w:after="0" w:line="250" w:lineRule="auto"/>
        <w:rPr>
          <w:sz w:val="20"/>
          <w:szCs w:val="20"/>
          <w:color w:val="auto"/>
        </w:rPr>
      </w:pPr>
      <w:r>
        <w:rPr>
          <w:rFonts w:ascii="Arial" w:cs="Arial" w:eastAsia="Arial" w:hAnsi="Arial"/>
          <w:sz w:val="14"/>
          <w:szCs w:val="14"/>
          <w:color w:val="auto"/>
        </w:rPr>
        <w:t>On November 25, 2020, Kensington (NYSE:KCACU), shareholders voted to approve the business combination with QuantumScape and other related matters on the proxy statements. After the merger, QuantumScape became the publicly traded company under the ticker symbol QS on the New York Stock Exchange.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239" w:right="1440" w:bottom="1440" w:gutter="0" w:footer="0" w:header="0"/>
        </w:sectPr>
      </w:pPr>
    </w:p>
    <w:bookmarkStart w:id="165" w:name="page166"/>
    <w:bookmarkEnd w:id="165"/>
    <w:p>
      <w:pPr>
        <w:jc w:val="right"/>
        <w:ind w:right="379"/>
        <w:spacing w:after="0"/>
        <w:rPr>
          <w:sz w:val="20"/>
          <w:szCs w:val="20"/>
          <w:color w:val="auto"/>
        </w:rPr>
      </w:pPr>
      <w:r>
        <w:rPr>
          <w:rFonts w:ascii="Arial" w:cs="Arial" w:eastAsia="Arial" w:hAnsi="Arial"/>
          <w:sz w:val="14"/>
          <w:szCs w:val="14"/>
          <w:b w:val="1"/>
          <w:bCs w:val="1"/>
          <w:color w:val="auto"/>
        </w:rPr>
        <w:t>EXHIBIT 99.2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PRO FORMA CONDENSED COMBINED FINANCIAL INFORMATION</w:t>
      </w:r>
    </w:p>
    <w:p>
      <w:pPr>
        <w:spacing w:after="0" w:line="166" w:lineRule="exact"/>
        <w:rPr>
          <w:sz w:val="20"/>
          <w:szCs w:val="20"/>
          <w:color w:val="auto"/>
        </w:rPr>
      </w:pPr>
    </w:p>
    <w:p>
      <w:pPr>
        <w:ind w:left="360" w:right="579" w:firstLine="331"/>
        <w:spacing w:after="0" w:line="302" w:lineRule="auto"/>
        <w:rPr>
          <w:sz w:val="20"/>
          <w:szCs w:val="20"/>
          <w:color w:val="auto"/>
        </w:rPr>
      </w:pPr>
      <w:r>
        <w:rPr>
          <w:rFonts w:ascii="Arial" w:cs="Arial" w:eastAsia="Arial" w:hAnsi="Arial"/>
          <w:sz w:val="12"/>
          <w:szCs w:val="12"/>
          <w:i w:val="1"/>
          <w:iCs w:val="1"/>
          <w:color w:val="auto"/>
        </w:rPr>
        <w:t>Defined terms included below have the same meaning as terms defined and included elsewhere in the Current Report on Form 8-K (the “Form 8-K”) filed with the Securities and Exchange Commission (the “SEC”) on December 2, 2020. Unless the context otherwise requires, the “Company” refers to QuantumScape Corporation (“QuantumScape”) (f/k/a Kensington Capital Acquisition Corp.) and its subsidiaries after the Closing, and Kensington Capital Acquisition Corp. (“Kensington”) prior to the Closing.</w:t>
      </w:r>
    </w:p>
    <w:p>
      <w:pPr>
        <w:spacing w:after="0" w:line="117" w:lineRule="exact"/>
        <w:rPr>
          <w:sz w:val="20"/>
          <w:szCs w:val="20"/>
          <w:color w:val="auto"/>
        </w:rPr>
      </w:pPr>
    </w:p>
    <w:p>
      <w:pPr>
        <w:ind w:left="360" w:right="719" w:firstLine="331"/>
        <w:spacing w:after="0" w:line="312" w:lineRule="auto"/>
        <w:rPr>
          <w:sz w:val="20"/>
          <w:szCs w:val="20"/>
          <w:color w:val="auto"/>
        </w:rPr>
      </w:pPr>
      <w:r>
        <w:rPr>
          <w:rFonts w:ascii="Arial" w:cs="Arial" w:eastAsia="Arial" w:hAnsi="Arial"/>
          <w:sz w:val="12"/>
          <w:szCs w:val="12"/>
          <w:color w:val="auto"/>
        </w:rPr>
        <w:t>The following unaudited pro forma condensed combined financial statements of QuantumScape present the combination of the financial information of Kensington and Legacy QuantumScape adjusted to give effect to the Business Combination and related transactions. The following unaudited pro forma condensed combined financial information has been prepared in accordance with Article 11 of Regulation S-X.</w:t>
      </w:r>
    </w:p>
    <w:p>
      <w:pPr>
        <w:spacing w:after="0" w:line="111" w:lineRule="exact"/>
        <w:rPr>
          <w:sz w:val="20"/>
          <w:szCs w:val="20"/>
          <w:color w:val="auto"/>
        </w:rPr>
      </w:pPr>
    </w:p>
    <w:p>
      <w:pPr>
        <w:ind w:left="360" w:right="459" w:firstLine="331"/>
        <w:spacing w:after="0" w:line="294" w:lineRule="auto"/>
        <w:rPr>
          <w:sz w:val="20"/>
          <w:szCs w:val="20"/>
          <w:color w:val="auto"/>
        </w:rPr>
      </w:pPr>
      <w:r>
        <w:rPr>
          <w:rFonts w:ascii="Arial" w:cs="Arial" w:eastAsia="Arial" w:hAnsi="Arial"/>
          <w:sz w:val="12"/>
          <w:szCs w:val="12"/>
          <w:color w:val="auto"/>
        </w:rPr>
        <w:t>The unaudited pro forma condensed combined balance sheet as of September 30, 2020 combines the historical balance sheet of Kensington and the historical balance sheet of Legacy QuantumScape on a pro forma basis as if the Business Combination and related transactions, summarized below, had been consummated on September 30, 2020. The unaudited pro forma condensed combined statements of operations for the nine months ended September 30, 2020 and the year ended December 31, 2019 combine the historical statements of operations of Kensington and historical statements of operations of Legacy QuantumScape for such periods on a pro forma basis as if the Business Combination and related transactions, summarized below, had been consummated on January 1, 2019, the beginning of the earliest period presented:</w:t>
      </w:r>
    </w:p>
    <w:p>
      <w:pPr>
        <w:spacing w:after="0" w:line="51" w:lineRule="exact"/>
        <w:rPr>
          <w:sz w:val="20"/>
          <w:szCs w:val="20"/>
          <w:color w:val="auto"/>
        </w:rPr>
      </w:pPr>
    </w:p>
    <w:p>
      <w:pPr>
        <w:ind w:left="1100" w:hanging="331"/>
        <w:spacing w:after="0"/>
        <w:tabs>
          <w:tab w:leader="none" w:pos="11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Merger;</w:t>
      </w:r>
    </w:p>
    <w:p>
      <w:pPr>
        <w:spacing w:after="0" w:line="92" w:lineRule="exact"/>
        <w:rPr>
          <w:rFonts w:ascii="Arial" w:cs="Arial" w:eastAsia="Arial" w:hAnsi="Arial"/>
          <w:sz w:val="14"/>
          <w:szCs w:val="14"/>
          <w:color w:val="auto"/>
        </w:rPr>
      </w:pPr>
    </w:p>
    <w:p>
      <w:pPr>
        <w:ind w:left="1100" w:right="519" w:hanging="331"/>
        <w:spacing w:after="0" w:line="259" w:lineRule="auto"/>
        <w:tabs>
          <w:tab w:leader="none" w:pos="11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issuance and sale of 50,000,000 shares of Class A Common Stock for a purchase price of $10.00 per share and an aggregate purchase price of $500 million in the PIPE pursuant to the Subscription Agreements;</w:t>
      </w:r>
    </w:p>
    <w:p>
      <w:pPr>
        <w:spacing w:after="0" w:line="68" w:lineRule="exact"/>
        <w:rPr>
          <w:rFonts w:ascii="Arial" w:cs="Arial" w:eastAsia="Arial" w:hAnsi="Arial"/>
          <w:sz w:val="14"/>
          <w:szCs w:val="14"/>
          <w:color w:val="auto"/>
        </w:rPr>
      </w:pPr>
    </w:p>
    <w:p>
      <w:pPr>
        <w:ind w:left="1100" w:right="419" w:hanging="331"/>
        <w:spacing w:after="0" w:line="250" w:lineRule="auto"/>
        <w:tabs>
          <w:tab w:leader="none" w:pos="11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issuance and sale of 7,115,335 shares of Series F Preferred Stock concurrent with the Closing of the Business Combination pursuant to the Series F Preferred Stock Purchase Agreements and related agreements thereto entered into in August 2020 by Legacy QuantumScape and several investors; and</w:t>
      </w:r>
    </w:p>
    <w:p>
      <w:pPr>
        <w:spacing w:after="0" w:line="75" w:lineRule="exact"/>
        <w:rPr>
          <w:rFonts w:ascii="Arial" w:cs="Arial" w:eastAsia="Arial" w:hAnsi="Arial"/>
          <w:sz w:val="14"/>
          <w:szCs w:val="14"/>
          <w:color w:val="auto"/>
        </w:rPr>
      </w:pPr>
    </w:p>
    <w:p>
      <w:pPr>
        <w:ind w:left="1100" w:right="539" w:hanging="331"/>
        <w:spacing w:after="0" w:line="259" w:lineRule="auto"/>
        <w:tabs>
          <w:tab w:leader="none" w:pos="1100" w:val="left"/>
        </w:tabs>
        <w:numPr>
          <w:ilvl w:val="0"/>
          <w:numId w:val="191"/>
        </w:numPr>
        <w:rPr>
          <w:rFonts w:ascii="Arial" w:cs="Arial" w:eastAsia="Arial" w:hAnsi="Arial"/>
          <w:sz w:val="14"/>
          <w:szCs w:val="14"/>
          <w:color w:val="auto"/>
        </w:rPr>
      </w:pPr>
      <w:r>
        <w:rPr>
          <w:rFonts w:ascii="Arial" w:cs="Arial" w:eastAsia="Arial" w:hAnsi="Arial"/>
          <w:sz w:val="14"/>
          <w:szCs w:val="14"/>
          <w:color w:val="auto"/>
        </w:rPr>
        <w:t>the issuance and sale of 15,221,334 shares of Class A Common Stock on December 1, 2020. Refer to Note 3 of this unaudited pro forma condensed combined financial information for further discussion.</w:t>
      </w:r>
    </w:p>
    <w:p>
      <w:pPr>
        <w:spacing w:after="0" w:line="140" w:lineRule="exact"/>
        <w:rPr>
          <w:sz w:val="20"/>
          <w:szCs w:val="20"/>
          <w:color w:val="auto"/>
        </w:rPr>
      </w:pPr>
    </w:p>
    <w:p>
      <w:pPr>
        <w:ind w:left="360" w:right="619" w:firstLine="331"/>
        <w:spacing w:after="0" w:line="312" w:lineRule="auto"/>
        <w:rPr>
          <w:sz w:val="20"/>
          <w:szCs w:val="20"/>
          <w:color w:val="auto"/>
        </w:rPr>
      </w:pPr>
      <w:r>
        <w:rPr>
          <w:rFonts w:ascii="Arial" w:cs="Arial" w:eastAsia="Arial" w:hAnsi="Arial"/>
          <w:sz w:val="12"/>
          <w:szCs w:val="12"/>
          <w:color w:val="auto"/>
        </w:rPr>
        <w:t>The historical financial statements have been adjusted in the unaudited pro forma condensed combined financial statements to give pro forma effect to events that are: (i) directly attributable to the Business Combination; (ii) factually supportable; and (iii) with respect to the statements of operations, expected to have a continuing impact on the post-combination company’s results following the completion of the Business Combination.</w:t>
      </w:r>
    </w:p>
    <w:p>
      <w:pPr>
        <w:spacing w:after="0" w:line="111"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unaudited pro forma condensed combined financial statements have been developed from and should be read in conjunction with:</w:t>
      </w:r>
    </w:p>
    <w:p>
      <w:pPr>
        <w:spacing w:after="0" w:line="116" w:lineRule="exact"/>
        <w:rPr>
          <w:sz w:val="20"/>
          <w:szCs w:val="20"/>
          <w:color w:val="auto"/>
        </w:rPr>
      </w:pPr>
    </w:p>
    <w:p>
      <w:pPr>
        <w:ind w:left="1100" w:hanging="331"/>
        <w:spacing w:after="0"/>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accompanying notes to the unaudited pro forma condensed combined financial statements;</w:t>
      </w:r>
    </w:p>
    <w:p>
      <w:pPr>
        <w:spacing w:after="0" w:line="92" w:lineRule="exact"/>
        <w:rPr>
          <w:rFonts w:ascii="Arial" w:cs="Arial" w:eastAsia="Arial" w:hAnsi="Arial"/>
          <w:sz w:val="14"/>
          <w:szCs w:val="14"/>
          <w:color w:val="auto"/>
        </w:rPr>
      </w:pPr>
    </w:p>
    <w:p>
      <w:pPr>
        <w:ind w:left="1100" w:right="579" w:hanging="331"/>
        <w:spacing w:after="0" w:line="259" w:lineRule="auto"/>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historical unaudited financial statements of Kensington as of September 30, 2020 and for the period from April 17, 2020 (inception) through September 30, 2020 and the related notes, which is incorporated by reference;</w:t>
      </w:r>
    </w:p>
    <w:p>
      <w:pPr>
        <w:spacing w:after="0" w:line="68" w:lineRule="exact"/>
        <w:rPr>
          <w:rFonts w:ascii="Arial" w:cs="Arial" w:eastAsia="Arial" w:hAnsi="Arial"/>
          <w:sz w:val="14"/>
          <w:szCs w:val="14"/>
          <w:color w:val="auto"/>
        </w:rPr>
      </w:pPr>
    </w:p>
    <w:p>
      <w:pPr>
        <w:ind w:left="1100" w:right="419" w:hanging="331"/>
        <w:spacing w:after="0" w:line="259" w:lineRule="auto"/>
        <w:tabs>
          <w:tab w:leader="none" w:pos="1100"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historical audited financial statements of Legacy QuantumScape as of and for the year ended December 31, 2019 and the related notes, which is incorporated by reference;</w:t>
      </w:r>
    </w:p>
    <w:p>
      <w:pPr>
        <w:spacing w:after="0" w:line="68" w:lineRule="exact"/>
        <w:rPr>
          <w:rFonts w:ascii="Arial" w:cs="Arial" w:eastAsia="Arial" w:hAnsi="Arial"/>
          <w:sz w:val="14"/>
          <w:szCs w:val="14"/>
          <w:color w:val="auto"/>
        </w:rPr>
      </w:pPr>
    </w:p>
    <w:p>
      <w:pPr>
        <w:ind w:left="1100" w:right="579" w:hanging="331"/>
        <w:spacing w:after="0" w:line="342" w:lineRule="auto"/>
        <w:tabs>
          <w:tab w:leader="none" w:pos="110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 historical unaudited financial statements of Legacy QuantumScape as of and for the nine months ended September 30, 2020 and the related notes, which is attached as an exhibit to this filing and incorporated by reference; and</w:t>
      </w:r>
    </w:p>
    <w:p>
      <w:pPr>
        <w:sectPr>
          <w:pgSz w:w="11900" w:h="16838" w:orient="portrait"/>
          <w:cols w:equalWidth="0" w:num="1">
            <w:col w:w="9019"/>
          </w:cols>
          <w:pgMar w:left="1440" w:top="127" w:right="1440" w:bottom="1440" w:gutter="0" w:footer="0" w:header="0"/>
        </w:sectPr>
      </w:pPr>
    </w:p>
    <w:bookmarkStart w:id="166" w:name="page167"/>
    <w:bookmarkEnd w:id="166"/>
    <w:p>
      <w:pPr>
        <w:ind w:left="1100" w:right="899" w:hanging="331"/>
        <w:spacing w:after="0" w:line="342" w:lineRule="auto"/>
        <w:tabs>
          <w:tab w:leader="none" w:pos="1100" w:val="left"/>
        </w:tabs>
        <w:numPr>
          <w:ilvl w:val="0"/>
          <w:numId w:val="19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7179310" cy="19050"/>
                    </a:xfrm>
                    <a:prstGeom prst="rect">
                      <a:avLst/>
                    </a:prstGeom>
                    <a:noFill/>
                  </pic:spPr>
                </pic:pic>
              </a:graphicData>
            </a:graphic>
          </wp:anchor>
        </w:drawing>
        <w:t>other information relating to Kensington and Legacy QuantumScape contained in the Proxy Statement, including the Business Combination Agreement and the description of certain terms thereof set forth in the section entitled “</w:t>
      </w:r>
      <w:r>
        <w:rPr>
          <w:rFonts w:ascii="Arial" w:cs="Arial" w:eastAsia="Arial" w:hAnsi="Arial"/>
          <w:sz w:val="12"/>
          <w:szCs w:val="12"/>
          <w:i w:val="1"/>
          <w:iCs w:val="1"/>
          <w:color w:val="auto"/>
        </w:rPr>
        <w:t>The Business Combination</w:t>
      </w:r>
      <w:r>
        <w:rPr>
          <w:rFonts w:ascii="Arial" w:cs="Arial" w:eastAsia="Arial" w:hAnsi="Arial"/>
          <w:sz w:val="12"/>
          <w:szCs w:val="12"/>
          <w:color w:val="auto"/>
        </w:rPr>
        <w:t>.”</w:t>
      </w:r>
    </w:p>
    <w:p>
      <w:pPr>
        <w:spacing w:after="0" w:line="94" w:lineRule="exact"/>
        <w:rPr>
          <w:sz w:val="20"/>
          <w:szCs w:val="20"/>
          <w:color w:val="auto"/>
        </w:rPr>
      </w:pPr>
    </w:p>
    <w:p>
      <w:pPr>
        <w:ind w:left="360" w:right="499" w:firstLine="331"/>
        <w:spacing w:after="0" w:line="302" w:lineRule="auto"/>
        <w:rPr>
          <w:sz w:val="20"/>
          <w:szCs w:val="20"/>
          <w:color w:val="auto"/>
        </w:rPr>
      </w:pPr>
      <w:r>
        <w:rPr>
          <w:rFonts w:ascii="Arial" w:cs="Arial" w:eastAsia="Arial" w:hAnsi="Arial"/>
          <w:sz w:val="12"/>
          <w:szCs w:val="12"/>
          <w:color w:val="auto"/>
        </w:rPr>
        <w:t>Notwithstanding the legal form of the Business Combination pursuant to the Business Combination Agreement, the Business Combination is accounted for as a reverse recapitalization in accordance with GAAP. Under this method of accounting, Kensington is treated as the acquired company and QuantumScape is treated as the acquirer for financial statement reporting purposes. Legacy QuantumScape has been determined to be the accounting acquirer based on evaluation of the following facts and circumstances:</w:t>
      </w:r>
    </w:p>
    <w:p>
      <w:pPr>
        <w:spacing w:after="0" w:line="46" w:lineRule="exact"/>
        <w:rPr>
          <w:sz w:val="20"/>
          <w:szCs w:val="20"/>
          <w:color w:val="auto"/>
        </w:rPr>
      </w:pPr>
    </w:p>
    <w:p>
      <w:pPr>
        <w:ind w:left="1100" w:right="839" w:hanging="331"/>
        <w:spacing w:after="0" w:line="259" w:lineRule="auto"/>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Legacy QuantumScape’s existing stockholders have the greatest voting interest in the combined entity with over 95% of the voting interest;</w:t>
      </w:r>
    </w:p>
    <w:p>
      <w:pPr>
        <w:spacing w:after="0" w:line="68" w:lineRule="exact"/>
        <w:rPr>
          <w:rFonts w:ascii="Arial" w:cs="Arial" w:eastAsia="Arial" w:hAnsi="Arial"/>
          <w:sz w:val="14"/>
          <w:szCs w:val="14"/>
          <w:color w:val="auto"/>
        </w:rPr>
      </w:pPr>
    </w:p>
    <w:p>
      <w:pPr>
        <w:ind w:left="1100" w:hanging="331"/>
        <w:spacing w:after="0"/>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Legacy QuantumScape’s directors represent the majority of the combined company’s board of directors;</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Legacy QuantumScape’s senior management is the senior management of the combined company; and</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Legacy QuantumScape is the larger entity based on historical operating activity and has the larger employee base.</w:t>
      </w:r>
    </w:p>
    <w:p>
      <w:pPr>
        <w:spacing w:after="0" w:line="164" w:lineRule="exact"/>
        <w:rPr>
          <w:sz w:val="20"/>
          <w:szCs w:val="20"/>
          <w:color w:val="auto"/>
        </w:rPr>
      </w:pPr>
    </w:p>
    <w:p>
      <w:pPr>
        <w:ind w:left="360" w:right="379" w:firstLine="331"/>
        <w:spacing w:after="0" w:line="302" w:lineRule="auto"/>
        <w:rPr>
          <w:sz w:val="20"/>
          <w:szCs w:val="20"/>
          <w:color w:val="auto"/>
        </w:rPr>
      </w:pPr>
      <w:r>
        <w:rPr>
          <w:rFonts w:ascii="Arial" w:cs="Arial" w:eastAsia="Arial" w:hAnsi="Arial"/>
          <w:sz w:val="12"/>
          <w:szCs w:val="12"/>
          <w:color w:val="auto"/>
        </w:rPr>
        <w:t>Pursuant to Kensington’s Existing Certificate of Incorporation, public stockholders were offered the opportunity to redeem, upon the closing of the Business Combination, shares of Kensington Common Stock then held by them for cash equal to their pro rata share of the aggregate amount on deposit (as of two business days prior to the Closing) in the Trust Account. The unaudited condensed combined pro forma financial statements reflect actual redemptions of 15,255 shares of Kensington Common Stock at $10.00 per share.</w:t>
      </w:r>
    </w:p>
    <w:p>
      <w:pPr>
        <w:spacing w:after="0" w:line="117" w:lineRule="exact"/>
        <w:rPr>
          <w:sz w:val="20"/>
          <w:szCs w:val="20"/>
          <w:color w:val="auto"/>
        </w:rPr>
      </w:pPr>
    </w:p>
    <w:p>
      <w:pPr>
        <w:ind w:left="360" w:right="539" w:firstLine="331"/>
        <w:spacing w:after="0" w:line="292" w:lineRule="auto"/>
        <w:rPr>
          <w:sz w:val="20"/>
          <w:szCs w:val="20"/>
          <w:color w:val="auto"/>
        </w:rPr>
      </w:pPr>
      <w:r>
        <w:rPr>
          <w:rFonts w:ascii="Arial" w:cs="Arial" w:eastAsia="Arial" w:hAnsi="Arial"/>
          <w:sz w:val="12"/>
          <w:szCs w:val="12"/>
          <w:color w:val="auto"/>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occurred on the dates indicated. Further, the unaudited pro forma condensed combined financial statements do not purport to project the future operating results or financial position of the Company following the completion of the Business Combination.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241" w:right="1440"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79310" cy="19050"/>
                    </a:xfrm>
                    <a:prstGeom prst="rect">
                      <a:avLst/>
                    </a:prstGeom>
                    <a:noFill/>
                  </pic:spPr>
                </pic:pic>
              </a:graphicData>
            </a:graphic>
          </wp:anchor>
        </w:drawing>
        <w:t>UNAUDITED PRO FORMA CONDENSED COMBINED BALANCE SHEET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OF SEPTEMBER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53"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3"/>
              </w:rPr>
              <w:t>Series 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jc w:val="center"/>
              <w:ind w:right="180"/>
              <w:spacing w:after="0" w:line="112" w:lineRule="exact"/>
              <w:rPr>
                <w:sz w:val="20"/>
                <w:szCs w:val="20"/>
                <w:color w:val="auto"/>
              </w:rPr>
            </w:pPr>
            <w:r>
              <w:rPr>
                <w:rFonts w:ascii="Arial" w:cs="Arial" w:eastAsia="Arial" w:hAnsi="Arial"/>
                <w:sz w:val="11"/>
                <w:szCs w:val="11"/>
                <w:b w:val="1"/>
                <w:bCs w:val="1"/>
                <w:color w:val="auto"/>
                <w:w w:val="89"/>
              </w:rPr>
              <w:t>Preferred</w:t>
            </w:r>
          </w:p>
        </w:tc>
        <w:tc>
          <w:tcPr>
            <w:tcW w:w="14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7"/>
              </w:rPr>
              <w:t>As of</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gridSpan w:val="2"/>
          </w:tcPr>
          <w:p>
            <w:pPr>
              <w:jc w:val="center"/>
              <w:ind w:right="160"/>
              <w:spacing w:after="0" w:line="112" w:lineRule="exact"/>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1"/>
                <w:szCs w:val="11"/>
                <w:b w:val="1"/>
                <w:bCs w:val="1"/>
                <w:color w:val="auto"/>
              </w:rPr>
              <w:t>As of September 30, 2020</w:t>
            </w:r>
          </w:p>
        </w:tc>
        <w:tc>
          <w:tcPr>
            <w:tcW w:w="76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8"/>
              </w:rPr>
              <w:t>Pro Forma</w:t>
            </w:r>
          </w:p>
        </w:tc>
        <w:tc>
          <w:tcPr>
            <w:tcW w:w="42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Financing</w:t>
            </w:r>
          </w:p>
        </w:tc>
        <w:tc>
          <w:tcPr>
            <w:tcW w:w="9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7"/>
              </w:rPr>
              <w:t>September 30, 2020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Borders>
              <w:top w:val="single" w:sz="8" w:color="auto"/>
            </w:tcBorders>
            <w:gridSpan w:val="3"/>
          </w:tcPr>
          <w:p>
            <w:pPr>
              <w:spacing w:after="0" w:line="85" w:lineRule="exact"/>
              <w:rPr>
                <w:sz w:val="20"/>
                <w:szCs w:val="20"/>
                <w:color w:val="auto"/>
              </w:rPr>
            </w:pPr>
            <w:r>
              <w:rPr>
                <w:rFonts w:ascii="Arial" w:cs="Arial" w:eastAsia="Arial" w:hAnsi="Arial"/>
                <w:sz w:val="9"/>
                <w:szCs w:val="9"/>
                <w:b w:val="1"/>
                <w:bCs w:val="1"/>
                <w:color w:val="auto"/>
              </w:rPr>
              <w:t>KENSINGTON</w:t>
            </w:r>
          </w:p>
        </w:tc>
        <w:tc>
          <w:tcPr>
            <w:tcW w:w="14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spacing w:after="0" w:line="85" w:lineRule="exact"/>
              <w:rPr>
                <w:sz w:val="20"/>
                <w:szCs w:val="20"/>
                <w:color w:val="auto"/>
              </w:rPr>
            </w:pPr>
            <w:r>
              <w:rPr>
                <w:rFonts w:ascii="Arial" w:cs="Arial" w:eastAsia="Arial" w:hAnsi="Arial"/>
                <w:sz w:val="9"/>
                <w:szCs w:val="9"/>
                <w:b w:val="1"/>
                <w:bCs w:val="1"/>
                <w:color w:val="auto"/>
              </w:rPr>
              <w:t>QUANTUMSCAPE</w:t>
            </w:r>
          </w:p>
        </w:tc>
        <w:tc>
          <w:tcPr>
            <w:tcW w:w="220" w:type="dxa"/>
            <w:vAlign w:val="bottom"/>
          </w:tcPr>
          <w:p>
            <w:pPr>
              <w:spacing w:after="0"/>
              <w:rPr>
                <w:sz w:val="7"/>
                <w:szCs w:val="7"/>
                <w:color w:val="auto"/>
              </w:rPr>
            </w:pPr>
          </w:p>
        </w:tc>
        <w:tc>
          <w:tcPr>
            <w:tcW w:w="760" w:type="dxa"/>
            <w:vAlign w:val="bottom"/>
            <w:gridSpan w:val="3"/>
          </w:tcPr>
          <w:p>
            <w:pPr>
              <w:ind w:left="20"/>
              <w:spacing w:after="0" w:line="85" w:lineRule="exact"/>
              <w:rPr>
                <w:sz w:val="20"/>
                <w:szCs w:val="20"/>
                <w:color w:val="auto"/>
              </w:rPr>
            </w:pPr>
            <w:r>
              <w:rPr>
                <w:rFonts w:ascii="Arial" w:cs="Arial" w:eastAsia="Arial" w:hAnsi="Arial"/>
                <w:sz w:val="9"/>
                <w:szCs w:val="9"/>
                <w:b w:val="1"/>
                <w:bCs w:val="1"/>
                <w:color w:val="auto"/>
              </w:rPr>
              <w:t>Adjustments</w:t>
            </w:r>
          </w:p>
        </w:tc>
        <w:tc>
          <w:tcPr>
            <w:tcW w:w="420" w:type="dxa"/>
            <w:vAlign w:val="bottom"/>
          </w:tcPr>
          <w:p>
            <w:pPr>
              <w:spacing w:after="0"/>
              <w:rPr>
                <w:sz w:val="7"/>
                <w:szCs w:val="7"/>
                <w:color w:val="auto"/>
              </w:rPr>
            </w:pPr>
          </w:p>
        </w:tc>
        <w:tc>
          <w:tcPr>
            <w:tcW w:w="74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auto"/>
              </w:rPr>
              <w:t>Adjustment</w:t>
            </w:r>
          </w:p>
        </w:tc>
        <w:tc>
          <w:tcPr>
            <w:tcW w:w="1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center"/>
              <w:ind w:right="74"/>
              <w:spacing w:after="0" w:line="85" w:lineRule="exact"/>
              <w:rPr>
                <w:sz w:val="20"/>
                <w:szCs w:val="20"/>
                <w:color w:val="auto"/>
              </w:rPr>
            </w:pPr>
            <w:r>
              <w:rPr>
                <w:rFonts w:ascii="Arial" w:cs="Arial" w:eastAsia="Arial" w:hAnsi="Arial"/>
                <w:sz w:val="9"/>
                <w:szCs w:val="9"/>
                <w:b w:val="1"/>
                <w:bCs w:val="1"/>
                <w:color w:val="auto"/>
              </w:rPr>
              <w:t>Pro Forma</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3"/>
              </w:rPr>
              <w:t>(Historical)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(Historical)</w:t>
            </w: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7"/>
              </w:rPr>
              <w:t>(Note 2)</w:t>
            </w:r>
          </w:p>
        </w:tc>
        <w:tc>
          <w:tcPr>
            <w:tcW w:w="42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(Note 3)</w:t>
            </w:r>
          </w:p>
        </w:tc>
        <w:tc>
          <w:tcPr>
            <w:tcW w:w="140" w:type="dxa"/>
            <w:vAlign w:val="bottom"/>
          </w:tcPr>
          <w:p>
            <w:pPr>
              <w:spacing w:after="0"/>
              <w:rPr>
                <w:sz w:val="11"/>
                <w:szCs w:val="11"/>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20" w:type="dxa"/>
            <w:vAlign w:val="bottom"/>
            <w:gridSpan w:val="2"/>
          </w:tcPr>
          <w:p>
            <w:pPr>
              <w:ind w:left="14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1,003</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10,573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230,076</w:t>
            </w:r>
          </w:p>
        </w:tc>
        <w:tc>
          <w:tcPr>
            <w:tcW w:w="420" w:type="dxa"/>
            <w:vAlign w:val="bottom"/>
          </w:tcPr>
          <w:p>
            <w:pPr>
              <w:jc w:val="center"/>
              <w:spacing w:after="0"/>
              <w:rPr>
                <w:sz w:val="20"/>
                <w:szCs w:val="20"/>
                <w:color w:val="auto"/>
              </w:rPr>
            </w:pPr>
            <w:r>
              <w:rPr>
                <w:rFonts w:ascii="Arial" w:cs="Arial" w:eastAsia="Arial" w:hAnsi="Arial"/>
                <w:sz w:val="14"/>
                <w:szCs w:val="14"/>
                <w:color w:val="auto"/>
                <w:w w:val="81"/>
              </w:rPr>
              <w:t>(a)</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$ 100,000</w:t>
            </w:r>
          </w:p>
        </w:tc>
        <w:tc>
          <w:tcPr>
            <w:tcW w:w="18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967,817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(8,050)</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(b)</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(24,602)</w:t>
            </w:r>
          </w:p>
        </w:tc>
        <w:tc>
          <w:tcPr>
            <w:tcW w:w="420" w:type="dxa"/>
            <w:vAlign w:val="bottom"/>
          </w:tcPr>
          <w:p>
            <w:pPr>
              <w:jc w:val="center"/>
              <w:spacing w:after="0"/>
              <w:rPr>
                <w:sz w:val="20"/>
                <w:szCs w:val="20"/>
                <w:color w:val="auto"/>
              </w:rPr>
            </w:pPr>
            <w:r>
              <w:rPr>
                <w:rFonts w:ascii="Arial" w:cs="Arial" w:eastAsia="Arial" w:hAnsi="Arial"/>
                <w:sz w:val="14"/>
                <w:szCs w:val="14"/>
                <w:color w:val="auto"/>
                <w:w w:val="85"/>
              </w:rPr>
              <w:t>(c)</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482,500</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420" w:type="dxa"/>
            <w:vAlign w:val="bottom"/>
          </w:tcPr>
          <w:p>
            <w:pPr>
              <w:jc w:val="center"/>
              <w:spacing w:after="0"/>
              <w:rPr>
                <w:sz w:val="20"/>
                <w:szCs w:val="20"/>
                <w:color w:val="auto"/>
              </w:rPr>
            </w:pPr>
            <w:r>
              <w:rPr>
                <w:rFonts w:ascii="Arial" w:cs="Arial" w:eastAsia="Arial" w:hAnsi="Arial"/>
                <w:sz w:val="14"/>
                <w:szCs w:val="14"/>
                <w:color w:val="auto"/>
              </w:rPr>
              <w:t>(f)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176,470</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(g)</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Marketable 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69,469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69,469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81,788</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856,241</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100,000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1,039,318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Investments held in Trust Account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230,076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(230,076)</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(a)</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34,654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34,654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Right-of-use lease asset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12,027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12,027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(4,083)</w:t>
            </w:r>
          </w:p>
        </w:tc>
        <w:tc>
          <w:tcPr>
            <w:tcW w:w="420" w:type="dxa"/>
            <w:vAlign w:val="bottom"/>
          </w:tcPr>
          <w:p>
            <w:pPr>
              <w:jc w:val="center"/>
              <w:spacing w:after="0"/>
              <w:rPr>
                <w:sz w:val="20"/>
                <w:szCs w:val="20"/>
                <w:color w:val="auto"/>
              </w:rPr>
            </w:pPr>
            <w:r>
              <w:rPr>
                <w:rFonts w:ascii="Arial" w:cs="Arial" w:eastAsia="Arial" w:hAnsi="Arial"/>
                <w:sz w:val="14"/>
                <w:szCs w:val="14"/>
                <w:color w:val="auto"/>
                <w:w w:val="85"/>
              </w:rPr>
              <w:t>(c)</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231,365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135,066</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622,082</w:t>
            </w: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1,088,513</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4,733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(993)</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(c)</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1,156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2,682</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(1,907)</w:t>
            </w:r>
          </w:p>
        </w:tc>
        <w:tc>
          <w:tcPr>
            <w:tcW w:w="420" w:type="dxa"/>
            <w:vAlign w:val="bottom"/>
          </w:tcPr>
          <w:p>
            <w:pPr>
              <w:jc w:val="center"/>
              <w:spacing w:after="0"/>
              <w:rPr>
                <w:sz w:val="20"/>
                <w:szCs w:val="20"/>
                <w:color w:val="auto"/>
              </w:rPr>
            </w:pPr>
            <w:r>
              <w:rPr>
                <w:rFonts w:ascii="Arial" w:cs="Arial" w:eastAsia="Arial" w:hAnsi="Arial"/>
                <w:sz w:val="14"/>
                <w:szCs w:val="14"/>
                <w:color w:val="auto"/>
                <w:w w:val="85"/>
              </w:rPr>
              <w:t>(c)</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Accrued compensation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1,417</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Operating lease liability, short-term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1,184</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Strategic premium, short-term</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655</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Franchise tax payable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Note payable—related party</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(k)</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10,671</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(2,975)</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liability, long-term</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11,558</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Convertible preferred stock warrant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10,807</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10,807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Strategic premium, long-term and other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Convertible preferred stock tranche liabilities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347,120</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(168,180)</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(g)</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(178,940)</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Deferred underwriting commissions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8,050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(8,050)</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(b)</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9,387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380,320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3"/>
              </w:rPr>
              <w:t>(358,145)</w:t>
            </w:r>
          </w:p>
        </w:tc>
        <w:tc>
          <w:tcPr>
            <w:tcW w:w="4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31,562</w:t>
            </w:r>
          </w:p>
        </w:tc>
        <w:tc>
          <w:tcPr>
            <w:tcW w:w="0" w:type="dxa"/>
            <w:vAlign w:val="bottom"/>
          </w:tcPr>
          <w:p>
            <w:pPr>
              <w:spacing w:after="0"/>
              <w:rPr>
                <w:sz w:val="1"/>
                <w:szCs w:val="1"/>
                <w:color w:val="auto"/>
              </w:rPr>
            </w:pPr>
          </w:p>
        </w:tc>
      </w:tr>
      <w:tr>
        <w:trPr>
          <w:trHeight w:val="162"/>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contingencies</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w w:val="89"/>
              </w:rPr>
              <w:t>Class A common shares subject to possible redemption</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216,977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(216,977)</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Redeemable convertible preferred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405,575</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344,650</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(g)</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(750,225)</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Class A 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(d)</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jc w:val="center"/>
              <w:spacing w:after="0"/>
              <w:rPr>
                <w:sz w:val="20"/>
                <w:szCs w:val="20"/>
                <w:color w:val="auto"/>
              </w:rPr>
            </w:pPr>
            <w:r>
              <w:rPr>
                <w:rFonts w:ascii="Arial" w:cs="Arial" w:eastAsia="Arial" w:hAnsi="Arial"/>
                <w:sz w:val="14"/>
                <w:szCs w:val="14"/>
                <w:color w:val="auto"/>
              </w:rPr>
              <w:t>(f)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(j)</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Class B common Stock</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(i)</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(j)</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(i)</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6,525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52,650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(25,785)</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(c)</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99,998</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1,756,205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482,495</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216,975</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1"/>
              </w:rPr>
              <w:t>(e)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420" w:type="dxa"/>
            <w:vAlign w:val="bottom"/>
          </w:tcPr>
          <w:p>
            <w:pPr>
              <w:jc w:val="center"/>
              <w:spacing w:after="0"/>
              <w:rPr>
                <w:sz w:val="20"/>
                <w:szCs w:val="20"/>
                <w:color w:val="auto"/>
              </w:rPr>
            </w:pPr>
            <w:r>
              <w:rPr>
                <w:rFonts w:ascii="Arial" w:cs="Arial" w:eastAsia="Arial" w:hAnsi="Arial"/>
                <w:sz w:val="14"/>
                <w:szCs w:val="14"/>
                <w:color w:val="auto"/>
              </w:rPr>
              <w:t>(f)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(4,189)</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(h)</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750,199</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(i)</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(k)</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(1,525)</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178,940</w:t>
            </w:r>
          </w:p>
        </w:tc>
        <w:tc>
          <w:tcPr>
            <w:tcW w:w="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(m)</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(4,189)</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4,189</w:t>
            </w:r>
          </w:p>
        </w:tc>
        <w:tc>
          <w:tcPr>
            <w:tcW w:w="420" w:type="dxa"/>
            <w:vAlign w:val="bottom"/>
          </w:tcPr>
          <w:p>
            <w:pPr>
              <w:jc w:val="center"/>
              <w:spacing w:after="0"/>
              <w:rPr>
                <w:sz w:val="20"/>
                <w:szCs w:val="20"/>
                <w:color w:val="auto"/>
              </w:rPr>
            </w:pPr>
            <w:r>
              <w:rPr>
                <w:rFonts w:ascii="Arial" w:cs="Arial" w:eastAsia="Arial" w:hAnsi="Arial"/>
                <w:sz w:val="14"/>
                <w:szCs w:val="14"/>
                <w:color w:val="auto"/>
                <w:w w:val="93"/>
              </w:rPr>
              <w:t>(h)</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Accumulated deficit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(701,034)</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1,525</w:t>
            </w:r>
          </w:p>
        </w:tc>
        <w:tc>
          <w:tcPr>
            <w:tcW w:w="420" w:type="dxa"/>
            <w:vAlign w:val="bottom"/>
          </w:tcPr>
          <w:p>
            <w:pPr>
              <w:jc w:val="center"/>
              <w:spacing w:after="0"/>
              <w:rPr>
                <w:sz w:val="20"/>
                <w:szCs w:val="20"/>
                <w:color w:val="auto"/>
              </w:rPr>
            </w:pPr>
            <w:r>
              <w:rPr>
                <w:rFonts w:ascii="Arial" w:cs="Arial" w:eastAsia="Arial" w:hAnsi="Arial"/>
                <w:sz w:val="14"/>
                <w:szCs w:val="14"/>
                <w:color w:val="auto"/>
                <w:w w:val="96"/>
              </w:rPr>
              <w:t>(l)</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(701,034)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00" w:type="dxa"/>
            <w:vAlign w:val="bottom"/>
            <w:shd w:val="clear" w:color="auto" w:fill="CCEEFF"/>
          </w:tcPr>
          <w:p>
            <w:pPr>
              <w:spacing w:after="0" w:line="150" w:lineRule="exact"/>
              <w:rPr>
                <w:sz w:val="20"/>
                <w:szCs w:val="20"/>
                <w:color w:val="auto"/>
              </w:rPr>
            </w:pPr>
            <w:r>
              <w:rPr>
                <w:rFonts w:ascii="Arial" w:cs="Arial" w:eastAsia="Arial" w:hAnsi="Arial"/>
                <w:sz w:val="14"/>
                <w:szCs w:val="14"/>
                <w:b w:val="1"/>
                <w:bCs w:val="1"/>
                <w:color w:val="auto"/>
              </w:rPr>
              <w:t>Total stockholders’ equity (deficit) to common</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(652,533)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1,602,779</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1,055,247</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1,704</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stockholders’ equity (deficit)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(650,829)</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3"/>
              </w:rPr>
              <w:t>1,602,779</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1,056,951</w:t>
            </w:r>
          </w:p>
        </w:tc>
        <w:tc>
          <w:tcPr>
            <w:tcW w:w="0" w:type="dxa"/>
            <w:vAlign w:val="bottom"/>
          </w:tcPr>
          <w:p>
            <w:pPr>
              <w:spacing w:after="0"/>
              <w:rPr>
                <w:sz w:val="1"/>
                <w:szCs w:val="1"/>
                <w:color w:val="auto"/>
              </w:rPr>
            </w:pPr>
          </w:p>
        </w:tc>
      </w:tr>
      <w:tr>
        <w:trPr>
          <w:trHeight w:val="163"/>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231,365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135,066</w:t>
            </w: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622,082</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$ 100,000</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1,088,513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9" w:right="1440" w:bottom="1440" w:gutter="0" w:footer="0" w:header="0"/>
        </w:sectPr>
      </w:pPr>
    </w:p>
    <w:bookmarkStart w:id="168" w:name="page169"/>
    <w:bookmarkEnd w:id="168"/>
    <w:p>
      <w:pPr>
        <w:jc w:val="center"/>
        <w:ind w:left="360" w:right="379"/>
        <w:spacing w:after="0" w:line="252"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7179310" cy="19050"/>
                    </a:xfrm>
                    <a:prstGeom prst="rect">
                      <a:avLst/>
                    </a:prstGeom>
                    <a:noFill/>
                  </pic:spPr>
                </pic:pic>
              </a:graphicData>
            </a:graphic>
          </wp:anchor>
        </w:drawing>
        <w:t>UNAUDITED PRO FORMA CONDENSED COMBINED STATEMENT OF OPERATIONS FOR THE NINE MONTHS ENDED SEPTEMBER 30, 2020 (in thousands, except share and per share data)</w:t>
      </w:r>
    </w:p>
    <w:p>
      <w:pPr>
        <w:spacing w:after="0" w:line="144"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1"/>
              </w:rPr>
              <w:t>For the period</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380"/>
              <w:spacing w:after="0" w:line="112" w:lineRule="exact"/>
              <w:rPr>
                <w:sz w:val="20"/>
                <w:szCs w:val="20"/>
                <w:color w:val="auto"/>
              </w:rPr>
            </w:pPr>
            <w:r>
              <w:rPr>
                <w:rFonts w:ascii="Arial" w:cs="Arial" w:eastAsia="Arial" w:hAnsi="Arial"/>
                <w:sz w:val="11"/>
                <w:szCs w:val="11"/>
                <w:b w:val="1"/>
                <w:bCs w:val="1"/>
                <w:color w:val="auto"/>
                <w:w w:val="97"/>
              </w:rPr>
              <w:t>from</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0"/>
              </w:rPr>
              <w:t>Nine Months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380"/>
              <w:spacing w:after="0" w:line="112" w:lineRule="exact"/>
              <w:rPr>
                <w:sz w:val="20"/>
                <w:szCs w:val="20"/>
                <w:color w:val="auto"/>
              </w:rPr>
            </w:pPr>
            <w:r>
              <w:rPr>
                <w:rFonts w:ascii="Arial" w:cs="Arial" w:eastAsia="Arial" w:hAnsi="Arial"/>
                <w:sz w:val="11"/>
                <w:szCs w:val="11"/>
                <w:b w:val="1"/>
                <w:bCs w:val="1"/>
                <w:color w:val="auto"/>
                <w:w w:val="90"/>
              </w:rPr>
              <w:t>April 17, 2020</w:t>
            </w: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400"/>
              <w:spacing w:after="0" w:line="112" w:lineRule="exact"/>
              <w:rPr>
                <w:sz w:val="20"/>
                <w:szCs w:val="20"/>
                <w:color w:val="auto"/>
              </w:rPr>
            </w:pPr>
            <w:r>
              <w:rPr>
                <w:rFonts w:ascii="Arial" w:cs="Arial" w:eastAsia="Arial" w:hAnsi="Arial"/>
                <w:sz w:val="11"/>
                <w:szCs w:val="11"/>
                <w:b w:val="1"/>
                <w:bCs w:val="1"/>
                <w:color w:val="auto"/>
                <w:w w:val="88"/>
              </w:rPr>
              <w:t>(inception)</w:t>
            </w:r>
          </w:p>
        </w:tc>
        <w:tc>
          <w:tcPr>
            <w:tcW w:w="11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Nine Months Ended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tcPr>
          <w:p>
            <w:pPr>
              <w:jc w:val="center"/>
              <w:ind w:right="140"/>
              <w:spacing w:after="0" w:line="11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380"/>
              <w:spacing w:after="0" w:line="112" w:lineRule="exact"/>
              <w:rPr>
                <w:sz w:val="20"/>
                <w:szCs w:val="20"/>
                <w:color w:val="auto"/>
              </w:rPr>
            </w:pPr>
            <w:r>
              <w:rPr>
                <w:rFonts w:ascii="Arial" w:cs="Arial" w:eastAsia="Arial" w:hAnsi="Arial"/>
                <w:sz w:val="11"/>
                <w:szCs w:val="11"/>
                <w:b w:val="1"/>
                <w:bCs w:val="1"/>
                <w:color w:val="auto"/>
                <w:w w:val="86"/>
              </w:rPr>
              <w:t>through</w:t>
            </w:r>
          </w:p>
        </w:tc>
        <w:tc>
          <w:tcPr>
            <w:tcW w:w="11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gridSpan w:val="2"/>
          </w:tcPr>
          <w:p>
            <w:pPr>
              <w:jc w:val="center"/>
              <w:ind w:right="120"/>
              <w:spacing w:after="0" w:line="112" w:lineRule="exact"/>
              <w:rPr>
                <w:sz w:val="20"/>
                <w:szCs w:val="20"/>
                <w:color w:val="auto"/>
              </w:rPr>
            </w:pPr>
            <w:r>
              <w:rPr>
                <w:rFonts w:ascii="Arial" w:cs="Arial" w:eastAsia="Arial" w:hAnsi="Arial"/>
                <w:sz w:val="11"/>
                <w:szCs w:val="11"/>
                <w:b w:val="1"/>
                <w:bCs w:val="1"/>
                <w:color w:val="auto"/>
                <w:w w:val="85"/>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7"/>
              </w:rPr>
              <w:t>September 30, 2020</w:t>
            </w:r>
          </w:p>
        </w:tc>
        <w:tc>
          <w:tcPr>
            <w:tcW w:w="1120" w:type="dxa"/>
            <w:vAlign w:val="bottom"/>
            <w:gridSpan w:val="3"/>
          </w:tcPr>
          <w:p>
            <w:pPr>
              <w:ind w:left="20"/>
              <w:spacing w:after="0"/>
              <w:rPr>
                <w:sz w:val="20"/>
                <w:szCs w:val="20"/>
                <w:color w:val="auto"/>
              </w:rPr>
            </w:pPr>
            <w:r>
              <w:rPr>
                <w:rFonts w:ascii="Arial" w:cs="Arial" w:eastAsia="Arial" w:hAnsi="Arial"/>
                <w:sz w:val="11"/>
                <w:szCs w:val="11"/>
                <w:b w:val="1"/>
                <w:bCs w:val="1"/>
                <w:color w:val="auto"/>
              </w:rPr>
              <w:t>September 30, 2020</w:t>
            </w:r>
          </w:p>
        </w:tc>
        <w:tc>
          <w:tcPr>
            <w:tcW w:w="140" w:type="dxa"/>
            <w:vAlign w:val="bottom"/>
          </w:tcPr>
          <w:p>
            <w:pPr>
              <w:spacing w:after="0"/>
              <w:rPr>
                <w:sz w:val="11"/>
                <w:szCs w:val="11"/>
                <w:color w:val="auto"/>
              </w:rPr>
            </w:pPr>
          </w:p>
        </w:tc>
        <w:tc>
          <w:tcPr>
            <w:tcW w:w="780" w:type="dxa"/>
            <w:vAlign w:val="bottom"/>
            <w:gridSpan w:val="3"/>
            <w:vMerge w:val="restart"/>
          </w:tcPr>
          <w:p>
            <w:pPr>
              <w:jc w:val="right"/>
              <w:ind w:right="240"/>
              <w:spacing w:after="0"/>
              <w:rPr>
                <w:sz w:val="20"/>
                <w:szCs w:val="20"/>
                <w:color w:val="auto"/>
              </w:rPr>
            </w:pPr>
            <w:r>
              <w:rPr>
                <w:rFonts w:ascii="Arial" w:cs="Arial" w:eastAsia="Arial" w:hAnsi="Arial"/>
                <w:sz w:val="11"/>
                <w:szCs w:val="11"/>
                <w:b w:val="1"/>
                <w:bCs w:val="1"/>
                <w:color w:val="auto"/>
                <w:w w:val="94"/>
              </w:rPr>
              <w:t>Pro Forma</w:t>
            </w:r>
          </w:p>
        </w:tc>
        <w:tc>
          <w:tcPr>
            <w:tcW w:w="6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9"/>
              </w:rPr>
              <w:t>2020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5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rPr>
              <w:t>KENSINGTON</w:t>
            </w:r>
          </w:p>
        </w:tc>
        <w:tc>
          <w:tcPr>
            <w:tcW w:w="320" w:type="dxa"/>
            <w:vAlign w:val="bottom"/>
          </w:tcPr>
          <w:p>
            <w:pPr>
              <w:spacing w:after="0"/>
              <w:rPr>
                <w:sz w:val="7"/>
                <w:szCs w:val="7"/>
                <w:color w:val="auto"/>
              </w:rPr>
            </w:pPr>
          </w:p>
        </w:tc>
        <w:tc>
          <w:tcPr>
            <w:tcW w:w="940" w:type="dxa"/>
            <w:vAlign w:val="bottom"/>
            <w:tcBorders>
              <w:top w:val="single" w:sz="8" w:color="auto"/>
            </w:tcBorders>
            <w:gridSpan w:val="2"/>
          </w:tcPr>
          <w:p>
            <w:pPr>
              <w:spacing w:after="0" w:line="85" w:lineRule="exact"/>
              <w:rPr>
                <w:sz w:val="20"/>
                <w:szCs w:val="20"/>
                <w:color w:val="auto"/>
              </w:rPr>
            </w:pPr>
            <w:r>
              <w:rPr>
                <w:rFonts w:ascii="Arial" w:cs="Arial" w:eastAsia="Arial" w:hAnsi="Arial"/>
                <w:sz w:val="9"/>
                <w:szCs w:val="9"/>
                <w:b w:val="1"/>
                <w:bCs w:val="1"/>
                <w:color w:val="auto"/>
              </w:rPr>
              <w:t>QUANTUMSCAPE</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Borders>
              <w:top w:val="single" w:sz="8" w:color="auto"/>
            </w:tcBorders>
          </w:tcPr>
          <w:p>
            <w:pPr>
              <w:jc w:val="center"/>
              <w:spacing w:after="0" w:line="85" w:lineRule="exact"/>
              <w:rPr>
                <w:sz w:val="20"/>
                <w:szCs w:val="20"/>
                <w:color w:val="auto"/>
              </w:rPr>
            </w:pPr>
            <w:r>
              <w:rPr>
                <w:rFonts w:ascii="Arial" w:cs="Arial" w:eastAsia="Arial" w:hAnsi="Arial"/>
                <w:sz w:val="9"/>
                <w:szCs w:val="9"/>
                <w:b w:val="1"/>
                <w:bCs w:val="1"/>
                <w:color w:val="auto"/>
              </w:rPr>
              <w:t>Pro Forma</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0"/>
              </w:rPr>
              <w:t>(Historical)</w:t>
            </w:r>
          </w:p>
        </w:tc>
        <w:tc>
          <w:tcPr>
            <w:tcW w:w="140" w:type="dxa"/>
            <w:vAlign w:val="bottom"/>
          </w:tcPr>
          <w:p>
            <w:pPr>
              <w:spacing w:after="0"/>
              <w:rPr>
                <w:sz w:val="11"/>
                <w:szCs w:val="11"/>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(Historical)</w:t>
            </w:r>
          </w:p>
        </w:tc>
        <w:tc>
          <w:tcPr>
            <w:tcW w:w="140" w:type="dxa"/>
            <w:vAlign w:val="bottom"/>
          </w:tcPr>
          <w:p>
            <w:pPr>
              <w:spacing w:after="0"/>
              <w:rPr>
                <w:sz w:val="11"/>
                <w:szCs w:val="11"/>
                <w:color w:val="auto"/>
              </w:rPr>
            </w:pP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66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Operating expenses:</w:t>
            </w: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42,373</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ind w:left="600"/>
              <w:spacing w:after="0"/>
              <w:rPr>
                <w:sz w:val="20"/>
                <w:szCs w:val="20"/>
                <w:color w:val="auto"/>
              </w:rPr>
            </w:pPr>
            <w:r>
              <w:rPr>
                <w:rFonts w:ascii="Arial" w:cs="Arial" w:eastAsia="Arial" w:hAnsi="Arial"/>
                <w:sz w:val="5"/>
                <w:szCs w:val="5"/>
                <w:color w:val="auto"/>
                <w:w w:val="70"/>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42,373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1,511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w:t>
            </w:r>
          </w:p>
        </w:tc>
        <w:tc>
          <w:tcPr>
            <w:tcW w:w="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(aa)</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906</w:t>
            </w:r>
          </w:p>
        </w:tc>
        <w:tc>
          <w:tcPr>
            <w:tcW w:w="660" w:type="dxa"/>
            <w:vAlign w:val="bottom"/>
          </w:tcPr>
          <w:p>
            <w:pPr>
              <w:ind w:left="120"/>
              <w:spacing w:after="0"/>
              <w:rPr>
                <w:sz w:val="20"/>
                <w:szCs w:val="20"/>
                <w:color w:val="auto"/>
              </w:rPr>
            </w:pPr>
            <w:r>
              <w:rPr>
                <w:rFonts w:ascii="Arial" w:cs="Arial" w:eastAsia="Arial" w:hAnsi="Arial"/>
                <w:sz w:val="14"/>
                <w:szCs w:val="14"/>
                <w:color w:val="auto"/>
              </w:rPr>
              <w:t>(bb)</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(1,100)</w:t>
            </w:r>
          </w:p>
        </w:tc>
        <w:tc>
          <w:tcPr>
            <w:tcW w:w="6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(ff)</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Franchise tax expense</w:t>
            </w: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90</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Total operating expenses</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1,601</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50,833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(274)</w:t>
            </w:r>
          </w:p>
        </w:tc>
        <w:tc>
          <w:tcPr>
            <w:tcW w:w="6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52,160</w:t>
            </w:r>
          </w:p>
        </w:tc>
        <w:tc>
          <w:tcPr>
            <w:tcW w:w="0" w:type="dxa"/>
            <w:vAlign w:val="bottom"/>
          </w:tcPr>
          <w:p>
            <w:pPr>
              <w:spacing w:after="0"/>
              <w:rPr>
                <w:sz w:val="1"/>
                <w:szCs w:val="1"/>
                <w:color w:val="auto"/>
              </w:rPr>
            </w:pPr>
          </w:p>
        </w:tc>
      </w:tr>
      <w:tr>
        <w:trPr>
          <w:trHeight w:val="163"/>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Loss from operations</w:t>
            </w: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(1,601)</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(50,833)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274</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income (expense)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Net gain from investments held in Trust Account</w:t>
            </w: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(76)</w:t>
            </w:r>
          </w:p>
        </w:tc>
        <w:tc>
          <w:tcPr>
            <w:tcW w:w="660" w:type="dxa"/>
            <w:vAlign w:val="bottom"/>
          </w:tcPr>
          <w:p>
            <w:pPr>
              <w:ind w:left="140"/>
              <w:spacing w:after="0"/>
              <w:rPr>
                <w:sz w:val="20"/>
                <w:szCs w:val="20"/>
                <w:color w:val="auto"/>
              </w:rPr>
            </w:pPr>
            <w:r>
              <w:rPr>
                <w:rFonts w:ascii="Arial" w:cs="Arial" w:eastAsia="Arial" w:hAnsi="Arial"/>
                <w:sz w:val="14"/>
                <w:szCs w:val="14"/>
                <w:color w:val="auto"/>
              </w:rPr>
              <w:t>(cc)</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(8,947)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(8,947)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962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color w:val="auto"/>
              </w:rPr>
              <w:t>Other expense</w:t>
            </w:r>
          </w:p>
        </w:tc>
        <w:tc>
          <w:tcPr>
            <w:tcW w:w="8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(347,120)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168,180</w:t>
            </w:r>
          </w:p>
        </w:tc>
        <w:tc>
          <w:tcPr>
            <w:tcW w:w="660" w:type="dxa"/>
            <w:vAlign w:val="bottom"/>
          </w:tcPr>
          <w:p>
            <w:pPr>
              <w:ind w:left="120"/>
              <w:spacing w:after="0"/>
              <w:rPr>
                <w:sz w:val="20"/>
                <w:szCs w:val="20"/>
                <w:color w:val="auto"/>
              </w:rPr>
            </w:pPr>
            <w:r>
              <w:rPr>
                <w:rFonts w:ascii="Arial" w:cs="Arial" w:eastAsia="Arial" w:hAnsi="Arial"/>
                <w:sz w:val="14"/>
                <w:szCs w:val="14"/>
                <w:color w:val="auto"/>
              </w:rPr>
              <w:t>(dd)</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4"/>
              </w:rPr>
              <w:t>178,940</w:t>
            </w:r>
          </w:p>
        </w:tc>
        <w:tc>
          <w:tcPr>
            <w:tcW w:w="66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(ee)</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tcPr>
          <w:p>
            <w:pPr>
              <w:ind w:left="260"/>
              <w:spacing w:after="0"/>
              <w:rPr>
                <w:sz w:val="20"/>
                <w:szCs w:val="20"/>
                <w:color w:val="auto"/>
              </w:rPr>
            </w:pPr>
            <w:r>
              <w:rPr>
                <w:rFonts w:ascii="Arial" w:cs="Arial" w:eastAsia="Arial" w:hAnsi="Arial"/>
                <w:sz w:val="14"/>
                <w:szCs w:val="14"/>
                <w:b w:val="1"/>
                <w:bCs w:val="1"/>
                <w:color w:val="auto"/>
              </w:rPr>
              <w:t>Total other income (expense)</w:t>
            </w: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(354,345)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347,044</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Net loss</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(1,525)</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(405,178)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94"/>
              </w:rPr>
              <w:t>347,318</w:t>
            </w:r>
          </w:p>
        </w:tc>
        <w:tc>
          <w:tcPr>
            <w:tcW w:w="660" w:type="dxa"/>
            <w:vAlign w:val="bottom"/>
            <w:tcBorders>
              <w:righ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(59,385)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vMerge w:val="restart"/>
          </w:tcPr>
          <w:p>
            <w:pPr>
              <w:ind w:left="260"/>
              <w:spacing w:after="0"/>
              <w:rPr>
                <w:sz w:val="20"/>
                <w:szCs w:val="20"/>
                <w:color w:val="auto"/>
              </w:rPr>
            </w:pPr>
            <w:r>
              <w:rPr>
                <w:rFonts w:ascii="Arial" w:cs="Arial" w:eastAsia="Arial" w:hAnsi="Arial"/>
                <w:sz w:val="14"/>
                <w:szCs w:val="14"/>
                <w:color w:val="auto"/>
              </w:rPr>
              <w:t>Less: Net loss attributable to noncontrolling interest</w:t>
            </w: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Net loss attributable to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(1,525)</w:t>
            </w:r>
          </w:p>
        </w:tc>
        <w:tc>
          <w:tcPr>
            <w:tcW w:w="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(405,172)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94"/>
              </w:rPr>
              <w:t>347,318</w:t>
            </w:r>
          </w:p>
        </w:tc>
        <w:tc>
          <w:tcPr>
            <w:tcW w:w="66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5"/>
                <w:szCs w:val="5"/>
                <w:b w:val="1"/>
                <w:bCs w:val="1"/>
                <w:color w:val="auto"/>
                <w:w w:val="70"/>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(59,379)</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weighted average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80" w:type="dxa"/>
            <w:vAlign w:val="bottom"/>
          </w:tcPr>
          <w:p>
            <w:pPr>
              <w:ind w:left="120"/>
              <w:spacing w:after="0"/>
              <w:rPr>
                <w:sz w:val="20"/>
                <w:szCs w:val="20"/>
                <w:color w:val="auto"/>
              </w:rPr>
            </w:pPr>
            <w:r>
              <w:rPr>
                <w:rFonts w:ascii="Arial" w:cs="Arial" w:eastAsia="Arial" w:hAnsi="Arial"/>
                <w:sz w:val="14"/>
                <w:szCs w:val="14"/>
                <w:color w:val="auto"/>
              </w:rPr>
              <w:t>Class A and Class B</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w w:val="84"/>
              </w:rPr>
              <w:t>362,961,844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4"/>
                <w:szCs w:val="14"/>
                <w:color w:val="auto"/>
                <w:w w:val="97"/>
              </w:rPr>
              <w:t>Basic and diluted net loss per share—Class A and Class B</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9" w:right="1440" w:bottom="1440"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7179310" cy="19050"/>
                    </a:xfrm>
                    <a:prstGeom prst="rect">
                      <a:avLst/>
                    </a:prstGeom>
                    <a:noFill/>
                  </pic:spPr>
                </pic:pic>
              </a:graphicData>
            </a:graphic>
          </wp:anchor>
        </w:drawing>
        <w:t>UNAUDITED PRO FORMA CONDENSED COMBINED STATEMENT OF OPERATIONS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YEAR ENDED DECEMBER 31, 2019</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53"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jc w:val="center"/>
              <w:ind w:left="295"/>
              <w:spacing w:after="0"/>
              <w:rPr>
                <w:sz w:val="20"/>
                <w:szCs w:val="20"/>
                <w:color w:val="auto"/>
              </w:rPr>
            </w:pPr>
            <w:r>
              <w:rPr>
                <w:rFonts w:ascii="Arial" w:cs="Arial" w:eastAsia="Arial" w:hAnsi="Arial"/>
                <w:sz w:val="11"/>
                <w:szCs w:val="11"/>
                <w:b w:val="1"/>
                <w:bCs w:val="1"/>
                <w:color w:val="auto"/>
                <w:w w:val="89"/>
              </w:rPr>
              <w:t>Year Ended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gridSpan w:val="3"/>
          </w:tcPr>
          <w:p>
            <w:pPr>
              <w:jc w:val="center"/>
              <w:ind w:right="80"/>
              <w:spacing w:after="0" w:line="11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left="275"/>
              <w:spacing w:after="0"/>
              <w:rPr>
                <w:sz w:val="20"/>
                <w:szCs w:val="20"/>
                <w:color w:val="auto"/>
              </w:rPr>
            </w:pPr>
            <w:r>
              <w:rPr>
                <w:rFonts w:ascii="Arial" w:cs="Arial" w:eastAsia="Arial" w:hAnsi="Arial"/>
                <w:sz w:val="11"/>
                <w:szCs w:val="11"/>
                <w:b w:val="1"/>
                <w:bCs w:val="1"/>
                <w:color w:val="auto"/>
                <w:w w:val="88"/>
              </w:rPr>
              <w:t>December 31, 2019</w:t>
            </w: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w w:val="94"/>
              </w:rPr>
              <w:t>Pro Forma</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KENSINGTON</w:t>
            </w:r>
          </w:p>
        </w:tc>
        <w:tc>
          <w:tcPr>
            <w:tcW w:w="120" w:type="dxa"/>
            <w:vAlign w:val="bottom"/>
          </w:tcPr>
          <w:p>
            <w:pPr>
              <w:spacing w:after="0"/>
              <w:rPr>
                <w:sz w:val="7"/>
                <w:szCs w:val="7"/>
                <w:color w:val="auto"/>
              </w:rPr>
            </w:pPr>
          </w:p>
        </w:tc>
        <w:tc>
          <w:tcPr>
            <w:tcW w:w="940" w:type="dxa"/>
            <w:vAlign w:val="bottom"/>
            <w:gridSpan w:val="2"/>
          </w:tcPr>
          <w:p>
            <w:pPr>
              <w:jc w:val="right"/>
              <w:spacing w:after="0" w:line="85" w:lineRule="exact"/>
              <w:rPr>
                <w:sz w:val="20"/>
                <w:szCs w:val="20"/>
                <w:color w:val="auto"/>
              </w:rPr>
            </w:pPr>
            <w:r>
              <w:rPr>
                <w:rFonts w:ascii="Arial" w:cs="Arial" w:eastAsia="Arial" w:hAnsi="Arial"/>
                <w:sz w:val="9"/>
                <w:szCs w:val="9"/>
                <w:b w:val="1"/>
                <w:bCs w:val="1"/>
                <w:color w:val="auto"/>
              </w:rPr>
              <w:t>QUANTUMSCAPE</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jc w:val="center"/>
              <w:spacing w:after="0" w:line="85" w:lineRule="exact"/>
              <w:rPr>
                <w:sz w:val="20"/>
                <w:szCs w:val="20"/>
                <w:color w:val="auto"/>
              </w:rPr>
            </w:pPr>
            <w:r>
              <w:rPr>
                <w:rFonts w:ascii="Arial" w:cs="Arial" w:eastAsia="Arial" w:hAnsi="Arial"/>
                <w:sz w:val="9"/>
                <w:szCs w:val="9"/>
                <w:b w:val="1"/>
                <w:bCs w:val="1"/>
                <w:color w:val="auto"/>
              </w:rPr>
              <w:t>Pro Forma</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(Historical)</w:t>
            </w:r>
          </w:p>
        </w:tc>
        <w:tc>
          <w:tcPr>
            <w:tcW w:w="120" w:type="dxa"/>
            <w:vAlign w:val="bottom"/>
          </w:tcPr>
          <w:p>
            <w:pPr>
              <w:spacing w:after="0"/>
              <w:rPr>
                <w:sz w:val="11"/>
                <w:szCs w:val="11"/>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(Historical)</w:t>
            </w:r>
          </w:p>
        </w:tc>
        <w:tc>
          <w:tcPr>
            <w:tcW w:w="60" w:type="dxa"/>
            <w:vAlign w:val="bottom"/>
          </w:tcPr>
          <w:p>
            <w:pPr>
              <w:spacing w:after="0"/>
              <w:rPr>
                <w:sz w:val="11"/>
                <w:szCs w:val="11"/>
                <w:color w:val="auto"/>
              </w:rPr>
            </w:pPr>
          </w:p>
        </w:tc>
        <w:tc>
          <w:tcPr>
            <w:tcW w:w="1140" w:type="dxa"/>
            <w:vAlign w:val="bottom"/>
            <w:gridSpan w:val="3"/>
          </w:tcPr>
          <w:p>
            <w:pPr>
              <w:spacing w:after="0"/>
              <w:rPr>
                <w:sz w:val="20"/>
                <w:szCs w:val="20"/>
                <w:color w:val="auto"/>
              </w:rPr>
            </w:pPr>
            <w:r>
              <w:rPr>
                <w:rFonts w:ascii="Arial" w:cs="Arial" w:eastAsia="Arial" w:hAnsi="Arial"/>
                <w:sz w:val="11"/>
                <w:szCs w:val="11"/>
                <w:b w:val="1"/>
                <w:bCs w:val="1"/>
                <w:color w:val="auto"/>
              </w:rPr>
              <w:t>Adjustments</w:t>
            </w:r>
          </w:p>
        </w:tc>
        <w:tc>
          <w:tcPr>
            <w:tcW w:w="6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Operating expenses:</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center"/>
              <w:ind w:right="225"/>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45,944</w:t>
            </w: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45,944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1,208   (bb)</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Arial" w:cs="Arial" w:eastAsia="Arial" w:hAnsi="Arial"/>
                <w:sz w:val="14"/>
                <w:szCs w:val="14"/>
                <w:b w:val="1"/>
                <w:bCs w:val="1"/>
                <w:color w:val="auto"/>
              </w:rPr>
              <w:t>Total operating expenses</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55,818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w:t>
            </w:r>
          </w:p>
        </w:tc>
        <w:tc>
          <w:tcPr>
            <w:tcW w:w="5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57,026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Loss from operations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(55,818)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(1,208)</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(57,026)</w:t>
            </w:r>
          </w:p>
        </w:tc>
        <w:tc>
          <w:tcPr>
            <w:tcW w:w="0" w:type="dxa"/>
            <w:vAlign w:val="bottom"/>
          </w:tcPr>
          <w:p>
            <w:pPr>
              <w:spacing w:after="0"/>
              <w:rPr>
                <w:sz w:val="1"/>
                <w:szCs w:val="1"/>
                <w:color w:val="auto"/>
              </w:rPr>
            </w:pPr>
          </w:p>
        </w:tc>
      </w:tr>
      <w:tr>
        <w:trPr>
          <w:trHeight w:val="162"/>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Other income (expense)</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3,608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3,608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Arial" w:cs="Arial" w:eastAsia="Arial" w:hAnsi="Arial"/>
                <w:sz w:val="14"/>
                <w:szCs w:val="14"/>
                <w:b w:val="1"/>
                <w:bCs w:val="1"/>
                <w:color w:val="auto"/>
              </w:rPr>
              <w:t>Total other income (expense)</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Net loss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(51,263)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(1,208)</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(52,471)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ind w:left="260"/>
              <w:spacing w:after="0"/>
              <w:rPr>
                <w:sz w:val="20"/>
                <w:szCs w:val="20"/>
                <w:color w:val="auto"/>
              </w:rPr>
            </w:pPr>
            <w:r>
              <w:rPr>
                <w:rFonts w:ascii="Arial" w:cs="Arial" w:eastAsia="Arial" w:hAnsi="Arial"/>
                <w:sz w:val="14"/>
                <w:szCs w:val="14"/>
                <w:color w:val="auto"/>
              </w:rPr>
              <w:t>Less: Net loss attributable to noncontrolling 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Net loss attributable to common shareholders</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ind w:right="345"/>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8"/>
              </w:rPr>
              <w:t>(51,283)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b w:val="1"/>
                <w:bCs w:val="1"/>
                <w:color w:val="auto"/>
              </w:rPr>
              <w:t>(1,208)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(52,491)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4"/>
                <w:szCs w:val="14"/>
                <w:color w:val="auto"/>
                <w:w w:val="87"/>
              </w:rPr>
              <w:t>Basic and diluted weighted average shares outstanding—Class A and Class B</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w w:val="84"/>
              </w:rPr>
              <w:t>362,961,844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loss per share—Class A and Class B</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273"/>
        </w:trPr>
        <w:tc>
          <w:tcPr>
            <w:tcW w:w="4280" w:type="dxa"/>
            <w:vAlign w:val="bottom"/>
            <w:gridSpan w:val="2"/>
          </w:tcPr>
          <w:p>
            <w:pPr>
              <w:jc w:val="right"/>
              <w:ind w:right="3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9" w:right="1440" w:bottom="1440" w:gutter="0" w:footer="0" w:header="0"/>
        </w:sectPr>
      </w:pPr>
    </w:p>
    <w:bookmarkStart w:id="170" w:name="page171"/>
    <w:bookmarkEnd w:id="170"/>
    <w:p>
      <w:pPr>
        <w:ind w:left="360"/>
        <w:spacing w:after="0"/>
        <w:rPr>
          <w:sz w:val="20"/>
          <w:szCs w:val="20"/>
          <w:color w:val="auto"/>
        </w:rPr>
      </w:pPr>
      <w:r>
        <w:rPr>
          <w:rFonts w:ascii="Arial" w:cs="Arial" w:eastAsia="Arial" w:hAnsi="Arial"/>
          <w:sz w:val="14"/>
          <w:szCs w:val="14"/>
          <w:b w:val="1"/>
          <w:bCs w:val="1"/>
          <w:i w:val="1"/>
          <w:i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7179310" cy="19050"/>
                    </a:xfrm>
                    <a:prstGeom prst="rect">
                      <a:avLst/>
                    </a:prstGeom>
                    <a:noFill/>
                  </pic:spPr>
                </pic:pic>
              </a:graphicData>
            </a:graphic>
          </wp:anchor>
        </w:drawing>
        <w:t>Notes to Unaudited Pro Forma Condensed Combined Financial Statements</w:t>
      </w:r>
    </w:p>
    <w:p>
      <w:pPr>
        <w:spacing w:after="0" w:line="91" w:lineRule="exact"/>
        <w:rPr>
          <w:sz w:val="20"/>
          <w:szCs w:val="20"/>
          <w:color w:val="auto"/>
        </w:rPr>
      </w:pPr>
    </w:p>
    <w:p>
      <w:pPr>
        <w:ind w:left="680" w:hanging="317"/>
        <w:spacing w:after="0"/>
        <w:tabs>
          <w:tab w:leader="none" w:pos="680" w:val="left"/>
        </w:tabs>
        <w:numPr>
          <w:ilvl w:val="0"/>
          <w:numId w:val="195"/>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w:t>
      </w:r>
    </w:p>
    <w:p>
      <w:pPr>
        <w:spacing w:after="0" w:line="85" w:lineRule="exact"/>
        <w:rPr>
          <w:sz w:val="20"/>
          <w:szCs w:val="20"/>
          <w:color w:val="auto"/>
        </w:rPr>
      </w:pPr>
    </w:p>
    <w:p>
      <w:pPr>
        <w:ind w:left="360" w:right="419" w:firstLine="331"/>
        <w:spacing w:after="0" w:line="302" w:lineRule="auto"/>
        <w:rPr>
          <w:sz w:val="20"/>
          <w:szCs w:val="20"/>
          <w:color w:val="auto"/>
        </w:rPr>
      </w:pPr>
      <w:r>
        <w:rPr>
          <w:rFonts w:ascii="Arial" w:cs="Arial" w:eastAsia="Arial" w:hAnsi="Arial"/>
          <w:sz w:val="12"/>
          <w:szCs w:val="12"/>
          <w:color w:val="auto"/>
        </w:rPr>
        <w:t>The Business Combination is accounted for as a reverse recapitalization, with no goodwill or other intangible assets recorded, in accordance with GAAP. Under this method of accounting, Kensington is treated as the “acquired” company for financial reporting purposes. Accordingly, for accounting purposes, the Business Combination is treated as the equivalent of Legacy QuantumScape issuing stock for the net assets of Kensington, accompanied by a recapitalization. The net assets of Kensington will be stated at historical cost, with no goodwill or other intangible assets recorded.</w:t>
      </w:r>
    </w:p>
    <w:p>
      <w:pPr>
        <w:spacing w:after="0" w:line="117" w:lineRule="exact"/>
        <w:rPr>
          <w:sz w:val="20"/>
          <w:szCs w:val="20"/>
          <w:color w:val="auto"/>
        </w:rPr>
      </w:pPr>
    </w:p>
    <w:p>
      <w:pPr>
        <w:ind w:left="360" w:right="419" w:firstLine="331"/>
        <w:spacing w:after="0" w:line="247" w:lineRule="auto"/>
        <w:rPr>
          <w:sz w:val="20"/>
          <w:szCs w:val="20"/>
          <w:color w:val="auto"/>
        </w:rPr>
      </w:pPr>
      <w:r>
        <w:rPr>
          <w:rFonts w:ascii="Arial" w:cs="Arial" w:eastAsia="Arial" w:hAnsi="Arial"/>
          <w:sz w:val="14"/>
          <w:szCs w:val="14"/>
          <w:color w:val="auto"/>
        </w:rPr>
        <w:t>The unaudited pro forma condensed combined balance sheet as of September 30, 2020 gives pro forma effect to the Business Combination as if it had been consummated on September 30, 2020. The unaudited pro forma condensed combined statements of operations for the nine months ended September 30, 2020 and year ended December 31, 2019 give pro forma effect to the Business Combination as if it had been consummated on January 1, 2019.</w:t>
      </w:r>
    </w:p>
    <w:p>
      <w:pPr>
        <w:spacing w:after="0" w:line="149" w:lineRule="exact"/>
        <w:rPr>
          <w:sz w:val="20"/>
          <w:szCs w:val="20"/>
          <w:color w:val="auto"/>
        </w:rPr>
      </w:pPr>
    </w:p>
    <w:p>
      <w:pPr>
        <w:ind w:left="360" w:right="399" w:firstLine="331"/>
        <w:spacing w:after="0" w:line="259" w:lineRule="auto"/>
        <w:rPr>
          <w:sz w:val="20"/>
          <w:szCs w:val="20"/>
          <w:color w:val="auto"/>
        </w:rPr>
      </w:pPr>
      <w:r>
        <w:rPr>
          <w:rFonts w:ascii="Arial" w:cs="Arial" w:eastAsia="Arial" w:hAnsi="Arial"/>
          <w:sz w:val="14"/>
          <w:szCs w:val="14"/>
          <w:color w:val="auto"/>
        </w:rPr>
        <w:t>The unaudited pro forma condensed combined balance sheet as of September 30, 2020 has been prepared using, and should be read in conjunction with, the following:</w:t>
      </w:r>
    </w:p>
    <w:p>
      <w:pPr>
        <w:spacing w:after="0" w:line="69" w:lineRule="exact"/>
        <w:rPr>
          <w:sz w:val="20"/>
          <w:szCs w:val="20"/>
          <w:color w:val="auto"/>
        </w:rPr>
      </w:pPr>
    </w:p>
    <w:p>
      <w:pPr>
        <w:ind w:left="1100" w:hanging="331"/>
        <w:spacing w:after="0"/>
        <w:tabs>
          <w:tab w:leader="none" w:pos="110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Kensington’s unaudited balance sheet as of September 30, 2020 and the related notes, which is incorporated by reference; and</w:t>
      </w:r>
    </w:p>
    <w:p>
      <w:pPr>
        <w:spacing w:after="0" w:line="115" w:lineRule="exact"/>
        <w:rPr>
          <w:rFonts w:ascii="Arial" w:cs="Arial" w:eastAsia="Arial" w:hAnsi="Arial"/>
          <w:sz w:val="12"/>
          <w:szCs w:val="12"/>
          <w:color w:val="auto"/>
        </w:rPr>
      </w:pPr>
    </w:p>
    <w:p>
      <w:pPr>
        <w:ind w:left="1100" w:right="599" w:hanging="331"/>
        <w:spacing w:after="0" w:line="259" w:lineRule="auto"/>
        <w:tabs>
          <w:tab w:leader="none" w:pos="11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Legacy QuantumScape’s unaudited balance sheet as of September 30, 2020 and the related notes, which is attached as an exhibit to this filing and incorporated by reference.</w:t>
      </w:r>
    </w:p>
    <w:p>
      <w:pPr>
        <w:spacing w:after="0" w:line="140" w:lineRule="exact"/>
        <w:rPr>
          <w:sz w:val="20"/>
          <w:szCs w:val="20"/>
          <w:color w:val="auto"/>
        </w:rPr>
      </w:pPr>
    </w:p>
    <w:p>
      <w:pPr>
        <w:ind w:left="360" w:right="579" w:firstLine="331"/>
        <w:spacing w:after="0" w:line="259" w:lineRule="auto"/>
        <w:rPr>
          <w:sz w:val="20"/>
          <w:szCs w:val="20"/>
          <w:color w:val="auto"/>
        </w:rPr>
      </w:pPr>
      <w:r>
        <w:rPr>
          <w:rFonts w:ascii="Arial" w:cs="Arial" w:eastAsia="Arial" w:hAnsi="Arial"/>
          <w:sz w:val="14"/>
          <w:szCs w:val="14"/>
          <w:color w:val="auto"/>
        </w:rPr>
        <w:t>The unaudited pro forma condensed combined statement of operations for the nine months ended September 30, 2020 has been prepared using, and should be read in conjunction with, the following:</w:t>
      </w:r>
    </w:p>
    <w:p>
      <w:pPr>
        <w:spacing w:after="0" w:line="69" w:lineRule="exact"/>
        <w:rPr>
          <w:sz w:val="20"/>
          <w:szCs w:val="20"/>
          <w:color w:val="auto"/>
        </w:rPr>
      </w:pPr>
    </w:p>
    <w:p>
      <w:pPr>
        <w:ind w:left="1100" w:right="719" w:hanging="331"/>
        <w:spacing w:after="0" w:line="259" w:lineRule="auto"/>
        <w:tabs>
          <w:tab w:leader="none" w:pos="110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Kensington’s unaudited statement of operations for the period April 17, 2020 (inception) through September 30, 2020 and the related notes, which is incorporated by reference; and</w:t>
      </w:r>
    </w:p>
    <w:p>
      <w:pPr>
        <w:spacing w:after="0" w:line="68" w:lineRule="exact"/>
        <w:rPr>
          <w:rFonts w:ascii="Arial" w:cs="Arial" w:eastAsia="Arial" w:hAnsi="Arial"/>
          <w:sz w:val="14"/>
          <w:szCs w:val="14"/>
          <w:color w:val="auto"/>
        </w:rPr>
      </w:pPr>
    </w:p>
    <w:p>
      <w:pPr>
        <w:ind w:left="1100" w:right="479" w:hanging="331"/>
        <w:spacing w:after="0" w:line="259" w:lineRule="auto"/>
        <w:tabs>
          <w:tab w:leader="none" w:pos="1100" w:val="left"/>
        </w:tabs>
        <w:numPr>
          <w:ilvl w:val="0"/>
          <w:numId w:val="197"/>
        </w:numPr>
        <w:rPr>
          <w:rFonts w:ascii="Arial" w:cs="Arial" w:eastAsia="Arial" w:hAnsi="Arial"/>
          <w:sz w:val="14"/>
          <w:szCs w:val="14"/>
          <w:color w:val="auto"/>
        </w:rPr>
      </w:pPr>
      <w:r>
        <w:rPr>
          <w:rFonts w:ascii="Arial" w:cs="Arial" w:eastAsia="Arial" w:hAnsi="Arial"/>
          <w:sz w:val="14"/>
          <w:szCs w:val="14"/>
          <w:color w:val="auto"/>
        </w:rPr>
        <w:t>Legacy QuantumScape’s unaudited statement of operations for the nine months ended September 30, 2020 and the related notes, which is attached as an exhibit to this filing and incorporated by reference.</w:t>
      </w:r>
    </w:p>
    <w:p>
      <w:pPr>
        <w:spacing w:after="0" w:line="140" w:lineRule="exact"/>
        <w:rPr>
          <w:sz w:val="20"/>
          <w:szCs w:val="20"/>
          <w:color w:val="auto"/>
        </w:rPr>
      </w:pPr>
    </w:p>
    <w:p>
      <w:pPr>
        <w:ind w:left="360" w:right="399" w:firstLine="331"/>
        <w:spacing w:after="0" w:line="259" w:lineRule="auto"/>
        <w:rPr>
          <w:sz w:val="20"/>
          <w:szCs w:val="20"/>
          <w:color w:val="auto"/>
        </w:rPr>
      </w:pPr>
      <w:r>
        <w:rPr>
          <w:rFonts w:ascii="Arial" w:cs="Arial" w:eastAsia="Arial" w:hAnsi="Arial"/>
          <w:sz w:val="14"/>
          <w:szCs w:val="14"/>
          <w:color w:val="auto"/>
        </w:rPr>
        <w:t>The unaudited pro forma condensed combined statement of operations for the year ended December 31, 2019 has been prepared using, and should be read in conjunction with, the following:</w:t>
      </w:r>
    </w:p>
    <w:p>
      <w:pPr>
        <w:spacing w:after="0" w:line="69" w:lineRule="exact"/>
        <w:rPr>
          <w:sz w:val="20"/>
          <w:szCs w:val="20"/>
          <w:color w:val="auto"/>
        </w:rPr>
      </w:pPr>
    </w:p>
    <w:p>
      <w:pPr>
        <w:ind w:left="1100" w:right="1059" w:hanging="331"/>
        <w:spacing w:after="0" w:line="259" w:lineRule="auto"/>
        <w:tabs>
          <w:tab w:leader="none" w:pos="1100" w:val="left"/>
        </w:tabs>
        <w:numPr>
          <w:ilvl w:val="0"/>
          <w:numId w:val="198"/>
        </w:numPr>
        <w:rPr>
          <w:rFonts w:ascii="Arial" w:cs="Arial" w:eastAsia="Arial" w:hAnsi="Arial"/>
          <w:sz w:val="14"/>
          <w:szCs w:val="14"/>
          <w:color w:val="auto"/>
        </w:rPr>
      </w:pPr>
      <w:r>
        <w:rPr>
          <w:rFonts w:ascii="Arial" w:cs="Arial" w:eastAsia="Arial" w:hAnsi="Arial"/>
          <w:sz w:val="14"/>
          <w:szCs w:val="14"/>
          <w:color w:val="auto"/>
        </w:rPr>
        <w:t>Legacy QuantumScape’s audited statement of operations for the year ended December 31, 2019 and the related notes, which is incorporated by reference.</w:t>
      </w:r>
    </w:p>
    <w:p>
      <w:pPr>
        <w:spacing w:after="0" w:line="140" w:lineRule="exact"/>
        <w:rPr>
          <w:sz w:val="20"/>
          <w:szCs w:val="20"/>
          <w:color w:val="auto"/>
        </w:rPr>
      </w:pPr>
    </w:p>
    <w:p>
      <w:pPr>
        <w:ind w:left="360" w:right="599" w:firstLine="331"/>
        <w:spacing w:after="0" w:line="250" w:lineRule="auto"/>
        <w:rPr>
          <w:sz w:val="20"/>
          <w:szCs w:val="20"/>
          <w:color w:val="auto"/>
        </w:rPr>
      </w:pPr>
      <w:r>
        <w:rPr>
          <w:rFonts w:ascii="Arial" w:cs="Arial" w:eastAsia="Arial" w:hAnsi="Arial"/>
          <w:sz w:val="14"/>
          <w:szCs w:val="14"/>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46" w:lineRule="exact"/>
        <w:rPr>
          <w:sz w:val="20"/>
          <w:szCs w:val="20"/>
          <w:color w:val="auto"/>
        </w:rPr>
      </w:pPr>
    </w:p>
    <w:p>
      <w:pPr>
        <w:ind w:left="360" w:right="439" w:firstLine="331"/>
        <w:spacing w:after="0" w:line="291" w:lineRule="auto"/>
        <w:rPr>
          <w:sz w:val="20"/>
          <w:szCs w:val="20"/>
          <w:color w:val="auto"/>
        </w:rPr>
      </w:pPr>
      <w:r>
        <w:rPr>
          <w:rFonts w:ascii="Arial" w:cs="Arial" w:eastAsia="Arial" w:hAnsi="Arial"/>
          <w:sz w:val="12"/>
          <w:szCs w:val="12"/>
          <w:color w:val="auto"/>
        </w:rPr>
        <w:t>The unaudited pro forma condensed combined financial information does not give effect to any anticipated synergies, operating efficiencies, tax savings or cost savings that may be associated with the Business Combination. The pro forma adjustments reflecting the Closing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41" w:right="1440" w:bottom="1440" w:gutter="0" w:footer="0" w:header="0"/>
        </w:sectPr>
      </w:pPr>
    </w:p>
    <w:bookmarkStart w:id="171" w:name="page172"/>
    <w:bookmarkEnd w:id="171"/>
    <w:p>
      <w:pPr>
        <w:ind w:left="360" w:right="479" w:firstLine="331"/>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Kensington and Legacy QuantumScape.</w:t>
      </w:r>
    </w:p>
    <w:p>
      <w:pPr>
        <w:spacing w:after="0" w:line="259" w:lineRule="exact"/>
        <w:rPr>
          <w:sz w:val="20"/>
          <w:szCs w:val="20"/>
          <w:color w:val="auto"/>
        </w:rPr>
      </w:pPr>
    </w:p>
    <w:p>
      <w:pPr>
        <w:ind w:left="680" w:hanging="317"/>
        <w:spacing w:after="0"/>
        <w:tabs>
          <w:tab w:leader="none" w:pos="680" w:val="left"/>
        </w:tabs>
        <w:numPr>
          <w:ilvl w:val="0"/>
          <w:numId w:val="199"/>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Adjustments to Unaudited Pro Forma Condensed Combined Financial Information</w:t>
      </w:r>
    </w:p>
    <w:p>
      <w:pPr>
        <w:spacing w:after="0" w:line="85" w:lineRule="exact"/>
        <w:rPr>
          <w:sz w:val="20"/>
          <w:szCs w:val="20"/>
          <w:color w:val="auto"/>
        </w:rPr>
      </w:pPr>
    </w:p>
    <w:p>
      <w:pPr>
        <w:ind w:left="360" w:right="379" w:firstLine="331"/>
        <w:spacing w:after="0" w:line="288" w:lineRule="auto"/>
        <w:rPr>
          <w:sz w:val="20"/>
          <w:szCs w:val="20"/>
          <w:color w:val="auto"/>
        </w:rPr>
      </w:pPr>
      <w:r>
        <w:rPr>
          <w:rFonts w:ascii="Arial" w:cs="Arial" w:eastAsia="Arial" w:hAnsi="Arial"/>
          <w:sz w:val="12"/>
          <w:szCs w:val="12"/>
          <w:color w:val="auto"/>
        </w:rPr>
        <w:t>The unaudited pro forma condensed combined financial information has been prepared to illustrate the effect of the Business Combination and has been prepared for informational purposes only. The historical financial statements have been adjusted in the unaudited pro forma condensed combined financial information to give pro forma effect to events that are (1) directly attributable to the Business Combination, (2) factually supportable, and</w:t>
      </w:r>
    </w:p>
    <w:p>
      <w:pPr>
        <w:spacing w:after="0" w:line="1" w:lineRule="exact"/>
        <w:rPr>
          <w:sz w:val="20"/>
          <w:szCs w:val="20"/>
          <w:color w:val="auto"/>
        </w:rPr>
      </w:pPr>
    </w:p>
    <w:p>
      <w:pPr>
        <w:ind w:left="360" w:right="379" w:firstLine="3"/>
        <w:spacing w:after="0" w:line="243" w:lineRule="auto"/>
        <w:tabs>
          <w:tab w:leader="none" w:pos="552" w:val="left"/>
        </w:tabs>
        <w:numPr>
          <w:ilvl w:val="0"/>
          <w:numId w:val="200"/>
        </w:numPr>
        <w:rPr>
          <w:rFonts w:ascii="Arial" w:cs="Arial" w:eastAsia="Arial" w:hAnsi="Arial"/>
          <w:sz w:val="14"/>
          <w:szCs w:val="14"/>
          <w:color w:val="auto"/>
        </w:rPr>
      </w:pPr>
      <w:r>
        <w:rPr>
          <w:rFonts w:ascii="Arial" w:cs="Arial" w:eastAsia="Arial" w:hAnsi="Arial"/>
          <w:sz w:val="14"/>
          <w:szCs w:val="14"/>
          <w:color w:val="auto"/>
        </w:rPr>
        <w:t>with respect to the statements of operations, expected to have a continuing impact on the results of the post-combination company. Kensington and Legacy QuantumScape have not had any historical relationship prior to the Business Combination. Accordingly, no pro forma adjustments were required to eliminate activities between the companies.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241" w:right="1440" w:bottom="1440" w:gutter="0" w:footer="0" w:header="0"/>
        </w:sectPr>
      </w:pPr>
    </w:p>
    <w:bookmarkStart w:id="172" w:name="page173"/>
    <w:bookmarkEnd w:id="172"/>
    <w:p>
      <w:pPr>
        <w:ind w:left="360" w:right="539" w:firstLine="331"/>
        <w:spacing w:after="0" w:line="25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7179310" cy="19050"/>
                    </a:xfrm>
                    <a:prstGeom prst="rect">
                      <a:avLst/>
                    </a:prstGeom>
                    <a:noFill/>
                  </pic:spPr>
                </pic:pic>
              </a:graphicData>
            </a:graphic>
          </wp:anchor>
        </w:drawing>
        <w:t>The pro forma combined provision for income taxes does not necessarily reflect the amounts that would have resulted had the post-combination company filed consolidated income tax returns during the periods presented.</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Adjustments to Unaudited Pro Forma Condensed Combined Balance Sheet</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adjustments included in the unaudited pro forma condensed combined balance sheet as of September 30, 2020 are as follows:</w:t>
      </w:r>
    </w:p>
    <w:p>
      <w:pPr>
        <w:spacing w:after="0" w:line="116" w:lineRule="exact"/>
        <w:rPr>
          <w:sz w:val="20"/>
          <w:szCs w:val="20"/>
          <w:color w:val="auto"/>
        </w:rPr>
      </w:pPr>
    </w:p>
    <w:p>
      <w:pPr>
        <w:ind w:left="1420" w:hanging="316"/>
        <w:spacing w:after="0"/>
        <w:tabs>
          <w:tab w:leader="none" w:pos="14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Reflects the reclassification of investments held in the Trust Account that became available following the Business Combination.</w:t>
      </w:r>
    </w:p>
    <w:p>
      <w:pPr>
        <w:spacing w:after="0" w:line="115" w:lineRule="exact"/>
        <w:rPr>
          <w:rFonts w:ascii="Arial" w:cs="Arial" w:eastAsia="Arial" w:hAnsi="Arial"/>
          <w:sz w:val="12"/>
          <w:szCs w:val="12"/>
          <w:color w:val="auto"/>
        </w:rPr>
      </w:pPr>
    </w:p>
    <w:p>
      <w:pPr>
        <w:ind w:left="1420" w:hanging="316"/>
        <w:spacing w:after="0"/>
        <w:tabs>
          <w:tab w:leader="none" w:pos="14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Reflects the settlement of $8.1 million in deferred underwriting commissions.</w:t>
      </w:r>
    </w:p>
    <w:p>
      <w:pPr>
        <w:spacing w:after="0" w:line="92" w:lineRule="exact"/>
        <w:rPr>
          <w:rFonts w:ascii="Arial" w:cs="Arial" w:eastAsia="Arial" w:hAnsi="Arial"/>
          <w:sz w:val="14"/>
          <w:szCs w:val="14"/>
          <w:color w:val="auto"/>
        </w:rPr>
      </w:pPr>
    </w:p>
    <w:p>
      <w:pPr>
        <w:ind w:left="1420" w:right="699" w:hanging="316"/>
        <w:spacing w:after="0" w:line="312" w:lineRule="auto"/>
        <w:tabs>
          <w:tab w:leader="none" w:pos="14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Represents estimated transaction costs, excluding PIPE issuance costs and deferred underwriting commissions, incurred by Kensington and Legacy QuantumScape of approximately $26.9 million for legal, financial advisory and other professional fees incurred in consummating the Business Combination. Of this amount:</w:t>
      </w:r>
    </w:p>
    <w:p>
      <w:pPr>
        <w:spacing w:after="0" w:line="40" w:lineRule="exact"/>
        <w:rPr>
          <w:rFonts w:ascii="Arial" w:cs="Arial" w:eastAsia="Arial" w:hAnsi="Arial"/>
          <w:sz w:val="12"/>
          <w:szCs w:val="12"/>
          <w:color w:val="auto"/>
        </w:rPr>
      </w:pPr>
    </w:p>
    <w:p>
      <w:pPr>
        <w:ind w:left="1680" w:hanging="241"/>
        <w:spacing w:after="0"/>
        <w:tabs>
          <w:tab w:leader="none" w:pos="1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$2.3 million was capitalized within Other assets and paid by Legacy QuantumScape as of September 30, 2020.</w:t>
      </w:r>
    </w:p>
    <w:p>
      <w:pPr>
        <w:spacing w:after="0" w:line="92" w:lineRule="exact"/>
        <w:rPr>
          <w:rFonts w:ascii="Arial" w:cs="Arial" w:eastAsia="Arial" w:hAnsi="Arial"/>
          <w:sz w:val="14"/>
          <w:szCs w:val="14"/>
          <w:color w:val="auto"/>
        </w:rPr>
      </w:pPr>
    </w:p>
    <w:p>
      <w:pPr>
        <w:ind w:left="1680" w:right="639" w:hanging="241"/>
        <w:spacing w:after="0" w:line="259" w:lineRule="auto"/>
        <w:tabs>
          <w:tab w:leader="none" w:pos="1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$1.8 million was capitalized within Other assets and accrued within Accounts payable ($1.0 million) and Accrued liabilities ($0.8 million) by Legacy QuantumScape as of September 30, 2020.</w:t>
      </w:r>
    </w:p>
    <w:p>
      <w:pPr>
        <w:spacing w:after="0" w:line="68" w:lineRule="exact"/>
        <w:rPr>
          <w:rFonts w:ascii="Arial" w:cs="Arial" w:eastAsia="Arial" w:hAnsi="Arial"/>
          <w:sz w:val="14"/>
          <w:szCs w:val="14"/>
          <w:color w:val="auto"/>
        </w:rPr>
      </w:pPr>
    </w:p>
    <w:p>
      <w:pPr>
        <w:ind w:left="1680" w:right="519" w:hanging="241"/>
        <w:spacing w:after="0" w:line="259" w:lineRule="auto"/>
        <w:tabs>
          <w:tab w:leader="none" w:pos="1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$1.1 million was accrued by Kensington in Accrued liabilities as of September 30, 2020 and recognized in expense during the period from April 17, 2020 (inception) through September 30, 2020.</w:t>
      </w:r>
    </w:p>
    <w:p>
      <w:pPr>
        <w:spacing w:after="0" w:line="68" w:lineRule="exact"/>
        <w:rPr>
          <w:rFonts w:ascii="Arial" w:cs="Arial" w:eastAsia="Arial" w:hAnsi="Arial"/>
          <w:sz w:val="14"/>
          <w:szCs w:val="14"/>
          <w:color w:val="auto"/>
        </w:rPr>
      </w:pPr>
    </w:p>
    <w:p>
      <w:pPr>
        <w:ind w:left="1680" w:right="919" w:hanging="241"/>
        <w:spacing w:after="0" w:line="342" w:lineRule="auto"/>
        <w:tabs>
          <w:tab w:leader="none" w:pos="1680" w:val="left"/>
        </w:tabs>
        <w:numPr>
          <w:ilvl w:val="1"/>
          <w:numId w:val="201"/>
        </w:numPr>
        <w:rPr>
          <w:rFonts w:ascii="Arial" w:cs="Arial" w:eastAsia="Arial" w:hAnsi="Arial"/>
          <w:sz w:val="12"/>
          <w:szCs w:val="12"/>
          <w:color w:val="auto"/>
        </w:rPr>
      </w:pPr>
      <w:r>
        <w:rPr>
          <w:rFonts w:ascii="Arial" w:cs="Arial" w:eastAsia="Arial" w:hAnsi="Arial"/>
          <w:sz w:val="12"/>
          <w:szCs w:val="12"/>
          <w:color w:val="auto"/>
        </w:rPr>
        <w:t>$24.6 million was reflected as a reduction of cash upon the Closing of the Business Combination, which represents the estimated transaction costs of $26.9 million less the $2.3 million previously paid by Legacy QuantumScape.</w:t>
      </w:r>
    </w:p>
    <w:p>
      <w:pPr>
        <w:spacing w:after="0" w:line="22" w:lineRule="exact"/>
        <w:rPr>
          <w:rFonts w:ascii="Arial" w:cs="Arial" w:eastAsia="Arial" w:hAnsi="Arial"/>
          <w:sz w:val="12"/>
          <w:szCs w:val="12"/>
          <w:color w:val="auto"/>
        </w:rPr>
      </w:pPr>
    </w:p>
    <w:p>
      <w:pPr>
        <w:ind w:left="1680" w:right="439" w:hanging="241"/>
        <w:spacing w:after="0" w:line="247" w:lineRule="auto"/>
        <w:tabs>
          <w:tab w:leader="none" w:pos="1680" w:val="left"/>
        </w:tabs>
        <w:numPr>
          <w:ilvl w:val="1"/>
          <w:numId w:val="201"/>
        </w:numPr>
        <w:rPr>
          <w:rFonts w:ascii="Arial" w:cs="Arial" w:eastAsia="Arial" w:hAnsi="Arial"/>
          <w:sz w:val="14"/>
          <w:szCs w:val="14"/>
          <w:color w:val="auto"/>
        </w:rPr>
      </w:pPr>
      <w:r>
        <w:rPr>
          <w:rFonts w:ascii="Arial" w:cs="Arial" w:eastAsia="Arial" w:hAnsi="Arial"/>
          <w:sz w:val="14"/>
          <w:szCs w:val="14"/>
          <w:color w:val="auto"/>
        </w:rPr>
        <w:t>$25.8 million was reflected as a decrease in additional paid-in capital, which represents the estimated transaction costs of $26.9 million less the $1.1 million previously recognized in expense by Kensington. The $1.1 million previously recognized in expense by Kensington was reclassified to additional paid-in capital in Note 2(l) of this unaudited pro forma condensed combined financial information.</w:t>
      </w:r>
    </w:p>
    <w:p>
      <w:pPr>
        <w:spacing w:after="0" w:line="78" w:lineRule="exact"/>
        <w:rPr>
          <w:rFonts w:ascii="Arial" w:cs="Arial" w:eastAsia="Arial" w:hAnsi="Arial"/>
          <w:sz w:val="14"/>
          <w:szCs w:val="14"/>
          <w:color w:val="auto"/>
        </w:rPr>
      </w:pPr>
    </w:p>
    <w:p>
      <w:pPr>
        <w:ind w:left="1420" w:right="399" w:hanging="316"/>
        <w:spacing w:after="0" w:line="259" w:lineRule="auto"/>
        <w:tabs>
          <w:tab w:leader="none" w:pos="14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Reflects proceeds of $500 million from the issuance and sale of 50,000,000 shares of Class A Common Stock at $10.00 per shares in the PIPE pursuant to the Subscription Agreements, net of issuance costs of $17.5 million.</w:t>
      </w:r>
    </w:p>
    <w:p>
      <w:pPr>
        <w:spacing w:after="0" w:line="68" w:lineRule="exact"/>
        <w:rPr>
          <w:rFonts w:ascii="Arial" w:cs="Arial" w:eastAsia="Arial" w:hAnsi="Arial"/>
          <w:sz w:val="14"/>
          <w:szCs w:val="14"/>
          <w:color w:val="auto"/>
        </w:rPr>
      </w:pPr>
    </w:p>
    <w:p>
      <w:pPr>
        <w:ind w:left="1420" w:hanging="316"/>
        <w:spacing w:after="0"/>
        <w:tabs>
          <w:tab w:leader="none" w:pos="14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Reflects the reclassification of $217.0 million of Class A Common Stock subject to possible redemption to permanent equity.</w:t>
      </w:r>
    </w:p>
    <w:p>
      <w:pPr>
        <w:spacing w:after="0" w:line="115" w:lineRule="exact"/>
        <w:rPr>
          <w:rFonts w:ascii="Arial" w:cs="Arial" w:eastAsia="Arial" w:hAnsi="Arial"/>
          <w:sz w:val="12"/>
          <w:szCs w:val="12"/>
          <w:color w:val="auto"/>
        </w:rPr>
      </w:pPr>
    </w:p>
    <w:p>
      <w:pPr>
        <w:ind w:left="1420" w:right="519" w:hanging="316"/>
        <w:spacing w:after="0" w:line="342" w:lineRule="auto"/>
        <w:tabs>
          <w:tab w:leader="none" w:pos="14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Represents share redemptions of 15,255 shares of Class A Common Stock for $0.2 million allocated to Class A common stock and additional paid-in capital using par value of $0.0001 per share and at a purchase price of $10.00 per share.</w:t>
      </w:r>
    </w:p>
    <w:p>
      <w:pPr>
        <w:spacing w:after="0" w:line="22" w:lineRule="exact"/>
        <w:rPr>
          <w:rFonts w:ascii="Arial" w:cs="Arial" w:eastAsia="Arial" w:hAnsi="Arial"/>
          <w:sz w:val="12"/>
          <w:szCs w:val="12"/>
          <w:color w:val="auto"/>
        </w:rPr>
      </w:pPr>
    </w:p>
    <w:p>
      <w:pPr>
        <w:ind w:left="1420" w:right="439" w:hanging="316"/>
        <w:spacing w:after="0" w:line="247" w:lineRule="auto"/>
        <w:tabs>
          <w:tab w:leader="none" w:pos="14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Reflects the issuance of 7,115,335 shares of Legacy QuantumScape Series F Preferred Stock at $26.4218 per share for an aggregate purchase price of $188 million concurrent with the Closing of the Business Combination, net of issuance costs of $11.5 million, and the settlement of the associated convertible preferred stock tranche liability upon issuance of these shares of Series F Preferred Stock.</w:t>
      </w:r>
    </w:p>
    <w:p>
      <w:pPr>
        <w:spacing w:after="0" w:line="78" w:lineRule="exact"/>
        <w:rPr>
          <w:rFonts w:ascii="Arial" w:cs="Arial" w:eastAsia="Arial" w:hAnsi="Arial"/>
          <w:sz w:val="14"/>
          <w:szCs w:val="14"/>
          <w:color w:val="auto"/>
        </w:rPr>
      </w:pPr>
    </w:p>
    <w:p>
      <w:pPr>
        <w:ind w:left="1420" w:hanging="316"/>
        <w:spacing w:after="0"/>
        <w:tabs>
          <w:tab w:leader="none" w:pos="14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Represents the retirement of 438,191 shares of Legacy QuantumScape Capital Stock held in treasury.</w:t>
      </w:r>
    </w:p>
    <w:p>
      <w:pPr>
        <w:spacing w:after="0" w:line="92" w:lineRule="exact"/>
        <w:rPr>
          <w:rFonts w:ascii="Arial" w:cs="Arial" w:eastAsia="Arial" w:hAnsi="Arial"/>
          <w:sz w:val="14"/>
          <w:szCs w:val="14"/>
          <w:color w:val="auto"/>
        </w:rPr>
      </w:pPr>
    </w:p>
    <w:p>
      <w:pPr>
        <w:ind w:left="1420" w:right="499" w:hanging="316"/>
        <w:spacing w:after="0" w:line="312" w:lineRule="auto"/>
        <w:tabs>
          <w:tab w:leader="none" w:pos="142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Reflects the conversion of 55,506,186 shares of Legacy QuantumScape Preferred Stock, including 7,115,335 shares of Series F Preferred Stock as described in Note (g), and 11,381,569 shares of Legacy QuantumScape Common Stock into 110,734,478 shares of QuantumScape Class A Common Stock and 158,271,287 shares of QuantumScape Class B Common Stock.</w:t>
      </w:r>
    </w:p>
    <w:p>
      <w:pPr>
        <w:spacing w:after="0" w:line="40" w:lineRule="exact"/>
        <w:rPr>
          <w:rFonts w:ascii="Arial" w:cs="Arial" w:eastAsia="Arial" w:hAnsi="Arial"/>
          <w:sz w:val="12"/>
          <w:szCs w:val="12"/>
          <w:color w:val="auto"/>
        </w:rPr>
      </w:pPr>
    </w:p>
    <w:p>
      <w:pPr>
        <w:ind w:left="1420" w:hanging="316"/>
        <w:spacing w:after="0"/>
        <w:tabs>
          <w:tab w:leader="none" w:pos="142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Reflects the conversion of Class B Common Stock held by the Sponsor into Class A Common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241" w:right="1440" w:bottom="1440" w:gutter="0" w:footer="0" w:header="0"/>
        </w:sectPr>
      </w:pPr>
    </w:p>
    <w:bookmarkStart w:id="173" w:name="page174"/>
    <w:bookmarkEnd w:id="173"/>
    <w:p>
      <w:pPr>
        <w:ind w:left="1420" w:right="679" w:hanging="316"/>
        <w:spacing w:after="0" w:line="259" w:lineRule="auto"/>
        <w:tabs>
          <w:tab w:leader="none" w:pos="14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7179310" cy="19050"/>
                    </a:xfrm>
                    <a:prstGeom prst="rect">
                      <a:avLst/>
                    </a:prstGeom>
                    <a:noFill/>
                  </pic:spPr>
                </pic:pic>
              </a:graphicData>
            </a:graphic>
          </wp:anchor>
        </w:drawing>
        <w:t>Reflects the conversion of the loan made from the Sponsor to Kensington into 75,000 warrants on the same terms as the Private Warrants.</w:t>
      </w:r>
    </w:p>
    <w:p>
      <w:pPr>
        <w:spacing w:after="0" w:line="68" w:lineRule="exact"/>
        <w:rPr>
          <w:rFonts w:ascii="Arial" w:cs="Arial" w:eastAsia="Arial" w:hAnsi="Arial"/>
          <w:sz w:val="14"/>
          <w:szCs w:val="14"/>
          <w:color w:val="auto"/>
        </w:rPr>
      </w:pPr>
    </w:p>
    <w:p>
      <w:pPr>
        <w:ind w:left="1420" w:hanging="316"/>
        <w:spacing w:after="0"/>
        <w:tabs>
          <w:tab w:leader="none" w:pos="1420" w:val="left"/>
        </w:tabs>
        <w:numPr>
          <w:ilvl w:val="0"/>
          <w:numId w:val="202"/>
        </w:numPr>
        <w:rPr>
          <w:rFonts w:ascii="Arial" w:cs="Arial" w:eastAsia="Arial" w:hAnsi="Arial"/>
          <w:sz w:val="14"/>
          <w:szCs w:val="14"/>
          <w:color w:val="auto"/>
        </w:rPr>
      </w:pPr>
      <w:r>
        <w:rPr>
          <w:rFonts w:ascii="Arial" w:cs="Arial" w:eastAsia="Arial" w:hAnsi="Arial"/>
          <w:sz w:val="14"/>
          <w:szCs w:val="14"/>
          <w:color w:val="auto"/>
        </w:rPr>
        <w:t>Reflects the elimination of Kensington’s historical accumulated deficit.</w:t>
      </w:r>
    </w:p>
    <w:p>
      <w:pPr>
        <w:spacing w:after="0" w:line="92" w:lineRule="exact"/>
        <w:rPr>
          <w:rFonts w:ascii="Arial" w:cs="Arial" w:eastAsia="Arial" w:hAnsi="Arial"/>
          <w:sz w:val="14"/>
          <w:szCs w:val="14"/>
          <w:color w:val="auto"/>
        </w:rPr>
      </w:pPr>
    </w:p>
    <w:p>
      <w:pPr>
        <w:ind w:left="1420" w:right="439" w:hanging="316"/>
        <w:spacing w:after="0" w:line="302" w:lineRule="auto"/>
        <w:tabs>
          <w:tab w:leader="none" w:pos="14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Reflects the reclassification of the convertible preferred stock tranche liability associated with the Series F Preferred Stock Purchase Agreement with VGA, as amended, to additional paid-in capital. The commitment to issue shares of Class A Common Stock to VGA is expected to be equity classified upon consummation of the Business Combination. Refer to Note 3 of this unaudited pro forma condensed combined financial information of further discussion.</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Adjustments to Unaudited Pro Forma Condensed Combined Statements of Operations</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2"/>
          <w:szCs w:val="12"/>
          <w:color w:val="auto"/>
        </w:rPr>
        <w:t>The pro forma adjustments included in the unaudited pro forma condensed combined statements of operations for the nine months ended</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September 30, 2020 and year ended December 31, 2019 are as follows:</w:t>
      </w:r>
    </w:p>
    <w:p>
      <w:pPr>
        <w:spacing w:after="0" w:line="83" w:lineRule="exact"/>
        <w:rPr>
          <w:sz w:val="20"/>
          <w:szCs w:val="20"/>
          <w:color w:val="auto"/>
        </w:rPr>
      </w:pPr>
    </w:p>
    <w:p>
      <w:pPr>
        <w:ind w:left="1420" w:right="499" w:hanging="316"/>
        <w:spacing w:after="0" w:line="342" w:lineRule="auto"/>
        <w:tabs>
          <w:tab w:leader="none" w:pos="142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Represents pro forma adjustment to eliminate historical expenses related to Kensington’s general administrative services paid to an affiliate of Kensington’s Chief Financial Officer, which terminated upon the Closing of the Business Combination.</w:t>
      </w:r>
    </w:p>
    <w:p>
      <w:pPr>
        <w:spacing w:after="0" w:line="22" w:lineRule="exact"/>
        <w:rPr>
          <w:rFonts w:ascii="Arial" w:cs="Arial" w:eastAsia="Arial" w:hAnsi="Arial"/>
          <w:sz w:val="12"/>
          <w:szCs w:val="12"/>
          <w:color w:val="auto"/>
        </w:rPr>
      </w:pPr>
    </w:p>
    <w:p>
      <w:pPr>
        <w:jc w:val="both"/>
        <w:ind w:left="1420" w:right="439" w:hanging="316"/>
        <w:spacing w:after="0" w:line="250" w:lineRule="auto"/>
        <w:tabs>
          <w:tab w:leader="none" w:pos="142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Reflects the amortization of share-based awards granted in connection with the Business Combination. The estimated grant date fair value of $6.0 million associated with the share-based awards was calculated using a Black-Scholes option pricing model and will be recognized over an estimated five-year service period.</w:t>
      </w:r>
    </w:p>
    <w:p>
      <w:pPr>
        <w:spacing w:after="0" w:line="75" w:lineRule="exact"/>
        <w:rPr>
          <w:rFonts w:ascii="Arial" w:cs="Arial" w:eastAsia="Arial" w:hAnsi="Arial"/>
          <w:sz w:val="14"/>
          <w:szCs w:val="14"/>
          <w:color w:val="auto"/>
        </w:rPr>
      </w:pPr>
    </w:p>
    <w:p>
      <w:pPr>
        <w:ind w:left="1420" w:hanging="316"/>
        <w:spacing w:after="0"/>
        <w:tabs>
          <w:tab w:leader="none" w:pos="142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Represents pro forma adjustment to eliminate net gains from investments held in the Trust Account.</w:t>
      </w:r>
    </w:p>
    <w:p>
      <w:pPr>
        <w:spacing w:after="0" w:line="92" w:lineRule="exact"/>
        <w:rPr>
          <w:rFonts w:ascii="Arial" w:cs="Arial" w:eastAsia="Arial" w:hAnsi="Arial"/>
          <w:sz w:val="14"/>
          <w:szCs w:val="14"/>
          <w:color w:val="auto"/>
        </w:rPr>
      </w:pPr>
    </w:p>
    <w:p>
      <w:pPr>
        <w:ind w:left="1420" w:right="399" w:hanging="316"/>
        <w:spacing w:after="0" w:line="247" w:lineRule="auto"/>
        <w:tabs>
          <w:tab w:leader="none" w:pos="1420" w:val="left"/>
        </w:tabs>
        <w:numPr>
          <w:ilvl w:val="1"/>
          <w:numId w:val="203"/>
        </w:numPr>
        <w:rPr>
          <w:rFonts w:ascii="Arial" w:cs="Arial" w:eastAsia="Arial" w:hAnsi="Arial"/>
          <w:sz w:val="14"/>
          <w:szCs w:val="14"/>
          <w:color w:val="auto"/>
        </w:rPr>
      </w:pPr>
      <w:r>
        <w:rPr>
          <w:rFonts w:ascii="Arial" w:cs="Arial" w:eastAsia="Arial" w:hAnsi="Arial"/>
          <w:sz w:val="14"/>
          <w:szCs w:val="14"/>
          <w:color w:val="auto"/>
        </w:rPr>
        <w:t>Reflects the elimination of the remeasurement loss from the changes in fair value of the convertible preferred stock tranche liabilities associated with the Series F Preferred Stock issued to several investors upon consummation of the Business Combination. Legacy QuantumScape settled the liabilities with the issuance of the Series F Preferred Stock upon the consummation of the Business Combination.</w:t>
      </w:r>
    </w:p>
    <w:p>
      <w:pPr>
        <w:spacing w:after="0" w:line="78" w:lineRule="exact"/>
        <w:rPr>
          <w:rFonts w:ascii="Arial" w:cs="Arial" w:eastAsia="Arial" w:hAnsi="Arial"/>
          <w:sz w:val="14"/>
          <w:szCs w:val="14"/>
          <w:color w:val="auto"/>
        </w:rPr>
      </w:pPr>
    </w:p>
    <w:p>
      <w:pPr>
        <w:ind w:left="1420" w:right="399" w:hanging="316"/>
        <w:spacing w:after="0" w:line="297" w:lineRule="auto"/>
        <w:tabs>
          <w:tab w:leader="none" w:pos="142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Reflects the elimination of the remeasurement loss from the changes in fair value of the convertible preferred stock tranche liabilities associated with the Series F Preferred Stock Purchase Agreement with VGA, as amended. The commitment to issue shares of Class A Common Stock to VGA is expected to be equity classified upon consummation of the Business Combination, and accordingly the liabilities will cease to exist following the Business Combination. Refer to Note 3 of this unaudited pro forma condensed combined financial information of further discussion.</w:t>
      </w:r>
    </w:p>
    <w:p>
      <w:pPr>
        <w:spacing w:after="0" w:line="49" w:lineRule="exact"/>
        <w:rPr>
          <w:rFonts w:ascii="Arial" w:cs="Arial" w:eastAsia="Arial" w:hAnsi="Arial"/>
          <w:sz w:val="12"/>
          <w:szCs w:val="12"/>
          <w:color w:val="auto"/>
        </w:rPr>
      </w:pPr>
    </w:p>
    <w:p>
      <w:pPr>
        <w:ind w:left="1420" w:hanging="316"/>
        <w:spacing w:after="0"/>
        <w:tabs>
          <w:tab w:leader="none" w:pos="1420" w:val="left"/>
        </w:tabs>
        <w:numPr>
          <w:ilvl w:val="1"/>
          <w:numId w:val="203"/>
        </w:numPr>
        <w:rPr>
          <w:rFonts w:ascii="Arial" w:cs="Arial" w:eastAsia="Arial" w:hAnsi="Arial"/>
          <w:sz w:val="12"/>
          <w:szCs w:val="12"/>
          <w:color w:val="auto"/>
        </w:rPr>
      </w:pPr>
      <w:r>
        <w:rPr>
          <w:rFonts w:ascii="Arial" w:cs="Arial" w:eastAsia="Arial" w:hAnsi="Arial"/>
          <w:sz w:val="12"/>
          <w:szCs w:val="12"/>
          <w:color w:val="auto"/>
        </w:rPr>
        <w:t>Reflects the elimination of non-recurring transaction costs incurred by Kensington in connection with the Business Combination.</w:t>
      </w:r>
    </w:p>
    <w:p>
      <w:pPr>
        <w:spacing w:after="0" w:line="296" w:lineRule="exact"/>
        <w:rPr>
          <w:rFonts w:ascii="Arial" w:cs="Arial" w:eastAsia="Arial" w:hAnsi="Arial"/>
          <w:sz w:val="12"/>
          <w:szCs w:val="12"/>
          <w:color w:val="auto"/>
        </w:rPr>
      </w:pPr>
    </w:p>
    <w:p>
      <w:pPr>
        <w:ind w:left="680" w:hanging="317"/>
        <w:spacing w:after="0"/>
        <w:tabs>
          <w:tab w:leader="none" w:pos="680" w:val="left"/>
        </w:tabs>
        <w:numPr>
          <w:ilvl w:val="0"/>
          <w:numId w:val="204"/>
        </w:numPr>
        <w:rPr>
          <w:rFonts w:ascii="Arial" w:cs="Arial" w:eastAsia="Arial" w:hAnsi="Arial"/>
          <w:sz w:val="14"/>
          <w:szCs w:val="14"/>
          <w:b w:val="1"/>
          <w:bCs w:val="1"/>
          <w:color w:val="auto"/>
        </w:rPr>
      </w:pPr>
      <w:r>
        <w:rPr>
          <w:rFonts w:ascii="Arial" w:cs="Arial" w:eastAsia="Arial" w:hAnsi="Arial"/>
          <w:sz w:val="14"/>
          <w:szCs w:val="14"/>
          <w:b w:val="1"/>
          <w:bCs w:val="1"/>
          <w:color w:val="auto"/>
        </w:rPr>
        <w:t>Adjustment for Series F Preferred Stock Financing</w:t>
      </w:r>
    </w:p>
    <w:p>
      <w:pPr>
        <w:spacing w:after="0" w:line="85" w:lineRule="exact"/>
        <w:rPr>
          <w:sz w:val="20"/>
          <w:szCs w:val="20"/>
          <w:color w:val="auto"/>
        </w:rPr>
      </w:pPr>
    </w:p>
    <w:p>
      <w:pPr>
        <w:ind w:left="360" w:right="559" w:firstLine="331"/>
        <w:spacing w:after="0" w:line="291" w:lineRule="auto"/>
        <w:rPr>
          <w:sz w:val="20"/>
          <w:szCs w:val="20"/>
          <w:color w:val="auto"/>
        </w:rPr>
      </w:pPr>
      <w:r>
        <w:rPr>
          <w:rFonts w:ascii="Arial" w:cs="Arial" w:eastAsia="Arial" w:hAnsi="Arial"/>
          <w:sz w:val="12"/>
          <w:szCs w:val="12"/>
          <w:color w:val="auto"/>
        </w:rPr>
        <w:t>In May 2020 and September 2020, Legacy QuantumScape and VGA entered into a Series F Preferred Stock Purchase Agreement and related agreements and amendments thereto, pursuant to which it agreed to sell, and VGA agreed to purchase, up to a total of 7,569,508 shares of Series F Preferred Stock at $26.4218 per share for an aggregate purchase price of $200 million. Pursuant to the terms of the Series F Preferred Stock Purchase Agreement with VGA, the Series F Preferred Stock issued to VGA will fund in two tranches: (1) 3,784,754 shares of Series F Preferred Stock will be issued for $100 million on December 1, 2020, and (2) 3,784,754 shares of Series F Preferred Stock will be issued for $100 million subject to certain conditions including the achievement of a specified technical milestone by March 31, 2021, as set forth in such agreements. The Series F Preferred Stock Purchase Agreement with VGA, as amended, contains provisions pursuant to which, if the relevant closing of such Series F Preferred Stock Purchase Agreement (in whole or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241" w:right="1440" w:bottom="1440" w:gutter="0" w:footer="0" w:header="0"/>
        </w:sectPr>
      </w:pPr>
    </w:p>
    <w:bookmarkStart w:id="174" w:name="page175"/>
    <w:bookmarkEnd w:id="174"/>
    <w:p>
      <w:pPr>
        <w:ind w:left="360" w:right="459"/>
        <w:spacing w:after="0" w:line="29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4">
                      <a:extLst>
                        <a:ext uri="{28A0092B-C50C-407E-A947-70E740481C1C}"/>
                      </a:extLst>
                    </a:blip>
                    <a:srcRect/>
                    <a:stretch>
                      <a:fillRect/>
                    </a:stretch>
                  </pic:blipFill>
                  <pic:spPr bwMode="auto">
                    <a:xfrm>
                      <a:off x="0" y="0"/>
                      <a:ext cx="7179310" cy="19050"/>
                    </a:xfrm>
                    <a:prstGeom prst="rect">
                      <a:avLst/>
                    </a:prstGeom>
                    <a:noFill/>
                  </pic:spPr>
                </pic:pic>
              </a:graphicData>
            </a:graphic>
          </wp:anchor>
        </w:drawing>
        <w:t>part) occur only after effectiveness of the Merger, VGA agreed to purchase, and Kensington agreed to issue, instead of the relevant number of shares of Series F Preferred Stock to be purchased at such closing, such number of shares of Class A Common Stock as would have been issued in the Merger in exchange for such shares of Series F Preferred Stock if they had been outstanding prior to the Merger. As a result of these provisions to issue shares of Class A Common Stock, and upon consummation of the Business Combination, the convertible preferred stock tranche liability recognized by Legacy QuantumScape associated with the Series F Preferred Stock Purchase Agreements with VGA, as amended, is expected to be equity classified and accordingly, was reclassified to additional paid-in capital in Note 2(m) of this unaudited pro forma condensed combined financial information.</w:t>
      </w:r>
    </w:p>
    <w:p>
      <w:pPr>
        <w:spacing w:after="0" w:line="122" w:lineRule="exact"/>
        <w:rPr>
          <w:sz w:val="20"/>
          <w:szCs w:val="20"/>
          <w:color w:val="auto"/>
        </w:rPr>
      </w:pPr>
    </w:p>
    <w:p>
      <w:pPr>
        <w:ind w:left="360" w:right="519" w:firstLine="331"/>
        <w:spacing w:after="0" w:line="302" w:lineRule="auto"/>
        <w:rPr>
          <w:sz w:val="20"/>
          <w:szCs w:val="20"/>
          <w:color w:val="auto"/>
        </w:rPr>
      </w:pPr>
      <w:r>
        <w:rPr>
          <w:rFonts w:ascii="Arial" w:cs="Arial" w:eastAsia="Arial" w:hAnsi="Arial"/>
          <w:sz w:val="12"/>
          <w:szCs w:val="12"/>
          <w:color w:val="auto"/>
        </w:rPr>
        <w:t>On December 1, 2020, QuantumScape issued 15,221,334 shares of Class A Common Stock to VGA for $100 million. The Series F Preferred Stock Financing Adjustment reflects the pro forma adjustment for the issuance of these 15,221,334 shares of Class A Common Stock to VGA for $100 million on December 1, 2020. The Series F Preferred Stock Financing Adjustment does not include the issuance of 15,221,334 shares of Class A Common Stock to VGA subject to the achievement of a specified technical milestone.</w:t>
      </w:r>
    </w:p>
    <w:p>
      <w:pPr>
        <w:spacing w:after="0" w:line="117" w:lineRule="exact"/>
        <w:rPr>
          <w:sz w:val="20"/>
          <w:szCs w:val="20"/>
          <w:color w:val="auto"/>
        </w:rPr>
      </w:pPr>
    </w:p>
    <w:p>
      <w:pPr>
        <w:ind w:left="360" w:right="419" w:firstLine="331"/>
        <w:spacing w:after="0" w:line="289" w:lineRule="auto"/>
        <w:rPr>
          <w:sz w:val="20"/>
          <w:szCs w:val="20"/>
          <w:color w:val="auto"/>
        </w:rPr>
      </w:pPr>
      <w:r>
        <w:rPr>
          <w:rFonts w:ascii="Arial" w:cs="Arial" w:eastAsia="Arial" w:hAnsi="Arial"/>
          <w:sz w:val="12"/>
          <w:szCs w:val="12"/>
          <w:color w:val="auto"/>
        </w:rPr>
        <w:t>In August 2020, Legacy QuantumScape entered into Series F Preferred Stock Purchase Agreements and related agreements thereto with several investors, pursuant to which it agreed to sell, and the investors agreed to purchase, an aggregate of 7,115,335 shares of Series F Preferred Stock at $26.4218 per share for an aggregate purchase price of $188 million. Pursuant to the terms of these Series F Preferred Stock Purchase Agreements, funding occurred concurrent with the Closing of the Business Combination. Upon funding and issuance of the 7,115,335 shares of Series F Preferred Stock, the convertible preferred stock tranche liability associated with these shares was settled and the cash proceeds of $188 million, net of issuance costs of $11.5 million, and the fair value of the convertible preferred stock tranche liability was recorded as redeemable convertible preferred stock. The pro forma adjustment to reflect the issuance of the 7,115,335 shares of Series F Preferred Stock to these investors concurrent with the Closing of Business Combination, including the settlement of the associated convertible preferred stock tranche liability, is reflected in Note 2(g) of this unaudited pro forma condensed combined financial information.</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4. Loss per Share</w:t>
      </w:r>
    </w:p>
    <w:p>
      <w:pPr>
        <w:spacing w:after="0" w:line="85" w:lineRule="exact"/>
        <w:rPr>
          <w:sz w:val="20"/>
          <w:szCs w:val="20"/>
          <w:color w:val="auto"/>
        </w:rPr>
      </w:pPr>
    </w:p>
    <w:p>
      <w:pPr>
        <w:ind w:left="360" w:right="379" w:firstLine="331"/>
        <w:spacing w:after="0" w:line="297" w:lineRule="auto"/>
        <w:rPr>
          <w:sz w:val="20"/>
          <w:szCs w:val="20"/>
          <w:color w:val="auto"/>
        </w:rPr>
      </w:pPr>
      <w:r>
        <w:rPr>
          <w:rFonts w:ascii="Arial" w:cs="Arial" w:eastAsia="Arial" w:hAnsi="Arial"/>
          <w:sz w:val="12"/>
          <w:szCs w:val="12"/>
          <w:color w:val="auto"/>
        </w:rPr>
        <w:t>Represents the net loss per share calculated using the historical weighted average shares outstanding, and the issuance of additional shares in connection with the Business Combination, assuming the shares were outstanding since January 1, 2019. As the Business Combination is being reflected as if it had occurred at the beginning of the periods presented, the calculation of weighted average shares outstanding for basic and diluted net loss per share assumes that the shares issuable relating to the Business Combination have been outstanding for the entire periods presented. Basic and diluted earnings per share are the same for each class of common stock because they are entitled to the same liquidation and dividend rights.</w:t>
      </w:r>
    </w:p>
    <w:p>
      <w:pPr>
        <w:spacing w:after="0" w:line="120" w:lineRule="exact"/>
        <w:rPr>
          <w:sz w:val="20"/>
          <w:szCs w:val="20"/>
          <w:color w:val="auto"/>
        </w:rPr>
      </w:pPr>
    </w:p>
    <w:tbl>
      <w:tblPr>
        <w:tblLayout w:type="fixed"/>
        <w:tblInd w:w="1360" w:type="dxa"/>
        <w:tblCellMar>
          <w:top w:w="0" w:type="dxa"/>
          <w:left w:w="0" w:type="dxa"/>
          <w:bottom w:w="0" w:type="dxa"/>
          <w:right w:w="0" w:type="dxa"/>
        </w:tblCellMar>
      </w:tblPr>
      <w:tr>
        <w:trPr>
          <w:trHeight w:val="126"/>
        </w:trPr>
        <w:tc>
          <w:tcPr>
            <w:tcW w:w="3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1"/>
                <w:szCs w:val="11"/>
                <w:b w:val="1"/>
                <w:bCs w:val="1"/>
                <w:color w:val="auto"/>
                <w:w w:val="90"/>
              </w:rPr>
              <w:t>Nine Months</w:t>
            </w:r>
          </w:p>
        </w:tc>
        <w:tc>
          <w:tcPr>
            <w:tcW w:w="6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Year Ended</w:t>
            </w:r>
          </w:p>
        </w:tc>
        <w:tc>
          <w:tcPr>
            <w:tcW w:w="0" w:type="dxa"/>
            <w:vAlign w:val="bottom"/>
          </w:tcPr>
          <w:p>
            <w:pPr>
              <w:spacing w:after="0"/>
              <w:rPr>
                <w:sz w:val="1"/>
                <w:szCs w:val="1"/>
                <w:color w:val="auto"/>
              </w:rPr>
            </w:pPr>
          </w:p>
        </w:tc>
      </w:tr>
      <w:tr>
        <w:trPr>
          <w:trHeight w:val="112"/>
        </w:trPr>
        <w:tc>
          <w:tcPr>
            <w:tcW w:w="3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3"/>
          </w:tcPr>
          <w:p>
            <w:pPr>
              <w:jc w:val="center"/>
              <w:ind w:right="600"/>
              <w:spacing w:after="0" w:line="11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4"/>
          </w:tcPr>
          <w:p>
            <w:pPr>
              <w:jc w:val="center"/>
              <w:ind w:right="520"/>
              <w:spacing w:after="0" w:line="112" w:lineRule="exact"/>
              <w:rPr>
                <w:sz w:val="20"/>
                <w:szCs w:val="20"/>
                <w:color w:val="auto"/>
              </w:rPr>
            </w:pPr>
            <w:r>
              <w:rPr>
                <w:rFonts w:ascii="Arial" w:cs="Arial" w:eastAsia="Arial" w:hAnsi="Arial"/>
                <w:sz w:val="11"/>
                <w:szCs w:val="11"/>
                <w:b w:val="1"/>
                <w:bCs w:val="1"/>
                <w:color w:val="auto"/>
                <w:w w:val="87"/>
              </w:rPr>
              <w:t>September 30,</w:t>
            </w:r>
          </w:p>
        </w:tc>
        <w:tc>
          <w:tcPr>
            <w:tcW w:w="840" w:type="dxa"/>
            <w:vAlign w:val="bottom"/>
            <w:gridSpan w:val="3"/>
          </w:tcPr>
          <w:p>
            <w:pPr>
              <w:jc w:val="center"/>
              <w:ind w:right="100"/>
              <w:spacing w:after="0" w:line="112" w:lineRule="exact"/>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9"/>
        </w:trPr>
        <w:tc>
          <w:tcPr>
            <w:tcW w:w="39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1"/>
                <w:szCs w:val="11"/>
                <w:b w:val="1"/>
                <w:bCs w:val="1"/>
                <w:color w:val="auto"/>
                <w:w w:val="89"/>
              </w:rPr>
              <w:t>2020</w:t>
            </w:r>
          </w:p>
        </w:tc>
        <w:tc>
          <w:tcPr>
            <w:tcW w:w="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rPr>
              <w:t>Pro forma net loss attributable to common shareholders</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 thousands)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(59,379)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(52,491)</w:t>
            </w:r>
          </w:p>
        </w:tc>
        <w:tc>
          <w:tcPr>
            <w:tcW w:w="0" w:type="dxa"/>
            <w:vAlign w:val="bottom"/>
          </w:tcPr>
          <w:p>
            <w:pPr>
              <w:spacing w:after="0"/>
              <w:rPr>
                <w:sz w:val="1"/>
                <w:szCs w:val="1"/>
                <w:color w:val="auto"/>
              </w:rPr>
            </w:pPr>
          </w:p>
        </w:tc>
      </w:tr>
      <w:tr>
        <w:trPr>
          <w:trHeight w:val="152"/>
        </w:trPr>
        <w:tc>
          <w:tcPr>
            <w:tcW w:w="3940" w:type="dxa"/>
            <w:vAlign w:val="bottom"/>
          </w:tcPr>
          <w:p>
            <w:pPr>
              <w:spacing w:after="0" w:line="152" w:lineRule="exact"/>
              <w:rPr>
                <w:sz w:val="20"/>
                <w:szCs w:val="20"/>
                <w:color w:val="auto"/>
              </w:rPr>
            </w:pPr>
            <w:r>
              <w:rPr>
                <w:rFonts w:ascii="Arial" w:cs="Arial" w:eastAsia="Arial" w:hAnsi="Arial"/>
                <w:sz w:val="14"/>
                <w:szCs w:val="14"/>
                <w:color w:val="auto"/>
                <w:w w:val="95"/>
              </w:rPr>
              <w:t>Weighted average shares outstanding, basic and diluted - Class A</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ind w:left="140"/>
              <w:spacing w:after="0"/>
              <w:rPr>
                <w:sz w:val="20"/>
                <w:szCs w:val="20"/>
                <w:color w:val="auto"/>
              </w:rPr>
            </w:pPr>
            <w:r>
              <w:rPr>
                <w:rFonts w:ascii="Arial" w:cs="Arial" w:eastAsia="Arial" w:hAnsi="Arial"/>
                <w:sz w:val="14"/>
                <w:szCs w:val="14"/>
                <w:color w:val="auto"/>
              </w:rPr>
              <w:t>and Class B</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362,961,844</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362,961,844</w:t>
            </w: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basic and diluted - Class A and Class B (1)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(0.16)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(0.14)</w:t>
            </w:r>
          </w:p>
        </w:tc>
        <w:tc>
          <w:tcPr>
            <w:tcW w:w="0" w:type="dxa"/>
            <w:vAlign w:val="bottom"/>
          </w:tcPr>
          <w:p>
            <w:pPr>
              <w:spacing w:after="0"/>
              <w:rPr>
                <w:sz w:val="1"/>
                <w:szCs w:val="1"/>
                <w:color w:val="auto"/>
              </w:rPr>
            </w:pPr>
          </w:p>
        </w:tc>
      </w:tr>
      <w:tr>
        <w:trPr>
          <w:trHeight w:val="150"/>
        </w:trPr>
        <w:tc>
          <w:tcPr>
            <w:tcW w:w="3940" w:type="dxa"/>
            <w:vAlign w:val="bottom"/>
          </w:tcPr>
          <w:p>
            <w:pPr>
              <w:spacing w:after="0" w:line="150" w:lineRule="exact"/>
              <w:rPr>
                <w:sz w:val="20"/>
                <w:szCs w:val="20"/>
                <w:color w:val="auto"/>
              </w:rPr>
            </w:pPr>
            <w:r>
              <w:rPr>
                <w:rFonts w:ascii="Arial" w:cs="Arial" w:eastAsia="Arial" w:hAnsi="Arial"/>
                <w:sz w:val="14"/>
                <w:szCs w:val="14"/>
                <w:b w:val="1"/>
                <w:bCs w:val="1"/>
                <w:color w:val="auto"/>
                <w:w w:val="90"/>
              </w:rPr>
              <w:t>Weighted average shares calculation, basis and diluted - Class A</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40" w:type="dxa"/>
            <w:vAlign w:val="bottom"/>
          </w:tcPr>
          <w:p>
            <w:pPr>
              <w:ind w:left="140"/>
              <w:spacing w:after="0"/>
              <w:rPr>
                <w:sz w:val="20"/>
                <w:szCs w:val="20"/>
                <w:color w:val="auto"/>
              </w:rPr>
            </w:pPr>
            <w:r>
              <w:rPr>
                <w:rFonts w:ascii="Arial" w:cs="Arial" w:eastAsia="Arial" w:hAnsi="Arial"/>
                <w:sz w:val="14"/>
                <w:szCs w:val="14"/>
                <w:b w:val="1"/>
                <w:bCs w:val="1"/>
                <w:color w:val="auto"/>
              </w:rPr>
              <w:t>and Class B</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Kensington public stockholders - Class 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22,984,745</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22,984,745</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Holders of Kensington sponsor shares - Class 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5,750,000</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5,750,000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PIPE Investors - Class 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50,000,000</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50,000,000</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Legacy Quantumscape stockholders - Class A (2)(3)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84"/>
              </w:rPr>
              <w:t>125,955,812</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84"/>
              </w:rPr>
              <w:t>125,955,812</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Legacy Quantumscape stockholders - Class B (3)</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4"/>
              </w:rPr>
              <w:t>158,271,287</w:t>
            </w: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4"/>
              </w:rPr>
              <w:t>158,271,287</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362,961,844</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362,961,844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80" w:right="399" w:hanging="317"/>
        <w:spacing w:after="0" w:line="247" w:lineRule="auto"/>
        <w:tabs>
          <w:tab w:leader="none" w:pos="68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For the purpose of calculating diluted loss per share, it was assumed that all outstanding Kensington Warrants sold in the IPO are exchanged for Kensington Class A Common Stock. However, since this results in anti-dilution, the effect of such exchange was not included in the calculation of diluted loss per share.</w:t>
      </w:r>
    </w:p>
    <w:p>
      <w:pPr>
        <w:ind w:left="680" w:right="759" w:hanging="317"/>
        <w:spacing w:after="0" w:line="282" w:lineRule="auto"/>
        <w:tabs>
          <w:tab w:leader="none" w:pos="68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pro forma basic and diluted shares of Class A Legacy QuantumScape stockholders include 110,734,478 shares issued in the Business Combination and 15,221,334 shares issued to VGA on December 1, 2020 pursuant to the Series F Preferred Stock Purchase Agreement and related agreements and amendments thereto between Legacy QuantumScape and VGA.</w:t>
      </w:r>
    </w:p>
    <w:p>
      <w:pPr>
        <w:ind w:left="680" w:right="419" w:hanging="317"/>
        <w:spacing w:after="0" w:line="244" w:lineRule="auto"/>
        <w:tabs>
          <w:tab w:leader="none" w:pos="68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pro forma basic and diluted shares of Legacy QuantumScape stockholders exclude the following as these are contingently issuable shares and would reduce diluted loss per share:</w:t>
      </w:r>
    </w:p>
    <w:p>
      <w:pPr>
        <w:spacing w:after="0" w:line="78" w:lineRule="exact"/>
        <w:rPr>
          <w:rFonts w:ascii="Arial" w:cs="Arial" w:eastAsia="Arial" w:hAnsi="Arial"/>
          <w:sz w:val="14"/>
          <w:szCs w:val="14"/>
          <w:color w:val="auto"/>
        </w:rPr>
      </w:pPr>
    </w:p>
    <w:p>
      <w:pPr>
        <w:ind w:left="1100" w:hanging="331"/>
        <w:spacing w:after="0"/>
        <w:tabs>
          <w:tab w:leader="none" w:pos="1100" w:val="left"/>
        </w:tabs>
        <w:numPr>
          <w:ilvl w:val="1"/>
          <w:numId w:val="205"/>
        </w:numPr>
        <w:rPr>
          <w:rFonts w:ascii="Arial" w:cs="Arial" w:eastAsia="Arial" w:hAnsi="Arial"/>
          <w:sz w:val="14"/>
          <w:szCs w:val="14"/>
          <w:color w:val="auto"/>
        </w:rPr>
      </w:pPr>
      <w:r>
        <w:rPr>
          <w:rFonts w:ascii="Arial" w:cs="Arial" w:eastAsia="Arial" w:hAnsi="Arial"/>
          <w:sz w:val="14"/>
          <w:szCs w:val="14"/>
          <w:color w:val="auto"/>
        </w:rPr>
        <w:t>55,349,737 unexercised stock options</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205"/>
        </w:numPr>
        <w:rPr>
          <w:rFonts w:ascii="Arial" w:cs="Arial" w:eastAsia="Arial" w:hAnsi="Arial"/>
          <w:sz w:val="14"/>
          <w:szCs w:val="14"/>
          <w:color w:val="auto"/>
        </w:rPr>
      </w:pPr>
      <w:r>
        <w:rPr>
          <w:rFonts w:ascii="Arial" w:cs="Arial" w:eastAsia="Arial" w:hAnsi="Arial"/>
          <w:sz w:val="14"/>
          <w:szCs w:val="14"/>
          <w:color w:val="auto"/>
        </w:rPr>
        <w:t>1,022,740 unexercised warrants</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205"/>
        </w:numPr>
        <w:rPr>
          <w:rFonts w:ascii="Arial" w:cs="Arial" w:eastAsia="Arial" w:hAnsi="Arial"/>
          <w:sz w:val="14"/>
          <w:szCs w:val="14"/>
          <w:color w:val="auto"/>
        </w:rPr>
      </w:pPr>
      <w:r>
        <w:rPr>
          <w:rFonts w:ascii="Arial" w:cs="Arial" w:eastAsia="Arial" w:hAnsi="Arial"/>
          <w:sz w:val="14"/>
          <w:szCs w:val="14"/>
          <w:color w:val="auto"/>
        </w:rPr>
        <w:t>12,978,621 shares issuable for restricted stock units</w:t>
      </w:r>
    </w:p>
    <w:p>
      <w:pPr>
        <w:spacing w:after="0" w:line="92" w:lineRule="exact"/>
        <w:rPr>
          <w:rFonts w:ascii="Arial" w:cs="Arial" w:eastAsia="Arial" w:hAnsi="Arial"/>
          <w:sz w:val="14"/>
          <w:szCs w:val="14"/>
          <w:color w:val="auto"/>
        </w:rPr>
      </w:pPr>
    </w:p>
    <w:p>
      <w:pPr>
        <w:ind w:left="1100" w:hanging="331"/>
        <w:spacing w:after="0"/>
        <w:tabs>
          <w:tab w:leader="none" w:pos="1100" w:val="left"/>
        </w:tabs>
        <w:numPr>
          <w:ilvl w:val="1"/>
          <w:numId w:val="205"/>
        </w:numPr>
        <w:rPr>
          <w:rFonts w:ascii="Arial" w:cs="Arial" w:eastAsia="Arial" w:hAnsi="Arial"/>
          <w:sz w:val="12"/>
          <w:szCs w:val="12"/>
          <w:color w:val="auto"/>
        </w:rPr>
      </w:pPr>
      <w:r>
        <w:rPr>
          <w:rFonts w:ascii="Arial" w:cs="Arial" w:eastAsia="Arial" w:hAnsi="Arial"/>
          <w:sz w:val="12"/>
          <w:szCs w:val="12"/>
          <w:color w:val="auto"/>
        </w:rPr>
        <w:t>15,221,334 shares issuable upon the completion of a specified technical milestone pursuant to the Series F Stock Purchase Agreement with</w:t>
      </w:r>
    </w:p>
    <w:p>
      <w:pPr>
        <w:spacing w:after="0" w:line="34" w:lineRule="exact"/>
        <w:rPr>
          <w:rFonts w:ascii="Arial" w:cs="Arial" w:eastAsia="Arial" w:hAnsi="Arial"/>
          <w:sz w:val="12"/>
          <w:szCs w:val="12"/>
          <w:color w:val="auto"/>
        </w:rPr>
      </w:pPr>
    </w:p>
    <w:p>
      <w:pPr>
        <w:ind w:left="1100"/>
        <w:spacing w:after="0"/>
        <w:rPr>
          <w:rFonts w:ascii="Arial" w:cs="Arial" w:eastAsia="Arial" w:hAnsi="Arial"/>
          <w:sz w:val="12"/>
          <w:szCs w:val="12"/>
          <w:color w:val="auto"/>
        </w:rPr>
      </w:pPr>
      <w:r>
        <w:rPr>
          <w:rFonts w:ascii="Arial" w:cs="Arial" w:eastAsia="Arial" w:hAnsi="Arial"/>
          <w:sz w:val="14"/>
          <w:szCs w:val="14"/>
          <w:color w:val="auto"/>
        </w:rPr>
        <w:t>VGA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240" w:right="1440" w:bottom="1440" w:gutter="0" w:footer="0" w:header="0"/>
        </w:sectPr>
      </w:pPr>
    </w:p>
    <w:bookmarkStart w:id="175" w:name="page176"/>
    <w:bookmarkEnd w:id="175"/>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7931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5">
                      <a:extLst>
                        <a:ext uri="{28A0092B-C50C-407E-A947-70E740481C1C}"/>
                      </a:extLst>
                    </a:blip>
                    <a:srcRect/>
                    <a:stretch>
                      <a:fillRect/>
                    </a:stretch>
                  </pic:blipFill>
                  <pic:spPr bwMode="auto">
                    <a:xfrm>
                      <a:off x="0" y="0"/>
                      <a:ext cx="7179310" cy="19050"/>
                    </a:xfrm>
                    <a:prstGeom prst="rect">
                      <a:avLst/>
                    </a:prstGeom>
                    <a:noFill/>
                  </pic:spPr>
                </pic:pic>
              </a:graphicData>
            </a:graphic>
          </wp:anchor>
        </w:drawing>
        <w:t>COMPARATIVE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 INFORMATION</w:t>
      </w:r>
    </w:p>
    <w:p>
      <w:pPr>
        <w:spacing w:after="0" w:line="154" w:lineRule="exact"/>
        <w:rPr>
          <w:sz w:val="20"/>
          <w:szCs w:val="20"/>
          <w:color w:val="auto"/>
        </w:rPr>
      </w:pPr>
    </w:p>
    <w:p>
      <w:pPr>
        <w:ind w:left="360" w:right="559"/>
        <w:spacing w:after="0" w:line="259" w:lineRule="auto"/>
        <w:rPr>
          <w:sz w:val="20"/>
          <w:szCs w:val="20"/>
          <w:color w:val="auto"/>
        </w:rPr>
      </w:pPr>
      <w:r>
        <w:rPr>
          <w:rFonts w:ascii="Arial" w:cs="Arial" w:eastAsia="Arial" w:hAnsi="Arial"/>
          <w:sz w:val="14"/>
          <w:szCs w:val="14"/>
          <w:color w:val="auto"/>
        </w:rPr>
        <w:t>The following table sets forth summary historical comparative share information for Kensington and Legacy QuantumScape and unaudited pro forma condensed combined per share information after giving effect to the Business Combination.</w:t>
      </w:r>
    </w:p>
    <w:p>
      <w:pPr>
        <w:spacing w:after="0" w:line="140" w:lineRule="exact"/>
        <w:rPr>
          <w:sz w:val="20"/>
          <w:szCs w:val="20"/>
          <w:color w:val="auto"/>
        </w:rPr>
      </w:pPr>
    </w:p>
    <w:p>
      <w:pPr>
        <w:ind w:left="360" w:right="699"/>
        <w:spacing w:after="0" w:line="342" w:lineRule="auto"/>
        <w:rPr>
          <w:sz w:val="20"/>
          <w:szCs w:val="20"/>
          <w:color w:val="auto"/>
        </w:rPr>
      </w:pPr>
      <w:r>
        <w:rPr>
          <w:rFonts w:ascii="Arial" w:cs="Arial" w:eastAsia="Arial" w:hAnsi="Arial"/>
          <w:sz w:val="12"/>
          <w:szCs w:val="12"/>
          <w:color w:val="auto"/>
        </w:rPr>
        <w:t>The pro forma book value information reflects the business combination as if it had occurred on September 30, 2020. The weighted average shares outstanding and net earnings per share information reflect the business combination as if it had occurred on January 1, 2019.</w:t>
      </w:r>
    </w:p>
    <w:p>
      <w:pPr>
        <w:spacing w:after="0" w:line="94" w:lineRule="exact"/>
        <w:rPr>
          <w:sz w:val="20"/>
          <w:szCs w:val="20"/>
          <w:color w:val="auto"/>
        </w:rPr>
      </w:pPr>
    </w:p>
    <w:p>
      <w:pPr>
        <w:ind w:left="360" w:right="399"/>
        <w:spacing w:after="0" w:line="247" w:lineRule="auto"/>
        <w:rPr>
          <w:sz w:val="20"/>
          <w:szCs w:val="20"/>
          <w:color w:val="auto"/>
        </w:rPr>
      </w:pPr>
      <w:r>
        <w:rPr>
          <w:rFonts w:ascii="Arial" w:cs="Arial" w:eastAsia="Arial" w:hAnsi="Arial"/>
          <w:sz w:val="14"/>
          <w:szCs w:val="14"/>
          <w:color w:val="auto"/>
        </w:rPr>
        <w:t>This information is only a summary and should be read in conjunction with the historical financial statements of Kensington and Legacy QuantumScape and related notes included elsewhere in this Form 8-K. The unaudited pro forma combined per share information of Kensington and Legacy QuantumScape is derived from, and should be read in conjunction with, the unaudited pro forma condensed combined financial statements and related notes included elsewhere in this Form 8-K.</w:t>
      </w:r>
    </w:p>
    <w:p>
      <w:pPr>
        <w:spacing w:after="0" w:line="149" w:lineRule="exact"/>
        <w:rPr>
          <w:sz w:val="20"/>
          <w:szCs w:val="20"/>
          <w:color w:val="auto"/>
        </w:rPr>
      </w:pPr>
    </w:p>
    <w:p>
      <w:pPr>
        <w:ind w:left="360" w:right="459"/>
        <w:spacing w:after="0" w:line="302" w:lineRule="auto"/>
        <w:rPr>
          <w:sz w:val="20"/>
          <w:szCs w:val="20"/>
          <w:color w:val="auto"/>
        </w:rPr>
      </w:pPr>
      <w:r>
        <w:rPr>
          <w:rFonts w:ascii="Arial" w:cs="Arial" w:eastAsia="Arial" w:hAnsi="Arial"/>
          <w:sz w:val="12"/>
          <w:szCs w:val="12"/>
          <w:color w:val="auto"/>
        </w:rPr>
        <w:t>The unaudited pro forma combined earnings (loss) per share information below does not purport to represent the earnings (loss) per share which would have occurred had the companies been combined during the periods presented, nor earnings per share for any future date or period. The unaudited pro forma combined book value per share information below does not purport to represent what the value of Kensington and Legacy QuantumScape would have been had the companies been combined during the periods presented.</w:t>
      </w:r>
    </w:p>
    <w:p>
      <w:pPr>
        <w:spacing w:after="0" w:line="11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89"/>
              </w:rPr>
              <w:t>Kensington</w:t>
            </w:r>
          </w:p>
        </w:tc>
        <w:tc>
          <w:tcPr>
            <w:tcW w:w="118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QuantumScape</w:t>
            </w:r>
          </w:p>
        </w:tc>
        <w:tc>
          <w:tcPr>
            <w:tcW w:w="8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Combined</w:t>
            </w: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1"/>
                <w:szCs w:val="11"/>
                <w:b w:val="1"/>
                <w:bCs w:val="1"/>
                <w:color w:val="auto"/>
                <w:w w:val="93"/>
              </w:rPr>
              <w:t>(Historical)</w:t>
            </w:r>
          </w:p>
        </w:tc>
        <w:tc>
          <w:tcPr>
            <w:tcW w:w="140" w:type="dxa"/>
            <w:vAlign w:val="bottom"/>
          </w:tcPr>
          <w:p>
            <w:pPr>
              <w:spacing w:after="0"/>
              <w:rPr>
                <w:sz w:val="11"/>
                <w:szCs w:val="1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(Historical)</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Pro Forma</w:t>
            </w:r>
          </w:p>
        </w:tc>
      </w:tr>
      <w:tr>
        <w:trPr>
          <w:trHeight w:val="142"/>
        </w:trPr>
        <w:tc>
          <w:tcPr>
            <w:tcW w:w="20" w:type="dxa"/>
            <w:vAlign w:val="bottom"/>
          </w:tcPr>
          <w:p>
            <w:pPr>
              <w:spacing w:after="0"/>
              <w:rPr>
                <w:sz w:val="12"/>
                <w:szCs w:val="12"/>
                <w:color w:val="auto"/>
              </w:rPr>
            </w:pPr>
          </w:p>
        </w:tc>
        <w:tc>
          <w:tcPr>
            <w:tcW w:w="38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 of and for the Nine Months Ended September 30, 2020</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Book value per share (1)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0.80</w:t>
            </w:r>
          </w:p>
        </w:tc>
        <w:tc>
          <w:tcPr>
            <w:tcW w:w="280" w:type="dxa"/>
            <w:vAlign w:val="bottom"/>
          </w:tcPr>
          <w:p>
            <w:pPr>
              <w:spacing w:after="0"/>
              <w:rPr>
                <w:sz w:val="14"/>
                <w:szCs w:val="14"/>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auto"/>
              </w:rPr>
              <w:t>(57.88)</w:t>
            </w:r>
          </w:p>
        </w:tc>
        <w:tc>
          <w:tcPr>
            <w:tcW w:w="72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38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rPr>
              <w:t>Weighted average shares outstanding of Class A and Class B</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stock—basic and diluted</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6,248,452</w:t>
            </w:r>
          </w:p>
        </w:tc>
        <w:tc>
          <w:tcPr>
            <w:tcW w:w="2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11,244,365</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362,961,844</w:t>
            </w:r>
          </w:p>
        </w:tc>
        <w:tc>
          <w:tcPr>
            <w:tcW w:w="80" w:type="dxa"/>
            <w:vAlign w:val="bottom"/>
            <w:shd w:val="clear" w:color="auto" w:fill="CCEEFF"/>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3880" w:type="dxa"/>
            <w:vAlign w:val="bottom"/>
          </w:tcPr>
          <w:p>
            <w:pPr>
              <w:spacing w:after="0" w:line="152" w:lineRule="exact"/>
              <w:rPr>
                <w:sz w:val="20"/>
                <w:szCs w:val="20"/>
                <w:color w:val="auto"/>
              </w:rPr>
            </w:pPr>
            <w:r>
              <w:rPr>
                <w:rFonts w:ascii="Arial" w:cs="Arial" w:eastAsia="Arial" w:hAnsi="Arial"/>
                <w:sz w:val="14"/>
                <w:szCs w:val="14"/>
                <w:color w:val="auto"/>
                <w:w w:val="90"/>
              </w:rPr>
              <w:t>Net income (loss) per share of Class A and Class B common stock—</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basic and diluted</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(0.24)</w:t>
            </w:r>
          </w:p>
        </w:tc>
        <w:tc>
          <w:tcPr>
            <w:tcW w:w="1180" w:type="dxa"/>
            <w:vAlign w:val="bottom"/>
            <w:gridSpan w:val="3"/>
          </w:tcPr>
          <w:p>
            <w:pPr>
              <w:jc w:val="right"/>
              <w:ind w:right="280"/>
              <w:spacing w:after="0"/>
              <w:rPr>
                <w:sz w:val="20"/>
                <w:szCs w:val="20"/>
                <w:color w:val="auto"/>
              </w:rPr>
            </w:pPr>
            <w:r>
              <w:rPr>
                <w:rFonts w:ascii="Arial" w:cs="Arial" w:eastAsia="Arial" w:hAnsi="Arial"/>
                <w:sz w:val="14"/>
                <w:szCs w:val="14"/>
                <w:color w:val="auto"/>
              </w:rPr>
              <w:t>(36.03)</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(0.16)</w:t>
            </w:r>
          </w:p>
        </w:tc>
      </w:tr>
      <w:tr>
        <w:trPr>
          <w:trHeight w:val="163"/>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and for the Year Ended December 31, 2019</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3880" w:type="dxa"/>
            <w:vAlign w:val="bottom"/>
          </w:tcPr>
          <w:p>
            <w:pPr>
              <w:spacing w:after="0" w:line="152" w:lineRule="exact"/>
              <w:rPr>
                <w:sz w:val="20"/>
                <w:szCs w:val="20"/>
                <w:color w:val="auto"/>
              </w:rPr>
            </w:pPr>
            <w:r>
              <w:rPr>
                <w:rFonts w:ascii="Arial" w:cs="Arial" w:eastAsia="Arial" w:hAnsi="Arial"/>
                <w:sz w:val="14"/>
                <w:szCs w:val="14"/>
                <w:color w:val="auto"/>
              </w:rPr>
              <w:t>Weighted average shares outstanding of Class A and Class B</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880" w:type="dxa"/>
            <w:vAlign w:val="bottom"/>
          </w:tcPr>
          <w:p>
            <w:pPr>
              <w:ind w:left="120"/>
              <w:spacing w:after="0"/>
              <w:rPr>
                <w:sz w:val="20"/>
                <w:szCs w:val="20"/>
                <w:color w:val="auto"/>
              </w:rPr>
            </w:pPr>
            <w:r>
              <w:rPr>
                <w:rFonts w:ascii="Arial" w:cs="Arial" w:eastAsia="Arial" w:hAnsi="Arial"/>
                <w:sz w:val="14"/>
                <w:szCs w:val="14"/>
                <w:color w:val="auto"/>
              </w:rPr>
              <w:t>common stock—basic and diluted</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N/A(2)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11,194,183</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362,961,844</w:t>
            </w:r>
          </w:p>
        </w:tc>
        <w:tc>
          <w:tcPr>
            <w:tcW w:w="80" w:type="dxa"/>
            <w:vAlign w:val="bottom"/>
          </w:tcPr>
          <w:p>
            <w:pPr>
              <w:spacing w:after="0"/>
              <w:rPr>
                <w:sz w:val="15"/>
                <w:szCs w:val="15"/>
                <w:color w:val="auto"/>
              </w:rPr>
            </w:pPr>
          </w:p>
        </w:tc>
      </w:tr>
      <w:tr>
        <w:trPr>
          <w:trHeight w:val="152"/>
        </w:trPr>
        <w:tc>
          <w:tcPr>
            <w:tcW w:w="20" w:type="dxa"/>
            <w:vAlign w:val="bottom"/>
          </w:tcPr>
          <w:p>
            <w:pPr>
              <w:spacing w:after="0"/>
              <w:rPr>
                <w:sz w:val="13"/>
                <w:szCs w:val="13"/>
                <w:color w:val="auto"/>
              </w:rPr>
            </w:pPr>
          </w:p>
        </w:tc>
        <w:tc>
          <w:tcPr>
            <w:tcW w:w="3880" w:type="dxa"/>
            <w:vAlign w:val="bottom"/>
            <w:shd w:val="clear" w:color="auto" w:fill="CCEEFF"/>
          </w:tcPr>
          <w:p>
            <w:pPr>
              <w:spacing w:after="0" w:line="152" w:lineRule="exact"/>
              <w:rPr>
                <w:sz w:val="20"/>
                <w:szCs w:val="20"/>
                <w:color w:val="auto"/>
              </w:rPr>
            </w:pPr>
            <w:r>
              <w:rPr>
                <w:rFonts w:ascii="Arial" w:cs="Arial" w:eastAsia="Arial" w:hAnsi="Arial"/>
                <w:sz w:val="14"/>
                <w:szCs w:val="14"/>
                <w:color w:val="auto"/>
                <w:w w:val="90"/>
              </w:rPr>
              <w:t>Net income (loss) per share of Class A and Class B common stock—</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 and diluted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N/A(2)</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(4.58)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(0.14)</w:t>
            </w:r>
          </w:p>
        </w:tc>
      </w:tr>
    </w:tbl>
    <w:p>
      <w:pPr>
        <w:spacing w:after="0" w:line="172" w:lineRule="exact"/>
        <w:rPr>
          <w:sz w:val="20"/>
          <w:szCs w:val="20"/>
          <w:color w:val="auto"/>
        </w:rPr>
      </w:pPr>
    </w:p>
    <w:p>
      <w:pPr>
        <w:ind w:left="680" w:right="559" w:hanging="317"/>
        <w:spacing w:after="0" w:line="259" w:lineRule="auto"/>
        <w:tabs>
          <w:tab w:leader="none" w:pos="680" w:val="left"/>
        </w:tabs>
        <w:numPr>
          <w:ilvl w:val="0"/>
          <w:numId w:val="206"/>
        </w:numPr>
        <w:rPr>
          <w:rFonts w:ascii="Arial" w:cs="Arial" w:eastAsia="Arial" w:hAnsi="Arial"/>
          <w:sz w:val="14"/>
          <w:szCs w:val="14"/>
          <w:color w:val="auto"/>
        </w:rPr>
      </w:pPr>
      <w:r>
        <w:rPr>
          <w:rFonts w:ascii="Arial" w:cs="Arial" w:eastAsia="Arial" w:hAnsi="Arial"/>
          <w:sz w:val="14"/>
          <w:szCs w:val="14"/>
          <w:color w:val="auto"/>
        </w:rPr>
        <w:t>Book value per share = (Total equity excluding preferred shares)/shares outstanding. The components of book value per share calculation are as follow (in thousands except share and per share data):</w:t>
      </w:r>
    </w:p>
    <w:p>
      <w:pPr>
        <w:spacing w:after="0" w:line="13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89"/>
              </w:rPr>
              <w:t>Kensington</w:t>
            </w:r>
          </w:p>
        </w:tc>
        <w:tc>
          <w:tcPr>
            <w:tcW w:w="1180" w:type="dxa"/>
            <w:vAlign w:val="bottom"/>
            <w:gridSpan w:val="3"/>
          </w:tcPr>
          <w:p>
            <w:pPr>
              <w:jc w:val="center"/>
              <w:spacing w:after="0"/>
              <w:rPr>
                <w:sz w:val="20"/>
                <w:szCs w:val="20"/>
                <w:color w:val="auto"/>
              </w:rPr>
            </w:pPr>
            <w:r>
              <w:rPr>
                <w:rFonts w:ascii="Arial" w:cs="Arial" w:eastAsia="Arial" w:hAnsi="Arial"/>
                <w:sz w:val="11"/>
                <w:szCs w:val="11"/>
                <w:b w:val="1"/>
                <w:bCs w:val="1"/>
                <w:color w:val="auto"/>
                <w:w w:val="89"/>
              </w:rPr>
              <w:t>QuantumScape</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Combined</w:t>
            </w: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93"/>
              </w:rPr>
              <w:t>(Historical)</w:t>
            </w:r>
          </w:p>
        </w:tc>
        <w:tc>
          <w:tcPr>
            <w:tcW w:w="26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(Historical)</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Pro Forma</w:t>
            </w:r>
          </w:p>
        </w:tc>
      </w:tr>
      <w:tr>
        <w:trPr>
          <w:trHeight w:val="153"/>
        </w:trPr>
        <w:tc>
          <w:tcPr>
            <w:tcW w:w="20" w:type="dxa"/>
            <w:vAlign w:val="bottom"/>
          </w:tcPr>
          <w:p>
            <w:pPr>
              <w:spacing w:after="0"/>
              <w:rPr>
                <w:sz w:val="13"/>
                <w:szCs w:val="13"/>
                <w:color w:val="auto"/>
              </w:rPr>
            </w:pPr>
          </w:p>
        </w:tc>
        <w:tc>
          <w:tcPr>
            <w:tcW w:w="44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Total equity (excluding preferred shares)</w:t>
            </w:r>
          </w:p>
        </w:tc>
        <w:tc>
          <w:tcPr>
            <w:tcW w:w="5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5,001</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(650,829)</w:t>
            </w:r>
          </w:p>
        </w:tc>
        <w:tc>
          <w:tcPr>
            <w:tcW w:w="2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1,056,951</w:t>
            </w:r>
          </w:p>
        </w:tc>
        <w:tc>
          <w:tcPr>
            <w:tcW w:w="40" w:type="dxa"/>
            <w:vAlign w:val="bottom"/>
            <w:tcBorders>
              <w:top w:val="single" w:sz="8" w:color="CCEEFF"/>
            </w:tcBorders>
            <w:shd w:val="clear" w:color="auto" w:fill="CCEEFF"/>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Total shares outstanding - Class A and Class B</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6,248,452</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11,244,365</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362,961,844</w:t>
            </w:r>
          </w:p>
        </w:tc>
        <w:tc>
          <w:tcPr>
            <w:tcW w:w="40" w:type="dxa"/>
            <w:vAlign w:val="bottom"/>
          </w:tcPr>
          <w:p>
            <w:pPr>
              <w:spacing w:after="0"/>
              <w:rPr>
                <w:sz w:val="15"/>
                <w:szCs w:val="15"/>
                <w:color w:val="auto"/>
              </w:rPr>
            </w:pPr>
          </w:p>
        </w:tc>
      </w:tr>
    </w:tbl>
    <w:p>
      <w:pPr>
        <w:spacing w:after="0" w:line="162" w:lineRule="exact"/>
        <w:rPr>
          <w:sz w:val="20"/>
          <w:szCs w:val="20"/>
          <w:color w:val="auto"/>
        </w:rPr>
      </w:pPr>
    </w:p>
    <w:p>
      <w:pPr>
        <w:ind w:left="360"/>
        <w:spacing w:after="0"/>
        <w:tabs>
          <w:tab w:leader="none" w:pos="660" w:val="left"/>
        </w:tabs>
        <w:rPr>
          <w:sz w:val="20"/>
          <w:szCs w:val="20"/>
          <w:color w:val="auto"/>
        </w:rPr>
      </w:pPr>
      <w:r>
        <w:rPr>
          <w:rFonts w:ascii="Arial" w:cs="Arial" w:eastAsia="Arial" w:hAnsi="Arial"/>
          <w:sz w:val="14"/>
          <w:szCs w:val="14"/>
          <w:color w:val="auto"/>
        </w:rPr>
        <w:t>(2)</w:t>
        <w:tab/>
        <w:t>Not applicable as Kensington was incorporated on April 17, 2020.</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sectPr>
      <w:pgSz w:w="11900" w:h="16838" w:orient="portrait"/>
      <w:cols w:equalWidth="0" w:num="1">
        <w:col w:w="9019"/>
      </w:cols>
      <w:pgMar w:left="144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1)"/>
      <w:numFmt w:val="decimal"/>
      <w:start w:val="1"/>
    </w:lvl>
  </w:abstractNum>
  <w:abstractNum w:abstractNumId="7">
    <w:nsid w:val="1D545C4D"/>
    <w:multiLevelType w:val="hybridMultilevel"/>
    <w:lvl w:ilvl="0">
      <w:lvlJc w:val="left"/>
      <w:lvlText w:val="(%1)"/>
      <w:numFmt w:val="decimal"/>
      <w:start w:val="6"/>
    </w:lvl>
  </w:abstractNum>
  <w:abstractNum w:abstractNumId="8">
    <w:nsid w:val="59ADEA3D"/>
    <w:multiLevelType w:val="hybridMultilevel"/>
    <w:lvl w:ilvl="0">
      <w:lvlJc w:val="left"/>
      <w:lvlText w:val="(%1)"/>
      <w:numFmt w:val="lowerLetter"/>
      <w:start w:val="1"/>
    </w:lvl>
  </w:abstractNum>
  <w:abstractNum w:abstractNumId="9">
    <w:nsid w:val="288F1A34"/>
    <w:multiLevelType w:val="hybridMultilevel"/>
    <w:lvl w:ilvl="0">
      <w:lvlJc w:val="left"/>
      <w:lvlText w:val="(%1)"/>
      <w:numFmt w:val="lowerLetter"/>
      <w:start w:val="2"/>
    </w:lvl>
  </w:abstractNum>
  <w:abstractNum w:abstractNumId="10">
    <w:nsid w:val="2A155DBC"/>
    <w:multiLevelType w:val="hybridMultilevel"/>
    <w:lvl w:ilvl="0">
      <w:lvlJc w:val="left"/>
      <w:lvlText w:val="(%1)"/>
      <w:numFmt w:val="lowerLetter"/>
      <w:start w:val="3"/>
    </w:lvl>
  </w:abstractNum>
  <w:abstractNum w:abstractNumId="11">
    <w:nsid w:val="1D9F6E5F"/>
    <w:multiLevelType w:val="hybridMultilevel"/>
    <w:lvl w:ilvl="0">
      <w:lvlJc w:val="left"/>
      <w:lvlText w:val="(%1)"/>
      <w:numFmt w:val="lowerLetter"/>
      <w:start w:val="4"/>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1)"/>
      <w:numFmt w:val="decimal"/>
      <w:start w:val="1"/>
    </w:lvl>
  </w:abstractNum>
  <w:abstractNum w:abstractNumId="14">
    <w:nsid w:val="1CA0C5FA"/>
    <w:multiLevelType w:val="hybridMultilevel"/>
    <w:lvl w:ilvl="0">
      <w:lvlJc w:val="left"/>
      <w:lvlText w:val="%1."/>
      <w:numFmt w:val="decimal"/>
      <w:start w:val="1"/>
    </w:lvl>
  </w:abstractNum>
  <w:abstractNum w:abstractNumId="15">
    <w:nsid w:val="53584BCB"/>
    <w:multiLevelType w:val="hybridMultilevel"/>
    <w:lvl w:ilvl="0">
      <w:lvlJc w:val="left"/>
      <w:lvlText w:val="(%1)"/>
      <w:numFmt w:val="lowerLetter"/>
      <w:start w:val="1"/>
    </w:lvl>
  </w:abstractNum>
  <w:abstractNum w:abstractNumId="16">
    <w:nsid w:val="415E286C"/>
    <w:multiLevelType w:val="hybridMultilevel"/>
    <w:lvl w:ilvl="0">
      <w:lvlJc w:val="left"/>
      <w:lvlText w:val="(%1)"/>
      <w:numFmt w:val="lowerLetter"/>
      <w:start w:val="1"/>
    </w:lvl>
  </w:abstractNum>
  <w:abstractNum w:abstractNumId="17">
    <w:nsid w:val="7C58FD05"/>
    <w:multiLevelType w:val="hybridMultilevel"/>
    <w:lvl w:ilvl="0">
      <w:lvlJc w:val="left"/>
      <w:lvlText w:val="(%1)"/>
      <w:numFmt w:val="lowerRoman"/>
      <w:start w:val="1"/>
    </w:lvl>
  </w:abstractNum>
  <w:abstractNum w:abstractNumId="18">
    <w:nsid w:val="23D86AAC"/>
    <w:multiLevelType w:val="hybridMultilevel"/>
    <w:lvl w:ilvl="0">
      <w:lvlJc w:val="left"/>
      <w:lvlText w:val="(%1)"/>
      <w:numFmt w:val="lowerRoman"/>
      <w:start w:val="4"/>
    </w:lvl>
  </w:abstractNum>
  <w:abstractNum w:abstractNumId="19">
    <w:nsid w:val="45E6D486"/>
    <w:multiLevelType w:val="hybridMultilevel"/>
    <w:lvl w:ilvl="0">
      <w:lvlJc w:val="left"/>
      <w:lvlText w:val="(%1)"/>
      <w:numFmt w:val="lowerLetter"/>
      <w:start w:val="1"/>
    </w:lvl>
  </w:abstractNum>
  <w:abstractNum w:abstractNumId="20">
    <w:nsid w:val="5C10FE21"/>
    <w:multiLevelType w:val="hybridMultilevel"/>
    <w:lvl w:ilvl="0">
      <w:lvlJc w:val="left"/>
      <w:lvlText w:val="(%1)"/>
      <w:numFmt w:val="lowerLetter"/>
      <w:start w:val="7"/>
    </w:lvl>
  </w:abstractNum>
  <w:abstractNum w:abstractNumId="21">
    <w:nsid w:val="E7FFA2B"/>
    <w:multiLevelType w:val="hybridMultilevel"/>
    <w:lvl w:ilvl="0">
      <w:lvlJc w:val="left"/>
      <w:lvlText w:val="%1."/>
      <w:numFmt w:val="decimal"/>
      <w:start w:val="2"/>
    </w:lvl>
  </w:abstractNum>
  <w:abstractNum w:abstractNumId="22">
    <w:nsid w:val="3C5991AA"/>
    <w:multiLevelType w:val="hybridMultilevel"/>
    <w:lvl w:ilvl="0">
      <w:lvlJc w:val="left"/>
      <w:lvlText w:val="(%1)"/>
      <w:numFmt w:val="lowerRoman"/>
      <w:start w:val="1"/>
    </w:lvl>
  </w:abstractNum>
  <w:abstractNum w:abstractNumId="23">
    <w:nsid w:val="4BD8591A"/>
    <w:multiLevelType w:val="hybridMultilevel"/>
    <w:lvl w:ilvl="0">
      <w:lvlJc w:val="left"/>
      <w:lvlText w:val="%1."/>
      <w:numFmt w:val="decimal"/>
      <w:start w:val="4"/>
    </w:lvl>
  </w:abstractNum>
  <w:abstractNum w:abstractNumId="24">
    <w:nsid w:val="78DF6A55"/>
    <w:multiLevelType w:val="hybridMultilevel"/>
    <w:lvl w:ilvl="0">
      <w:lvlJc w:val="left"/>
      <w:lvlText w:val="(%1)"/>
      <w:numFmt w:val="lowerLetter"/>
      <w:start w:val="1"/>
    </w:lvl>
  </w:abstractNum>
  <w:abstractNum w:abstractNumId="25">
    <w:nsid w:val="39B7AAA2"/>
    <w:multiLevelType w:val="hybridMultilevel"/>
    <w:lvl w:ilvl="0">
      <w:lvlJc w:val="left"/>
      <w:lvlText w:val="(%1)"/>
      <w:numFmt w:val="lowerRoman"/>
      <w:start w:val="1"/>
    </w:lvl>
  </w:abstractNum>
  <w:abstractNum w:abstractNumId="26">
    <w:nsid w:val="2B0D8DBE"/>
    <w:multiLevelType w:val="hybridMultilevel"/>
    <w:lvl w:ilvl="0">
      <w:lvlJc w:val="left"/>
      <w:lvlText w:val="(%1)"/>
      <w:numFmt w:val="lowerRoman"/>
      <w:start w:val="2"/>
    </w:lvl>
  </w:abstractNum>
  <w:abstractNum w:abstractNumId="27">
    <w:nsid w:val="6C80EC70"/>
    <w:multiLevelType w:val="hybridMultilevel"/>
    <w:lvl w:ilvl="0">
      <w:lvlJc w:val="left"/>
      <w:lvlText w:val="%1."/>
      <w:numFmt w:val="decimal"/>
      <w:start w:val="5"/>
    </w:lvl>
  </w:abstractNum>
  <w:abstractNum w:abstractNumId="28">
    <w:nsid w:val="379E21B5"/>
    <w:multiLevelType w:val="hybridMultilevel"/>
    <w:lvl w:ilvl="0">
      <w:lvlJc w:val="left"/>
      <w:lvlText w:val="(%1)"/>
      <w:numFmt w:val="lowerLetter"/>
      <w:start w:val="1"/>
    </w:lvl>
  </w:abstractNum>
  <w:abstractNum w:abstractNumId="29">
    <w:nsid w:val="69E373"/>
    <w:multiLevelType w:val="hybridMultilevel"/>
    <w:lvl w:ilvl="0">
      <w:lvlJc w:val="left"/>
      <w:lvlText w:val="(%1)"/>
      <w:numFmt w:val="lowerLetter"/>
      <w:start w:val="3"/>
    </w:lvl>
  </w:abstractNum>
  <w:abstractNum w:abstractNumId="30">
    <w:nsid w:val="2C27173B"/>
    <w:multiLevelType w:val="hybridMultilevel"/>
    <w:lvl w:ilvl="0">
      <w:lvlJc w:val="left"/>
      <w:lvlText w:val="%1."/>
      <w:numFmt w:val="decimal"/>
      <w:start w:val="7"/>
    </w:lvl>
  </w:abstractNum>
  <w:abstractNum w:abstractNumId="31">
    <w:nsid w:val="4C9B0904"/>
    <w:multiLevelType w:val="hybridMultilevel"/>
    <w:lvl w:ilvl="0">
      <w:lvlJc w:val="left"/>
      <w:lvlText w:val="%1."/>
      <w:numFmt w:val="decimal"/>
      <w:start w:val="1"/>
    </w:lvl>
  </w:abstractNum>
  <w:abstractNum w:abstractNumId="32">
    <w:nsid w:val="6AA7B75C"/>
    <w:multiLevelType w:val="hybridMultilevel"/>
    <w:lvl w:ilvl="0">
      <w:lvlJc w:val="left"/>
      <w:lvlText w:val="%1."/>
      <w:numFmt w:val="decimal"/>
      <w:start w:val="2"/>
    </w:lvl>
  </w:abstractNum>
  <w:abstractNum w:abstractNumId="33">
    <w:nsid w:val="1DF029D3"/>
    <w:multiLevelType w:val="hybridMultilevel"/>
    <w:lvl w:ilvl="0">
      <w:lvlJc w:val="left"/>
      <w:lvlText w:val="%1."/>
      <w:numFmt w:val="decimal"/>
      <w:start w:val="1"/>
    </w:lvl>
  </w:abstractNum>
  <w:abstractNum w:abstractNumId="34">
    <w:nsid w:val="5675FF36"/>
    <w:multiLevelType w:val="hybridMultilevel"/>
    <w:lvl w:ilvl="0">
      <w:lvlJc w:val="left"/>
      <w:lvlText w:val="(%1)"/>
      <w:numFmt w:val="lowerLetter"/>
      <w:start w:val="1"/>
    </w:lvl>
  </w:abstractNum>
  <w:abstractNum w:abstractNumId="35">
    <w:nsid w:val="3DD15094"/>
    <w:multiLevelType w:val="hybridMultilevel"/>
    <w:lvl w:ilvl="0">
      <w:lvlJc w:val="left"/>
      <w:lvlText w:val="%1."/>
      <w:numFmt w:val="decimal"/>
      <w:start w:val="2"/>
    </w:lvl>
  </w:abstractNum>
  <w:abstractNum w:abstractNumId="36">
    <w:nsid w:val="3DB012B3"/>
    <w:multiLevelType w:val="hybridMultilevel"/>
    <w:lvl w:ilvl="0">
      <w:lvlJc w:val="left"/>
      <w:lvlText w:val="%1."/>
      <w:numFmt w:val="decimal"/>
      <w:start w:val="1"/>
    </w:lvl>
  </w:abstractNum>
  <w:abstractNum w:abstractNumId="37">
    <w:nsid w:val="2708C9AF"/>
    <w:multiLevelType w:val="hybridMultilevel"/>
    <w:lvl w:ilvl="0">
      <w:lvlJc w:val="left"/>
      <w:lvlText w:val="%1."/>
      <w:numFmt w:val="decimal"/>
      <w:start w:val="3"/>
    </w:lvl>
  </w:abstractNum>
  <w:abstractNum w:abstractNumId="38">
    <w:nsid w:val="5B25ACE2"/>
    <w:multiLevelType w:val="hybridMultilevel"/>
    <w:lvl w:ilvl="0">
      <w:lvlJc w:val="left"/>
      <w:lvlText w:val="(%1)"/>
      <w:numFmt w:val="lowerLetter"/>
      <w:start w:val="1"/>
    </w:lvl>
  </w:abstractNum>
  <w:abstractNum w:abstractNumId="39">
    <w:nsid w:val="175DFCF0"/>
    <w:multiLevelType w:val="hybridMultilevel"/>
    <w:lvl w:ilvl="0">
      <w:lvlJc w:val="left"/>
      <w:lvlText w:val="(%1)"/>
      <w:numFmt w:val="lowerLetter"/>
      <w:start w:val="1"/>
    </w:lvl>
    <w:lvl w:ilvl="1">
      <w:lvlJc w:val="left"/>
      <w:lvlText w:val="(%2)"/>
      <w:numFmt w:val="lowerLetter"/>
      <w:start w:val="9"/>
    </w:lvl>
  </w:abstractNum>
  <w:abstractNum w:abstractNumId="40">
    <w:nsid w:val="4F97E3E4"/>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41">
    <w:nsid w:val="53B0A9E"/>
    <w:multiLevelType w:val="hybridMultilevel"/>
    <w:lvl w:ilvl="0">
      <w:lvlJc w:val="left"/>
      <w:lvlText w:val="%1"/>
      <w:numFmt w:val="decimal"/>
      <w:start w:val="1"/>
    </w:lvl>
    <w:lvl w:ilvl="1">
      <w:lvlJc w:val="left"/>
      <w:lvlText w:val="(%2)"/>
      <w:numFmt w:val="upperLetter"/>
      <w:start w:val="4"/>
    </w:lvl>
  </w:abstractNum>
  <w:abstractNum w:abstractNumId="42">
    <w:nsid w:val="34FD6B4F"/>
    <w:multiLevelType w:val="hybridMultilevel"/>
    <w:lvl w:ilvl="0">
      <w:lvlJc w:val="left"/>
      <w:lvlText w:val="(%1)"/>
      <w:numFmt w:val="decimal"/>
      <w:start w:val="2"/>
    </w:lvl>
    <w:lvl w:ilvl="1">
      <w:lvlJc w:val="left"/>
      <w:lvlText w:val="(%2)"/>
      <w:numFmt w:val="upperLetter"/>
      <w:start w:val="1"/>
    </w:lvl>
  </w:abstractNum>
  <w:abstractNum w:abstractNumId="43">
    <w:nsid w:val="5915FF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44">
    <w:nsid w:val="56438D15"/>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45">
    <w:nsid w:val="519E314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
    <w:nsid w:val="2C6E4AFD"/>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47">
    <w:nsid w:val="17A1B582"/>
    <w:multiLevelType w:val="hybridMultilevel"/>
    <w:lvl w:ilvl="0">
      <w:lvlJc w:val="left"/>
      <w:lvlText w:val="(%1)"/>
      <w:numFmt w:val="lowerRoman"/>
      <w:start w:val="6"/>
    </w:lvl>
  </w:abstractNum>
  <w:abstractNum w:abstractNumId="48">
    <w:nsid w:val="4DF72E4E"/>
    <w:multiLevelType w:val="hybridMultilevel"/>
    <w:lvl w:ilvl="0">
      <w:lvlJc w:val="left"/>
      <w:lvlText w:val="(%1)"/>
      <w:numFmt w:val="lowerLetter"/>
      <w:start w:val="1"/>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lowerLetter"/>
      <w:start w:val="1"/>
    </w:lvl>
  </w:abstractNum>
  <w:abstractNum w:abstractNumId="52">
    <w:nsid w:val="5EC6AFD4"/>
    <w:multiLevelType w:val="hybridMultilevel"/>
    <w:lvl w:ilvl="0">
      <w:lvlJc w:val="left"/>
      <w:lvlText w:val="(%1)"/>
      <w:numFmt w:val="lowerLetter"/>
      <w:start w:val="1"/>
    </w:lvl>
  </w:abstractNum>
  <w:abstractNum w:abstractNumId="53">
    <w:nsid w:val="19E21BB2"/>
    <w:multiLevelType w:val="hybridMultilevel"/>
    <w:lvl w:ilvl="0">
      <w:lvlJc w:val="left"/>
      <w:lvlText w:val="%1."/>
      <w:numFmt w:val="decimal"/>
      <w:start w:val="1"/>
    </w:lvl>
    <w:lvl w:ilvl="1">
      <w:lvlJc w:val="left"/>
      <w:lvlText w:val="(%2)"/>
      <w:numFmt w:val="lowerLetter"/>
      <w:start w:val="1"/>
    </w:lvl>
  </w:abstractNum>
  <w:abstractNum w:abstractNumId="54">
    <w:nsid w:val="75E0858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5">
    <w:nsid w:val="57A61A2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6">
    <w:nsid w:val="5399C654"/>
    <w:multiLevelType w:val="hybridMultilevel"/>
    <w:lvl w:ilvl="0">
      <w:lvlJc w:val="left"/>
      <w:lvlText w:val="(%1)"/>
      <w:numFmt w:val="lowerLetter"/>
      <w:start w:val="8"/>
    </w:lvl>
  </w:abstractNum>
  <w:abstractNum w:abstractNumId="57">
    <w:nsid w:val="20EE1348"/>
    <w:multiLevelType w:val="hybridMultilevel"/>
    <w:lvl w:ilvl="0">
      <w:lvlJc w:val="left"/>
      <w:lvlText w:val="%1."/>
      <w:numFmt w:val="decimal"/>
      <w:start w:val="4"/>
    </w:lvl>
    <w:lvl w:ilvl="1">
      <w:lvlJc w:val="left"/>
      <w:lvlText w:val="(%2)"/>
      <w:numFmt w:val="lowerLetter"/>
      <w:start w:val="1"/>
    </w:lvl>
  </w:abstractNum>
  <w:abstractNum w:abstractNumId="58">
    <w:nsid w:val="4427069A"/>
    <w:multiLevelType w:val="hybridMultilevel"/>
    <w:lvl w:ilvl="0">
      <w:lvlJc w:val="left"/>
      <w:lvlText w:val="(%1)"/>
      <w:numFmt w:val="lowerLetter"/>
      <w:start w:val="5"/>
    </w:lvl>
  </w:abstractNum>
  <w:abstractNum w:abstractNumId="59">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2157F6BC"/>
    <w:multiLevelType w:val="hybridMultilevel"/>
    <w:lvl w:ilvl="0">
      <w:lvlJc w:val="left"/>
      <w:lvlText w:val="(%1)"/>
      <w:numFmt w:val="lowerRoman"/>
      <w:start w:val="3"/>
    </w:lvl>
  </w:abstractNum>
  <w:abstractNum w:abstractNumId="61">
    <w:nsid w:val="704E1DD5"/>
    <w:multiLevelType w:val="hybridMultilevel"/>
    <w:lvl w:ilvl="0">
      <w:lvlJc w:val="left"/>
      <w:lvlText w:val="%1"/>
      <w:numFmt w:val="lowerLetter"/>
      <w:start w:val="1"/>
    </w:lvl>
    <w:lvl w:ilvl="1">
      <w:lvlJc w:val="left"/>
      <w:lvlText w:val="(%2)"/>
      <w:numFmt w:val="decimal"/>
      <w:start w:val="1"/>
    </w:lvl>
  </w:abstractNum>
  <w:abstractNum w:abstractNumId="62">
    <w:nsid w:val="57D2F10E"/>
    <w:multiLevelType w:val="hybridMultilevel"/>
    <w:lvl w:ilvl="0">
      <w:lvlJc w:val="left"/>
      <w:lvlText w:val="(%1)"/>
      <w:numFmt w:val="lowerLetter"/>
      <w:start w:val="2"/>
    </w:lvl>
    <w:lvl w:ilvl="1">
      <w:lvlJc w:val="left"/>
      <w:lvlText w:val="%2"/>
      <w:numFmt w:val="decimal"/>
      <w:start w:val="1"/>
    </w:lvl>
  </w:abstractNum>
  <w:abstractNum w:abstractNumId="63">
    <w:nsid w:val="BFFAE18"/>
    <w:multiLevelType w:val="hybridMultilevel"/>
    <w:lvl w:ilvl="0">
      <w:lvlJc w:val="left"/>
      <w:lvlText w:val="%1"/>
      <w:numFmt w:val="decimal"/>
      <w:start w:val="1"/>
    </w:lvl>
    <w:lvl w:ilvl="1">
      <w:lvlJc w:val="left"/>
      <w:lvlText w:val="(%2)"/>
      <w:numFmt w:val="lowerLetter"/>
      <w:start w:val="7"/>
    </w:lvl>
  </w:abstractNum>
  <w:abstractNum w:abstractNumId="64">
    <w:nsid w:val="E3E47A8"/>
    <w:multiLevelType w:val="hybridMultilevel"/>
    <w:lvl w:ilvl="0">
      <w:lvlJc w:val="left"/>
      <w:lvlText w:val="%1."/>
      <w:numFmt w:val="decimal"/>
      <w:start w:val="2"/>
    </w:lvl>
    <w:lvl w:ilvl="1">
      <w:lvlJc w:val="left"/>
      <w:lvlText w:val="%2"/>
      <w:numFmt w:val="lowerLetter"/>
      <w:start w:val="1"/>
    </w:lvl>
  </w:abstractNum>
  <w:abstractNum w:abstractNumId="65">
    <w:nsid w:val="2E48F04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49D0FEAC"/>
    <w:multiLevelType w:val="hybridMultilevel"/>
    <w:lvl w:ilvl="0">
      <w:lvlJc w:val="left"/>
      <w:lvlText w:val="%1"/>
      <w:numFmt w:val="decimal"/>
      <w:start w:val="1"/>
    </w:lvl>
    <w:lvl w:ilvl="1">
      <w:lvlJc w:val="left"/>
      <w:lvlText w:val="(%2)"/>
      <w:numFmt w:val="lowerLetter"/>
      <w:start w:val="1"/>
    </w:lvl>
  </w:abstractNum>
  <w:abstractNum w:abstractNumId="67">
    <w:nsid w:val="4BEE5A5B"/>
    <w:multiLevelType w:val="hybridMultilevel"/>
    <w:lvl w:ilvl="0">
      <w:lvlJc w:val="left"/>
      <w:lvlText w:val="%1."/>
      <w:numFmt w:val="decimal"/>
      <w:start w:val="8"/>
    </w:lvl>
    <w:lvl w:ilvl="1">
      <w:lvlJc w:val="left"/>
      <w:lvlText w:val="(%2)"/>
      <w:numFmt w:val="lowerLetter"/>
      <w:start w:val="1"/>
    </w:lvl>
  </w:abstractNum>
  <w:abstractNum w:abstractNumId="68">
    <w:nsid w:val="5551B9F3"/>
    <w:multiLevelType w:val="hybridMultilevel"/>
    <w:lvl w:ilvl="0">
      <w:lvlJc w:val="left"/>
      <w:lvlText w:val="%1"/>
      <w:numFmt w:val="decimal"/>
      <w:start w:val="1"/>
    </w:lvl>
    <w:lvl w:ilvl="1">
      <w:lvlJc w:val="left"/>
      <w:lvlText w:val="(%2)"/>
      <w:numFmt w:val="lowerLetter"/>
      <w:start w:val="2"/>
    </w:lvl>
  </w:abstractNum>
  <w:abstractNum w:abstractNumId="69">
    <w:nsid w:val="24F6AB8E"/>
    <w:multiLevelType w:val="hybridMultilevel"/>
    <w:lvl w:ilvl="0">
      <w:lvlJc w:val="left"/>
      <w:lvlText w:val="%1."/>
      <w:numFmt w:val="decimal"/>
      <w:start w:val="10"/>
    </w:lvl>
    <w:lvl w:ilvl="1">
      <w:lvlJc w:val="left"/>
      <w:lvlText w:val="(%2)"/>
      <w:numFmt w:val="lowerLetter"/>
      <w:start w:val="1"/>
    </w:lvl>
  </w:abstractNum>
  <w:abstractNum w:abstractNumId="70">
    <w:nsid w:val="634C574C"/>
    <w:multiLevelType w:val="hybridMultilevel"/>
    <w:lvl w:ilvl="0">
      <w:lvlJc w:val="left"/>
      <w:lvlText w:val="%1"/>
      <w:numFmt w:val="decimal"/>
      <w:start w:val="1"/>
    </w:lvl>
    <w:lvl w:ilvl="1">
      <w:lvlJc w:val="left"/>
      <w:lvlText w:val="(%2)"/>
      <w:numFmt w:val="lowerLetter"/>
      <w:start w:val="3"/>
    </w:lvl>
  </w:abstractNum>
  <w:abstractNum w:abstractNumId="71">
    <w:nsid w:val="24E99DD7"/>
    <w:multiLevelType w:val="hybridMultilevel"/>
    <w:lvl w:ilvl="0">
      <w:lvlJc w:val="left"/>
      <w:lvlText w:val="%1."/>
      <w:numFmt w:val="decimal"/>
      <w:start w:val="11"/>
    </w:lvl>
    <w:lvl w:ilvl="1">
      <w:lvlJc w:val="left"/>
      <w:lvlText w:val="(%2)"/>
      <w:numFmt w:val="lowerLetter"/>
      <w:start w:val="1"/>
    </w:lvl>
  </w:abstractNum>
  <w:abstractNum w:abstractNumId="72">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3">
    <w:nsid w:val="1849C29B"/>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74">
    <w:nsid w:val="7DFF9D0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5">
    <w:nsid w:val="754342"/>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76">
    <w:nsid w:val="69E7F3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7">
    <w:nsid w:val="2A6DE806"/>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78">
    <w:nsid w:val="1816F8C4"/>
    <w:multiLevelType w:val="hybridMultilevel"/>
    <w:lvl w:ilvl="0">
      <w:lvlJc w:val="left"/>
      <w:lvlText w:val="%1."/>
      <w:numFmt w:val="decimal"/>
      <w:start w:val="16"/>
    </w:lvl>
  </w:abstractNum>
  <w:abstractNum w:abstractNumId="79">
    <w:nsid w:val="37DF2233"/>
    <w:multiLevelType w:val="hybridMultilevel"/>
    <w:lvl w:ilvl="0">
      <w:lvlJc w:val="left"/>
      <w:lvlText w:val="%1."/>
      <w:numFmt w:val="decimal"/>
      <w:start w:val="20"/>
    </w:lvl>
  </w:abstractNum>
  <w:abstractNum w:abstractNumId="80">
    <w:nsid w:val="7AB49DAF"/>
    <w:multiLevelType w:val="hybridMultilevel"/>
    <w:lvl w:ilvl="0">
      <w:lvlJc w:val="left"/>
      <w:lvlText w:val="(%1)"/>
      <w:numFmt w:val="lowerLetter"/>
      <w:start w:val="1"/>
    </w:lvl>
  </w:abstractNum>
  <w:abstractNum w:abstractNumId="81">
    <w:nsid w:val="759F82CD"/>
    <w:multiLevelType w:val="hybridMultilevel"/>
    <w:lvl w:ilvl="0">
      <w:lvlJc w:val="left"/>
      <w:lvlText w:val="%1"/>
      <w:numFmt w:val="lowerRoman"/>
      <w:start w:val="1"/>
    </w:lvl>
    <w:lvl w:ilvl="1">
      <w:lvlJc w:val="left"/>
      <w:lvlText w:val="%2."/>
      <w:numFmt w:val="decimal"/>
      <w:start w:val="27"/>
    </w:lvl>
  </w:abstractNum>
  <w:abstractNum w:abstractNumId="82">
    <w:nsid w:val="61E74EA3"/>
    <w:multiLevelType w:val="hybridMultilevel"/>
    <w:lvl w:ilvl="0">
      <w:lvlJc w:val="left"/>
      <w:lvlText w:val="(%1)"/>
      <w:numFmt w:val="lowerRoman"/>
      <w:start w:val="5"/>
    </w:lvl>
    <w:lvl w:ilvl="1">
      <w:lvlJc w:val="left"/>
      <w:lvlText w:val="%2."/>
      <w:numFmt w:val="decimal"/>
      <w:start w:val="28"/>
    </w:lvl>
  </w:abstractNum>
  <w:abstractNum w:abstractNumId="83">
    <w:nsid w:val="597B4D84"/>
    <w:multiLevelType w:val="hybridMultilevel"/>
    <w:lvl w:ilvl="0">
      <w:lvlJc w:val="left"/>
      <w:lvlText w:val="%1."/>
      <w:numFmt w:val="decimal"/>
      <w:start w:val="1"/>
    </w:lvl>
    <w:lvl w:ilvl="1">
      <w:lvlJc w:val="left"/>
      <w:lvlText w:val="•"/>
      <w:numFmt w:val="bullet"/>
      <w:start w:val="1"/>
    </w:lvl>
  </w:abstractNum>
  <w:abstractNum w:abstractNumId="84">
    <w:nsid w:val="F819E7F"/>
    <w:multiLevelType w:val="hybridMultilevel"/>
    <w:lvl w:ilvl="0">
      <w:lvlJc w:val="left"/>
      <w:lvlText w:val="%1."/>
      <w:numFmt w:val="decimal"/>
      <w:start w:val="2"/>
    </w:lvl>
    <w:lvl w:ilvl="1">
      <w:lvlJc w:val="left"/>
      <w:lvlText w:val="(%2)"/>
      <w:numFmt w:val="lowerLetter"/>
      <w:start w:val="1"/>
    </w:lvl>
  </w:abstractNum>
  <w:abstractNum w:abstractNumId="85">
    <w:nsid w:val="57C7D42D"/>
    <w:multiLevelType w:val="hybridMultilevel"/>
    <w:lvl w:ilvl="0">
      <w:lvlJc w:val="left"/>
      <w:lvlText w:val="(%1)"/>
      <w:numFmt w:val="lowerLetter"/>
      <w:start w:val="2"/>
    </w:lvl>
    <w:lvl w:ilvl="1">
      <w:lvlJc w:val="left"/>
      <w:lvlText w:val="(%2)"/>
      <w:numFmt w:val="lowerLetter"/>
      <w:start w:val="9"/>
    </w:lvl>
  </w:abstractNum>
  <w:abstractNum w:abstractNumId="86">
    <w:nsid w:val="312167AD"/>
    <w:multiLevelType w:val="hybridMultilevel"/>
    <w:lvl w:ilvl="0">
      <w:lvlJc w:val="left"/>
      <w:lvlText w:val="(%1)"/>
      <w:numFmt w:val="lowerRoman"/>
      <w:start w:val="2"/>
    </w:lvl>
  </w:abstractNum>
  <w:abstractNum w:abstractNumId="87">
    <w:nsid w:val="631B64D4"/>
    <w:multiLevelType w:val="hybridMultilevel"/>
    <w:lvl w:ilvl="0">
      <w:lvlJc w:val="left"/>
      <w:lvlText w:val="(%1)"/>
      <w:numFmt w:val="lowerLetter"/>
      <w:start w:val="7"/>
    </w:lvl>
  </w:abstractNum>
  <w:abstractNum w:abstractNumId="88">
    <w:nsid w:val="78B5E776"/>
    <w:multiLevelType w:val="hybridMultilevel"/>
    <w:lvl w:ilvl="0">
      <w:lvlJc w:val="left"/>
      <w:lvlText w:val="(%1)"/>
      <w:numFmt w:val="lowerLetter"/>
      <w:start w:val="12"/>
    </w:lvl>
    <w:lvl w:ilvl="1">
      <w:lvlJc w:val="left"/>
      <w:lvlText w:val="(%2)"/>
      <w:numFmt w:val="lowerRoman"/>
      <w:start w:val="1"/>
    </w:lvl>
  </w:abstractNum>
  <w:abstractNum w:abstractNumId="89">
    <w:nsid w:val="75486E47"/>
    <w:multiLevelType w:val="hybridMultilevel"/>
    <w:lvl w:ilvl="0">
      <w:lvlJc w:val="left"/>
      <w:lvlText w:val="(%1)"/>
      <w:numFmt w:val="lowerLetter"/>
      <w:start w:val="19"/>
    </w:lvl>
  </w:abstractNum>
  <w:abstractNum w:abstractNumId="90">
    <w:nsid w:val="6E534CDE"/>
    <w:multiLevelType w:val="hybridMultilevel"/>
    <w:lvl w:ilvl="0">
      <w:lvlJc w:val="left"/>
      <w:lvlText w:val="(%1)"/>
      <w:numFmt w:val="lowerLetter"/>
      <w:start w:val="20"/>
    </w:lvl>
  </w:abstractNum>
  <w:abstractNum w:abstractNumId="91">
    <w:nsid w:val="1A0DDE32"/>
    <w:multiLevelType w:val="hybridMultilevel"/>
    <w:lvl w:ilvl="0">
      <w:lvlJc w:val="left"/>
      <w:lvlText w:val="(%1)"/>
      <w:numFmt w:val="lowerLetter"/>
      <w:start w:val="27"/>
    </w:lvl>
  </w:abstractNum>
  <w:abstractNum w:abstractNumId="92">
    <w:nsid w:val="65968C1C"/>
    <w:multiLevelType w:val="hybridMultilevel"/>
    <w:lvl w:ilvl="0">
      <w:lvlJc w:val="left"/>
      <w:lvlText w:val="%1"/>
      <w:numFmt w:val="decimal"/>
      <w:start w:val="1"/>
    </w:lvl>
    <w:lvl w:ilvl="1">
      <w:lvlJc w:val="left"/>
      <w:lvlText w:val="(%2)"/>
      <w:numFmt w:val="lowerLetter"/>
      <w:start w:val="39"/>
    </w:lvl>
  </w:abstractNum>
  <w:abstractNum w:abstractNumId="93">
    <w:nsid w:val="46263DEC"/>
    <w:multiLevelType w:val="hybridMultilevel"/>
    <w:lvl w:ilvl="0">
      <w:lvlJc w:val="left"/>
      <w:lvlText w:val="%1."/>
      <w:numFmt w:val="decimal"/>
      <w:start w:val="3"/>
    </w:lvl>
    <w:lvl w:ilvl="1">
      <w:lvlJc w:val="left"/>
      <w:lvlText w:val="(%2)"/>
      <w:numFmt w:val="lowerLetter"/>
      <w:start w:val="1"/>
    </w:lvl>
  </w:abstractNum>
  <w:abstractNum w:abstractNumId="94">
    <w:nsid w:val="260D8C4A"/>
    <w:multiLevelType w:val="hybridMultilevel"/>
    <w:lvl w:ilvl="0">
      <w:lvlJc w:val="left"/>
      <w:lvlText w:val="(%1)"/>
      <w:numFmt w:val="lowerRoman"/>
      <w:start w:val="1"/>
    </w:lvl>
  </w:abstractNum>
  <w:abstractNum w:abstractNumId="95">
    <w:nsid w:val="73D4D3C4"/>
    <w:multiLevelType w:val="hybridMultilevel"/>
    <w:lvl w:ilvl="0">
      <w:lvlJc w:val="left"/>
      <w:lvlText w:val="%1"/>
      <w:numFmt w:val="lowerLetter"/>
      <w:start w:val="1"/>
    </w:lvl>
    <w:lvl w:ilvl="1">
      <w:lvlJc w:val="left"/>
      <w:lvlText w:val="(%2)"/>
      <w:numFmt w:val="lowerRoman"/>
      <w:start w:val="2"/>
    </w:lvl>
  </w:abstractNum>
  <w:abstractNum w:abstractNumId="96">
    <w:nsid w:val="746F2E30"/>
    <w:multiLevelType w:val="hybridMultilevel"/>
    <w:lvl w:ilvl="0">
      <w:lvlJc w:val="left"/>
      <w:lvlText w:val="(%1)"/>
      <w:numFmt w:val="lowerLetter"/>
      <w:start w:val="2"/>
    </w:lvl>
    <w:lvl w:ilvl="1">
      <w:lvlJc w:val="left"/>
      <w:lvlText w:val="(%2)"/>
      <w:numFmt w:val="lowerRoman"/>
      <w:start w:val="1"/>
    </w:lvl>
  </w:abstractNum>
  <w:abstractNum w:abstractNumId="97">
    <w:nsid w:val="6FDE8AF6"/>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5"/>
      <w:numFmt w:val="decimal"/>
      <w:start w:val="1"/>
    </w:lvl>
    <w:lvl w:ilvl="5">
      <w:lvlJc w:val="left"/>
      <w:lvlText w:val="%6"/>
      <w:numFmt w:val="upperLetter"/>
      <w:start w:val="1"/>
    </w:lvl>
  </w:abstractNum>
  <w:abstractNum w:abstractNumId="98">
    <w:nsid w:val="3FC32E20"/>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5)"/>
      <w:numFmt w:val="decimal"/>
      <w:start w:val="1"/>
    </w:lvl>
    <w:lvl w:ilvl="5">
      <w:lvlJc w:val="left"/>
      <w:lvlText w:val="(%6)"/>
      <w:numFmt w:val="upperLetter"/>
      <w:start w:val="1"/>
    </w:lvl>
  </w:abstractNum>
  <w:abstractNum w:abstractNumId="99">
    <w:nsid w:val="49C0E823"/>
    <w:multiLevelType w:val="hybridMultilevel"/>
    <w:lvl w:ilvl="0">
      <w:lvlJc w:val="left"/>
      <w:lvlText w:val="(%1)"/>
      <w:numFmt w:val="decimal"/>
      <w:start w:val="2"/>
    </w:lvl>
    <w:lvl w:ilvl="1">
      <w:lvlJc w:val="left"/>
      <w:lvlText w:val="(%2)"/>
      <w:numFmt w:val="lowerLetter"/>
      <w:start w:val="4"/>
    </w:lvl>
    <w:lvl w:ilvl="2">
      <w:lvlJc w:val="left"/>
      <w:lvlText w:val="(%3)"/>
      <w:numFmt w:val="lowerLetter"/>
      <w:start w:val="9"/>
    </w:lvl>
  </w:abstractNum>
  <w:abstractNum w:abstractNumId="100">
    <w:nsid w:val="14D53685"/>
    <w:multiLevelType w:val="hybridMultilevel"/>
    <w:lvl w:ilvl="0">
      <w:lvlJc w:val="left"/>
      <w:lvlText w:val="(%1)"/>
      <w:numFmt w:val="lowerRoman"/>
      <w:start w:val="2"/>
    </w:lvl>
  </w:abstractNum>
  <w:abstractNum w:abstractNumId="101">
    <w:nsid w:val="230F85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102">
    <w:nsid w:val="6EAA85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3">
    <w:nsid w:val="3F06ECB2"/>
    <w:multiLevelType w:val="hybridMultilevel"/>
    <w:lvl w:ilvl="0">
      <w:lvlJc w:val="left"/>
      <w:lvlText w:val="%1"/>
      <w:numFmt w:val="decimal"/>
      <w:start w:val="1"/>
    </w:lvl>
    <w:lvl w:ilvl="1">
      <w:lvlJc w:val="left"/>
      <w:lvlText w:val="(%2)"/>
      <w:numFmt w:val="lowerLetter"/>
      <w:start w:val="5"/>
    </w:lvl>
  </w:abstractNum>
  <w:abstractNum w:abstractNumId="104">
    <w:nsid w:val="3B594807"/>
    <w:multiLevelType w:val="hybridMultilevel"/>
    <w:lvl w:ilvl="0">
      <w:lvlJc w:val="left"/>
      <w:lvlText w:val="%1."/>
      <w:numFmt w:val="decimal"/>
      <w:start w:val="8"/>
    </w:lvl>
    <w:lvl w:ilvl="1">
      <w:lvlJc w:val="left"/>
      <w:lvlText w:val="(%2)"/>
      <w:numFmt w:val="lowerLetter"/>
      <w:start w:val="1"/>
    </w:lvl>
  </w:abstractNum>
  <w:abstractNum w:abstractNumId="105">
    <w:nsid w:val="6CAA2304"/>
    <w:multiLevelType w:val="hybridMultilevel"/>
    <w:lvl w:ilvl="0">
      <w:lvlJc w:val="left"/>
      <w:lvlText w:val="(%1)"/>
      <w:numFmt w:val="lowerLetter"/>
      <w:start w:val="2"/>
    </w:lvl>
    <w:lvl w:ilvl="1">
      <w:lvlJc w:val="left"/>
      <w:lvlText w:val="(%2)"/>
      <w:numFmt w:val="lowerRoman"/>
      <w:start w:val="1"/>
    </w:lvl>
  </w:abstractNum>
  <w:abstractNum w:abstractNumId="106">
    <w:nsid w:val="3F7C2FF4"/>
    <w:multiLevelType w:val="hybridMultilevel"/>
    <w:lvl w:ilvl="0">
      <w:lvlJc w:val="left"/>
      <w:lvlText w:val="%1."/>
      <w:numFmt w:val="decimal"/>
      <w:start w:val="10"/>
    </w:lvl>
    <w:lvl w:ilvl="1">
      <w:lvlJc w:val="left"/>
      <w:lvlText w:val="(%2)"/>
      <w:numFmt w:val="lowerLetter"/>
      <w:start w:val="1"/>
    </w:lvl>
  </w:abstractNum>
  <w:abstractNum w:abstractNumId="107">
    <w:nsid w:val="25413BEC"/>
    <w:multiLevelType w:val="hybridMultilevel"/>
    <w:lvl w:ilvl="0">
      <w:lvlJc w:val="left"/>
      <w:lvlText w:val="%1"/>
      <w:numFmt w:val="decimal"/>
      <w:start w:val="1"/>
    </w:lvl>
    <w:lvl w:ilvl="1">
      <w:lvlJc w:val="left"/>
      <w:lvlText w:val="(%2)"/>
      <w:numFmt w:val="lowerLetter"/>
      <w:start w:val="5"/>
    </w:lvl>
  </w:abstractNum>
  <w:abstractNum w:abstractNumId="108">
    <w:nsid w:val="17180B0B"/>
    <w:multiLevelType w:val="hybridMultilevel"/>
    <w:lvl w:ilvl="0">
      <w:lvlJc w:val="left"/>
      <w:lvlText w:val="%1."/>
      <w:numFmt w:val="decimal"/>
      <w:start w:val="11"/>
    </w:lvl>
    <w:lvl w:ilvl="1">
      <w:lvlJc w:val="left"/>
      <w:lvlText w:val="(%2)"/>
      <w:numFmt w:val="lowerLetter"/>
      <w:start w:val="1"/>
    </w:lvl>
  </w:abstractNum>
  <w:abstractNum w:abstractNumId="109">
    <w:nsid w:val="579328B9"/>
    <w:multiLevelType w:val="hybridMultilevel"/>
    <w:lvl w:ilvl="0">
      <w:lvlJc w:val="left"/>
      <w:lvlText w:val="%1"/>
      <w:numFmt w:val="lowerLetter"/>
      <w:start w:val="1"/>
    </w:lvl>
    <w:lvl w:ilvl="1">
      <w:lvlJc w:val="left"/>
      <w:lvlText w:val="(%2)"/>
      <w:numFmt w:val="lowerLetter"/>
      <w:start w:val="3"/>
    </w:lvl>
  </w:abstractNum>
  <w:abstractNum w:abstractNumId="110">
    <w:nsid w:val="5D205E20"/>
    <w:multiLevelType w:val="hybridMultilevel"/>
    <w:lvl w:ilvl="0">
      <w:lvlJc w:val="left"/>
      <w:lvlText w:val="(%1)"/>
      <w:numFmt w:val="lowerLetter"/>
      <w:start w:val="61"/>
    </w:lvl>
    <w:lvl w:ilvl="1">
      <w:lvlJc w:val="left"/>
      <w:lvlText w:val="%2"/>
      <w:numFmt w:val="lowerLetter"/>
      <w:start w:val="1"/>
    </w:lvl>
  </w:abstractNum>
  <w:abstractNum w:abstractNumId="111">
    <w:nsid w:val="11CCA8BA"/>
    <w:multiLevelType w:val="hybridMultilevel"/>
    <w:lvl w:ilvl="0">
      <w:lvlJc w:val="left"/>
      <w:lvlText w:val="%1"/>
      <w:numFmt w:val="decimal"/>
      <w:start w:val="1"/>
    </w:lvl>
    <w:lvl w:ilvl="1">
      <w:lvlJc w:val="left"/>
      <w:lvlText w:val="(%2)"/>
      <w:numFmt w:val="lowerLetter"/>
      <w:start w:val="4"/>
    </w:lvl>
  </w:abstractNum>
  <w:abstractNum w:abstractNumId="112">
    <w:nsid w:val="4D32AB86"/>
    <w:multiLevelType w:val="hybridMultilevel"/>
    <w:lvl w:ilvl="0">
      <w:lvlJc w:val="left"/>
      <w:lvlText w:val="%1."/>
      <w:numFmt w:val="decimal"/>
      <w:start w:val="15"/>
    </w:lvl>
    <w:lvl w:ilvl="1">
      <w:lvlJc w:val="left"/>
      <w:lvlText w:val="(%2)"/>
      <w:numFmt w:val="lowerLetter"/>
      <w:start w:val="1"/>
    </w:lvl>
  </w:abstractNum>
  <w:abstractNum w:abstractNumId="113">
    <w:nsid w:val="3F07ACC3"/>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114">
    <w:nsid w:val="6B47F63E"/>
    <w:multiLevelType w:val="hybridMultilevel"/>
    <w:lvl w:ilvl="0">
      <w:lvlJc w:val="left"/>
      <w:lvlText w:val="(%1)"/>
      <w:numFmt w:val="lowerLetter"/>
      <w:start w:val="35"/>
    </w:lvl>
    <w:lvl w:ilvl="1">
      <w:lvlJc w:val="left"/>
      <w:lvlText w:val="%2."/>
      <w:numFmt w:val="decimal"/>
      <w:start w:val="19"/>
    </w:lvl>
    <w:lvl w:ilvl="2">
      <w:lvlJc w:val="left"/>
      <w:lvlText w:val="(%3)"/>
      <w:numFmt w:val="lowerLetter"/>
      <w:start w:val="1"/>
    </w:lvl>
  </w:abstractNum>
  <w:abstractNum w:abstractNumId="115">
    <w:nsid w:val="5CB44A05"/>
    <w:multiLevelType w:val="hybridMultilevel"/>
    <w:lvl w:ilvl="0">
      <w:lvlJc w:val="left"/>
      <w:lvlText w:val="%1."/>
      <w:numFmt w:val="decimal"/>
      <w:start w:val="22"/>
    </w:lvl>
    <w:lvl w:ilvl="1">
      <w:lvlJc w:val="left"/>
      <w:lvlText w:val="(%2)"/>
      <w:numFmt w:val="lowerLetter"/>
      <w:start w:val="1"/>
    </w:lvl>
  </w:abstractNum>
  <w:abstractNum w:abstractNumId="116">
    <w:nsid w:val="16CF80F1"/>
    <w:multiLevelType w:val="hybridMultilevel"/>
    <w:lvl w:ilvl="0">
      <w:lvlJc w:val="left"/>
      <w:lvlText w:val="(%1)"/>
      <w:numFmt w:val="decimal"/>
      <w:start w:val="3"/>
    </w:lvl>
  </w:abstractNum>
  <w:abstractNum w:abstractNumId="117">
    <w:nsid w:val="1C695DE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18">
    <w:nsid w:val="3FCFAED9"/>
    <w:multiLevelType w:val="hybridMultilevel"/>
    <w:lvl w:ilvl="0">
      <w:lvlJc w:val="left"/>
      <w:lvlText w:val="(%1)"/>
      <w:numFmt w:val="lowerLetter"/>
      <w:start w:val="2"/>
    </w:lvl>
    <w:lvl w:ilvl="1">
      <w:lvlJc w:val="left"/>
      <w:lvlText w:val="-"/>
      <w:numFmt w:val="bullet"/>
      <w:start w:val="1"/>
    </w:lvl>
  </w:abstractNum>
  <w:abstractNum w:abstractNumId="119">
    <w:nsid w:val="F856867"/>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20">
    <w:nsid w:val="11B1CC3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21">
    <w:nsid w:val="2E22FBB7"/>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22">
    <w:nsid w:val="2993469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123">
    <w:nsid w:val="7748585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4">
    <w:nsid w:val="744939A3"/>
    <w:multiLevelType w:val="hybridMultilevel"/>
    <w:lvl w:ilvl="0">
      <w:lvlJc w:val="left"/>
      <w:lvlText w:val="%1."/>
      <w:numFmt w:val="decimal"/>
      <w:start w:val="12"/>
    </w:lvl>
    <w:lvl w:ilvl="1">
      <w:lvlJc w:val="left"/>
      <w:lvlText w:val="-"/>
      <w:numFmt w:val="bullet"/>
      <w:start w:val="1"/>
    </w:lvl>
  </w:abstractNum>
  <w:abstractNum w:abstractNumId="125">
    <w:nsid w:val="4FA0D2E3"/>
    <w:multiLevelType w:val="hybridMultilevel"/>
    <w:lvl w:ilvl="0">
      <w:lvlJc w:val="left"/>
      <w:lvlText w:val="%1."/>
      <w:numFmt w:val="decimal"/>
      <w:start w:val="15"/>
    </w:lvl>
    <w:lvl w:ilvl="1">
      <w:lvlJc w:val="left"/>
      <w:lvlText w:val="-"/>
      <w:numFmt w:val="bullet"/>
      <w:start w:val="1"/>
    </w:lvl>
  </w:abstractNum>
  <w:abstractNum w:abstractNumId="126">
    <w:nsid w:val="6B1D2C14"/>
    <w:multiLevelType w:val="hybridMultilevel"/>
    <w:lvl w:ilvl="0">
      <w:lvlJc w:val="left"/>
      <w:lvlText w:val="%1."/>
      <w:numFmt w:val="decimal"/>
      <w:start w:val="21"/>
    </w:lvl>
    <w:lvl w:ilvl="1">
      <w:lvlJc w:val="left"/>
      <w:lvlText w:val="-"/>
      <w:numFmt w:val="bullet"/>
      <w:start w:val="1"/>
    </w:lvl>
  </w:abstractNum>
  <w:abstractNum w:abstractNumId="127">
    <w:nsid w:val="68B867D3"/>
    <w:multiLevelType w:val="hybridMultilevel"/>
    <w:lvl w:ilvl="0">
      <w:lvlJc w:val="left"/>
      <w:lvlText w:val="%1."/>
      <w:numFmt w:val="decimal"/>
      <w:start w:val="27"/>
    </w:lvl>
  </w:abstractNum>
  <w:abstractNum w:abstractNumId="128">
    <w:nsid w:val="3F7F5DD9"/>
    <w:multiLevelType w:val="hybridMultilevel"/>
    <w:lvl w:ilvl="0">
      <w:lvlJc w:val="left"/>
      <w:lvlText w:val="%1."/>
      <w:numFmt w:val="decimal"/>
      <w:start w:val="1"/>
    </w:lvl>
  </w:abstractNum>
  <w:abstractNum w:abstractNumId="129">
    <w:nsid w:val="2AE05A34"/>
    <w:multiLevelType w:val="hybridMultilevel"/>
    <w:lvl w:ilvl="0">
      <w:lvlJc w:val="left"/>
      <w:lvlText w:val="%1."/>
      <w:numFmt w:val="decimal"/>
      <w:start w:val="6"/>
    </w:lvl>
  </w:abstractNum>
  <w:abstractNum w:abstractNumId="130">
    <w:nsid w:val="32794F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31">
    <w:nsid w:val="545494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
      <w:numFmt w:val="bullet"/>
      <w:start w:val="1"/>
    </w:lvl>
  </w:abstractNum>
  <w:abstractNum w:abstractNumId="132">
    <w:nsid w:val="4DEFDFA0"/>
    <w:multiLevelType w:val="hybridMultilevel"/>
    <w:lvl w:ilvl="0">
      <w:lvlJc w:val="left"/>
      <w:lvlText w:val="(%1)"/>
      <w:numFmt w:val="decimal"/>
      <w:start w:val="6"/>
    </w:lvl>
    <w:lvl w:ilvl="1">
      <w:lvlJc w:val="left"/>
      <w:lvlText w:val="%2."/>
      <w:numFmt w:val="decimal"/>
      <w:start w:val="4"/>
    </w:lvl>
    <w:lvl w:ilvl="2">
      <w:lvlJc w:val="left"/>
      <w:lvlText w:val="(%3)"/>
      <w:numFmt w:val="lowerLetter"/>
      <w:start w:val="3"/>
    </w:lvl>
    <w:lvl w:ilvl="3">
      <w:lvlJc w:val="left"/>
      <w:lvlText w:val="%4"/>
      <w:numFmt w:val="lowerLetter"/>
      <w:start w:val="1"/>
    </w:lvl>
    <w:lvl w:ilvl="4">
      <w:lvlJc w:val="left"/>
      <w:lvlText w:val="-"/>
      <w:numFmt w:val="bullet"/>
      <w:start w:val="1"/>
    </w:lvl>
  </w:abstractNum>
  <w:abstractNum w:abstractNumId="133">
    <w:nsid w:val="2123D5F2"/>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134">
    <w:nsid w:val="135B8110"/>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35">
    <w:nsid w:val="94927A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36">
    <w:nsid w:val="DCDF8F6"/>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37">
    <w:nsid w:val="52D7B105"/>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38">
    <w:nsid w:val="2E8A639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139">
    <w:nsid w:val="24E6040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40">
    <w:nsid w:val="2A6AD9BE"/>
    <w:multiLevelType w:val="hybridMultilevel"/>
    <w:lvl w:ilvl="0">
      <w:lvlJc w:val="left"/>
      <w:lvlText w:val="%1."/>
      <w:numFmt w:val="decimal"/>
      <w:start w:val="13"/>
    </w:lvl>
    <w:lvl w:ilvl="1">
      <w:lvlJc w:val="left"/>
      <w:lvlText w:val="-"/>
      <w:numFmt w:val="bullet"/>
      <w:start w:val="1"/>
    </w:lvl>
  </w:abstractNum>
  <w:abstractNum w:abstractNumId="141">
    <w:nsid w:val="BAAC1B4"/>
    <w:multiLevelType w:val="hybridMultilevel"/>
    <w:lvl w:ilvl="0">
      <w:lvlJc w:val="left"/>
      <w:lvlText w:val="%1."/>
      <w:numFmt w:val="decimal"/>
      <w:start w:val="14"/>
    </w:lvl>
    <w:lvl w:ilvl="1">
      <w:lvlJc w:val="left"/>
      <w:lvlText w:val="-"/>
      <w:numFmt w:val="bullet"/>
      <w:start w:val="1"/>
    </w:lvl>
  </w:abstractNum>
  <w:abstractNum w:abstractNumId="142">
    <w:nsid w:val="36B2ACBC"/>
    <w:multiLevelType w:val="hybridMultilevel"/>
    <w:lvl w:ilvl="0">
      <w:lvlJc w:val="left"/>
      <w:lvlText w:val="%1."/>
      <w:numFmt w:val="decimal"/>
      <w:start w:val="21"/>
    </w:lvl>
    <w:lvl w:ilvl="1">
      <w:lvlJc w:val="left"/>
      <w:lvlText w:val="-"/>
      <w:numFmt w:val="bullet"/>
      <w:start w:val="1"/>
    </w:lvl>
  </w:abstractNum>
  <w:abstractNum w:abstractNumId="143">
    <w:nsid w:val="779D8544"/>
    <w:multiLevelType w:val="hybridMultilevel"/>
    <w:lvl w:ilvl="0">
      <w:lvlJc w:val="left"/>
      <w:lvlText w:val="%1."/>
      <w:numFmt w:val="decimal"/>
      <w:start w:val="27"/>
    </w:lvl>
  </w:abstractNum>
  <w:abstractNum w:abstractNumId="144">
    <w:nsid w:val="4AB26E78"/>
    <w:multiLevelType w:val="hybridMultilevel"/>
    <w:lvl w:ilvl="0">
      <w:lvlJc w:val="left"/>
      <w:lvlText w:val="%1."/>
      <w:numFmt w:val="decimal"/>
      <w:start w:val="1"/>
    </w:lvl>
    <w:lvl w:ilvl="1">
      <w:lvlJc w:val="left"/>
      <w:lvlText w:val="(%2)"/>
      <w:numFmt w:val="lowerLetter"/>
      <w:start w:val="1"/>
    </w:lvl>
  </w:abstractNum>
  <w:abstractNum w:abstractNumId="145">
    <w:nsid w:val="21FAA2FA"/>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146">
    <w:nsid w:val="5451CF4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7">
    <w:nsid w:val="6181EF69"/>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48">
    <w:nsid w:val="3E6400E6"/>
    <w:multiLevelType w:val="hybridMultilevel"/>
    <w:lvl w:ilvl="0">
      <w:lvlJc w:val="left"/>
      <w:lvlText w:val="(%1)"/>
      <w:numFmt w:val="lowerLetter"/>
      <w:start w:val="2"/>
    </w:lvl>
    <w:lvl w:ilvl="1">
      <w:lvlJc w:val="left"/>
      <w:lvlText w:val="-"/>
      <w:numFmt w:val="bullet"/>
      <w:start w:val="1"/>
    </w:lvl>
  </w:abstractNum>
  <w:abstractNum w:abstractNumId="149">
    <w:nsid w:val="14217E23"/>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50">
    <w:nsid w:val="710757D0"/>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51">
    <w:nsid w:val="5015CD1A"/>
    <w:multiLevelType w:val="hybridMultilevel"/>
    <w:lvl w:ilvl="0">
      <w:lvlJc w:val="left"/>
      <w:lvlText w:val="%1"/>
      <w:numFmt w:val="decimal"/>
      <w:start w:val="1"/>
    </w:lvl>
    <w:lvl w:ilvl="1">
      <w:lvlJc w:val="left"/>
      <w:lvlText w:val="(%2)"/>
      <w:numFmt w:val="lowerRoman"/>
      <w:start w:val="3"/>
    </w:lvl>
  </w:abstractNum>
  <w:abstractNum w:abstractNumId="152">
    <w:nsid w:val="424479DA"/>
    <w:multiLevelType w:val="hybridMultilevel"/>
    <w:lvl w:ilvl="0">
      <w:lvlJc w:val="left"/>
      <w:lvlText w:val="%1."/>
      <w:numFmt w:val="decimal"/>
      <w:start w:val="11"/>
    </w:lvl>
    <w:lvl w:ilvl="1">
      <w:lvlJc w:val="left"/>
      <w:lvlText w:val="%2"/>
      <w:numFmt w:val="lowerRoman"/>
      <w:start w:val="1"/>
    </w:lvl>
  </w:abstractNum>
  <w:abstractNum w:abstractNumId="153">
    <w:nsid w:val="1A9A9E69"/>
    <w:multiLevelType w:val="hybridMultilevel"/>
    <w:lvl w:ilvl="0">
      <w:lvlJc w:val="left"/>
      <w:lvlText w:val="%1."/>
      <w:numFmt w:val="decimal"/>
      <w:start w:val="13"/>
    </w:lvl>
    <w:lvl w:ilvl="1">
      <w:lvlJc w:val="left"/>
      <w:lvlText w:val="-"/>
      <w:numFmt w:val="bullet"/>
      <w:start w:val="1"/>
    </w:lvl>
  </w:abstractNum>
  <w:abstractNum w:abstractNumId="154">
    <w:nsid w:val="475E256A"/>
    <w:multiLevelType w:val="hybridMultilevel"/>
    <w:lvl w:ilvl="0">
      <w:lvlJc w:val="left"/>
      <w:lvlText w:val="%1."/>
      <w:numFmt w:val="decimal"/>
      <w:start w:val="19"/>
    </w:lvl>
    <w:lvl w:ilvl="1">
      <w:lvlJc w:val="left"/>
      <w:lvlText w:val="-"/>
      <w:numFmt w:val="bullet"/>
      <w:start w:val="1"/>
    </w:lvl>
  </w:abstractNum>
  <w:abstractNum w:abstractNumId="155">
    <w:nsid w:val="368DB37E"/>
    <w:multiLevelType w:val="hybridMultilevel"/>
    <w:lvl w:ilvl="0">
      <w:lvlJc w:val="left"/>
      <w:lvlText w:val="%1."/>
      <w:numFmt w:val="decimal"/>
      <w:start w:val="24"/>
    </w:lvl>
    <w:lvl w:ilvl="1">
      <w:lvlJc w:val="left"/>
      <w:lvlText w:val="*"/>
      <w:numFmt w:val="bullet"/>
      <w:start w:val="1"/>
    </w:lvl>
    <w:lvl w:ilvl="2">
      <w:lvlJc w:val="left"/>
      <w:lvlText w:val="-"/>
      <w:numFmt w:val="bullet"/>
      <w:start w:val="1"/>
    </w:lvl>
  </w:abstractNum>
  <w:abstractNum w:abstractNumId="156">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7">
    <w:nsid w:val="327B517E"/>
    <w:multiLevelType w:val="hybridMultilevel"/>
    <w:lvl w:ilvl="0">
      <w:lvlJc w:val="left"/>
      <w:lvlText w:val="(%1)"/>
      <w:numFmt w:val="lowerRoman"/>
      <w:start w:val="3"/>
    </w:lvl>
  </w:abstractNum>
  <w:abstractNum w:abstractNumId="158">
    <w:nsid w:val="1F461B51"/>
    <w:multiLevelType w:val="hybridMultilevel"/>
    <w:lvl w:ilvl="0">
      <w:lvlJc w:val="left"/>
      <w:lvlText w:val="(%1)"/>
      <w:numFmt w:val="lowerLetter"/>
      <w:start w:val="6"/>
    </w:lvl>
  </w:abstractNum>
  <w:abstractNum w:abstractNumId="159">
    <w:nsid w:val="29BACF25"/>
    <w:multiLevelType w:val="hybridMultilevel"/>
    <w:lvl w:ilvl="0">
      <w:lvlJc w:val="left"/>
      <w:lvlText w:val="(%1)"/>
      <w:numFmt w:val="lowerLetter"/>
      <w:start w:val="12"/>
    </w:lvl>
  </w:abstractNum>
  <w:abstractNum w:abstractNumId="160">
    <w:nsid w:val="5D5BABB3"/>
    <w:multiLevelType w:val="hybridMultilevel"/>
    <w:lvl w:ilvl="0">
      <w:lvlJc w:val="left"/>
      <w:lvlText w:val="(%1)"/>
      <w:numFmt w:val="lowerLetter"/>
      <w:start w:val="20"/>
    </w:lvl>
    <w:lvl w:ilvl="1">
      <w:lvlJc w:val="left"/>
      <w:lvlText w:val="(%2)"/>
      <w:numFmt w:val="lowerRoman"/>
      <w:start w:val="1"/>
    </w:lvl>
  </w:abstractNum>
  <w:abstractNum w:abstractNumId="161">
    <w:nsid w:val="51BF6B48"/>
    <w:multiLevelType w:val="hybridMultilevel"/>
    <w:lvl w:ilvl="0">
      <w:lvlJc w:val="left"/>
      <w:lvlText w:val="(%1)"/>
      <w:numFmt w:val="lowerLetter"/>
      <w:start w:val="21"/>
    </w:lvl>
  </w:abstractNum>
  <w:abstractNum w:abstractNumId="162">
    <w:nsid w:val="7E0F6384"/>
    <w:multiLevelType w:val="hybridMultilevel"/>
    <w:lvl w:ilvl="0">
      <w:lvlJc w:val="left"/>
      <w:lvlText w:val="(%1)"/>
      <w:numFmt w:val="lowerLetter"/>
      <w:start w:val="27"/>
    </w:lvl>
  </w:abstractNum>
  <w:abstractNum w:abstractNumId="163">
    <w:nsid w:val="2B4B8B53"/>
    <w:multiLevelType w:val="hybridMultilevel"/>
    <w:lvl w:ilvl="0">
      <w:lvlJc w:val="left"/>
      <w:lvlText w:val="%1"/>
      <w:numFmt w:val="decimal"/>
      <w:start w:val="1"/>
    </w:lvl>
    <w:lvl w:ilvl="1">
      <w:lvlJc w:val="left"/>
      <w:lvlText w:val="(%2)"/>
      <w:numFmt w:val="lowerLetter"/>
      <w:start w:val="29"/>
    </w:lvl>
  </w:abstractNum>
  <w:abstractNum w:abstractNumId="164">
    <w:nsid w:val="72E3413A"/>
    <w:multiLevelType w:val="hybridMultilevel"/>
    <w:lvl w:ilvl="0">
      <w:lvlJc w:val="left"/>
      <w:lvlText w:val="%1."/>
      <w:numFmt w:val="decimal"/>
      <w:start w:val="3"/>
    </w:lvl>
    <w:lvl w:ilvl="1">
      <w:lvlJc w:val="left"/>
      <w:lvlText w:val="(%2)"/>
      <w:numFmt w:val="lowerLetter"/>
      <w:start w:val="1"/>
    </w:lvl>
  </w:abstractNum>
  <w:abstractNum w:abstractNumId="165">
    <w:nsid w:val="116AE494"/>
    <w:multiLevelType w:val="hybridMultilevel"/>
    <w:lvl w:ilvl="0">
      <w:lvlJc w:val="left"/>
      <w:lvlText w:val="%1."/>
      <w:numFmt w:val="decimal"/>
      <w:start w:val="5"/>
    </w:lvl>
    <w:lvl w:ilvl="1">
      <w:lvlJc w:val="left"/>
      <w:lvlText w:val="(%2)"/>
      <w:numFmt w:val="lowerLetter"/>
      <w:start w:val="1"/>
    </w:lvl>
  </w:abstractNum>
  <w:abstractNum w:abstractNumId="166">
    <w:nsid w:val="3494B2FB"/>
    <w:multiLevelType w:val="hybridMultilevel"/>
    <w:lvl w:ilvl="0">
      <w:lvlJc w:val="left"/>
      <w:lvlText w:val="%1"/>
      <w:numFmt w:val="decimal"/>
      <w:start w:val="1"/>
    </w:lvl>
    <w:lvl w:ilvl="1">
      <w:lvlJc w:val="left"/>
      <w:lvlText w:val="(%2)"/>
      <w:numFmt w:val="lowerLetter"/>
      <w:start w:val="5"/>
    </w:lvl>
  </w:abstractNum>
  <w:abstractNum w:abstractNumId="167">
    <w:nsid w:val="B13A31"/>
    <w:multiLevelType w:val="hybridMultilevel"/>
    <w:lvl w:ilvl="0">
      <w:lvlJc w:val="left"/>
      <w:lvlText w:val="%1."/>
      <w:numFmt w:val="decimal"/>
      <w:start w:val="7"/>
    </w:lvl>
    <w:lvl w:ilvl="1">
      <w:lvlJc w:val="left"/>
      <w:lvlText w:val="(%2)"/>
      <w:numFmt w:val="lowerLetter"/>
      <w:start w:val="1"/>
    </w:lvl>
  </w:abstractNum>
  <w:abstractNum w:abstractNumId="168">
    <w:nsid w:val="64429599"/>
    <w:multiLevelType w:val="hybridMultilevel"/>
    <w:lvl w:ilvl="0">
      <w:lvlJc w:val="left"/>
      <w:lvlText w:val="%1"/>
      <w:numFmt w:val="decimal"/>
      <w:start w:val="1"/>
    </w:lvl>
    <w:lvl w:ilvl="1">
      <w:lvlJc w:val="left"/>
      <w:lvlText w:val="(%2)"/>
      <w:numFmt w:val="lowerLetter"/>
      <w:start w:val="2"/>
    </w:lvl>
  </w:abstractNum>
  <w:abstractNum w:abstractNumId="169">
    <w:nsid w:val="631F1690"/>
    <w:multiLevelType w:val="hybridMultilevel"/>
    <w:lvl w:ilvl="0">
      <w:lvlJc w:val="left"/>
      <w:lvlText w:val="%1."/>
      <w:numFmt w:val="decimal"/>
      <w:start w:val="9"/>
    </w:lvl>
    <w:lvl w:ilvl="1">
      <w:lvlJc w:val="left"/>
      <w:lvlText w:val="(%2)"/>
      <w:numFmt w:val="lowerLetter"/>
      <w:start w:val="1"/>
    </w:lvl>
  </w:abstractNum>
  <w:abstractNum w:abstractNumId="170">
    <w:nsid w:val="25973E32"/>
    <w:multiLevelType w:val="hybridMultilevel"/>
    <w:lvl w:ilvl="0">
      <w:lvlJc w:val="left"/>
      <w:lvlText w:val="%1"/>
      <w:numFmt w:val="decimal"/>
      <w:start w:val="1"/>
    </w:lvl>
    <w:lvl w:ilvl="1">
      <w:lvlJc w:val="left"/>
      <w:lvlText w:val="(%2)"/>
      <w:numFmt w:val="lowerLetter"/>
      <w:start w:val="2"/>
    </w:lvl>
  </w:abstractNum>
  <w:abstractNum w:abstractNumId="171">
    <w:nsid w:val="EAD6F57"/>
    <w:multiLevelType w:val="hybridMultilevel"/>
    <w:lvl w:ilvl="0">
      <w:lvlJc w:val="left"/>
      <w:lvlText w:val="%1."/>
      <w:numFmt w:val="decimal"/>
      <w:start w:val="11"/>
    </w:lvl>
    <w:lvl w:ilvl="1">
      <w:lvlJc w:val="left"/>
      <w:lvlText w:val="(%2)"/>
      <w:numFmt w:val="lowerLetter"/>
      <w:start w:val="1"/>
    </w:lvl>
  </w:abstractNum>
  <w:abstractNum w:abstractNumId="172">
    <w:nsid w:val="6EC9D844"/>
    <w:multiLevelType w:val="hybridMultilevel"/>
    <w:lvl w:ilvl="0">
      <w:lvlJc w:val="left"/>
      <w:lvlText w:val="%1."/>
      <w:numFmt w:val="decimal"/>
      <w:start w:val="15"/>
    </w:lvl>
    <w:lvl w:ilvl="1">
      <w:lvlJc w:val="left"/>
      <w:lvlText w:val="(%2)"/>
      <w:numFmt w:val="lowerLetter"/>
      <w:start w:val="1"/>
    </w:lvl>
  </w:abstractNum>
  <w:abstractNum w:abstractNumId="173">
    <w:nsid w:val="5C49EAE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4">
    <w:nsid w:val="64AF49B"/>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9"/>
    </w:lvl>
  </w:abstractNum>
  <w:abstractNum w:abstractNumId="175">
    <w:nsid w:val="397C46BC"/>
    <w:multiLevelType w:val="hybridMultilevel"/>
    <w:lvl w:ilvl="0">
      <w:lvlJc w:val="left"/>
      <w:lvlText w:val="(%1)"/>
      <w:numFmt w:val="lowerRoman"/>
      <w:start w:val="2"/>
    </w:lvl>
  </w:abstractNum>
  <w:abstractNum w:abstractNumId="176">
    <w:nsid w:val="7E448DE9"/>
    <w:multiLevelType w:val="hybridMultilevel"/>
    <w:lvl w:ilvl="0">
      <w:lvlJc w:val="left"/>
      <w:lvlText w:val="%1."/>
      <w:numFmt w:val="decimal"/>
      <w:start w:val="20"/>
    </w:lvl>
  </w:abstractNum>
  <w:abstractNum w:abstractNumId="177">
    <w:nsid w:val="5A9CC3E5"/>
    <w:multiLevelType w:val="hybridMultilevel"/>
    <w:lvl w:ilvl="0">
      <w:lvlJc w:val="left"/>
      <w:lvlText w:val="%1."/>
      <w:numFmt w:val="decimal"/>
      <w:start w:val="22"/>
    </w:lvl>
  </w:abstractNum>
  <w:abstractNum w:abstractNumId="178">
    <w:nsid w:val="1AFE3625"/>
    <w:multiLevelType w:val="hybridMultilevel"/>
    <w:lvl w:ilvl="0">
      <w:lvlJc w:val="left"/>
      <w:lvlText w:val="%1."/>
      <w:numFmt w:val="decimal"/>
      <w:start w:val="25"/>
    </w:lvl>
  </w:abstractNum>
  <w:abstractNum w:abstractNumId="179">
    <w:nsid w:val="3CA88ECF"/>
    <w:multiLevelType w:val="hybridMultilevel"/>
    <w:lvl w:ilvl="0">
      <w:lvlJc w:val="left"/>
      <w:lvlText w:val="%1."/>
      <w:numFmt w:val="decimal"/>
      <w:start w:val="1"/>
    </w:lvl>
  </w:abstractNum>
  <w:abstractNum w:abstractNumId="180">
    <w:nsid w:val="6EBE4208"/>
    <w:multiLevelType w:val="hybridMultilevel"/>
    <w:lvl w:ilvl="0">
      <w:lvlJc w:val="left"/>
      <w:lvlText w:val="%1."/>
      <w:numFmt w:val="decimal"/>
      <w:start w:val="3"/>
    </w:lvl>
  </w:abstractNum>
  <w:abstractNum w:abstractNumId="181">
    <w:nsid w:val="C058DF5"/>
    <w:multiLevelType w:val="hybridMultilevel"/>
    <w:lvl w:ilvl="0">
      <w:lvlJc w:val="left"/>
      <w:lvlText w:val="%1"/>
      <w:numFmt w:val="lowerLetter"/>
      <w:start w:val="1"/>
    </w:lvl>
    <w:lvl w:ilvl="1">
      <w:lvlJc w:val="left"/>
      <w:lvlText w:val="%2."/>
      <w:numFmt w:val="decimal"/>
      <w:start w:val="6"/>
    </w:lvl>
  </w:abstractNum>
  <w:abstractNum w:abstractNumId="182">
    <w:nsid w:val="CBE5BE9"/>
    <w:multiLevelType w:val="hybridMultilevel"/>
    <w:lvl w:ilvl="0">
      <w:lvlJc w:val="left"/>
      <w:lvlText w:val="(%1)"/>
      <w:numFmt w:val="lowerLetter"/>
      <w:start w:val="1"/>
    </w:lvl>
    <w:lvl w:ilvl="1">
      <w:lvlJc w:val="left"/>
      <w:lvlText w:val="%2"/>
      <w:numFmt w:val="decimal"/>
      <w:start w:val="1"/>
    </w:lvl>
  </w:abstractNum>
  <w:abstractNum w:abstractNumId="183">
    <w:nsid w:val="3102BBE2"/>
    <w:multiLevelType w:val="hybridMultilevel"/>
    <w:lvl w:ilvl="0">
      <w:lvlJc w:val="left"/>
      <w:lvlText w:val="%1."/>
      <w:numFmt w:val="decimal"/>
      <w:start w:val="7"/>
    </w:lvl>
  </w:abstractNum>
  <w:abstractNum w:abstractNumId="184">
    <w:nsid w:val="26A02C5E"/>
    <w:multiLevelType w:val="hybridMultilevel"/>
    <w:lvl w:ilvl="0">
      <w:lvlJc w:val="left"/>
      <w:lvlText w:val=","/>
      <w:numFmt w:val="bullet"/>
      <w:start w:val="1"/>
    </w:lvl>
  </w:abstractNum>
  <w:abstractNum w:abstractNumId="185">
    <w:nsid w:val="541C8153"/>
    <w:multiLevelType w:val="hybridMultilevel"/>
    <w:lvl w:ilvl="0">
      <w:lvlJc w:val="left"/>
      <w:lvlText w:val="%1."/>
      <w:numFmt w:val="decimal"/>
      <w:start w:val="1"/>
    </w:lvl>
  </w:abstractNum>
  <w:abstractNum w:abstractNumId="186">
    <w:nsid w:val="67906F60"/>
    <w:multiLevelType w:val="hybridMultilevel"/>
    <w:lvl w:ilvl="0">
      <w:lvlJc w:val="left"/>
      <w:lvlText w:val="%1."/>
      <w:numFmt w:val="decimal"/>
      <w:start w:val="2"/>
    </w:lvl>
  </w:abstractNum>
  <w:abstractNum w:abstractNumId="187">
    <w:nsid w:val="10DB9DAA"/>
    <w:multiLevelType w:val="hybridMultilevel"/>
    <w:lvl w:ilvl="0">
      <w:lvlJc w:val="left"/>
      <w:lvlText w:val="%1."/>
      <w:numFmt w:val="decimal"/>
      <w:start w:val="9"/>
    </w:lvl>
  </w:abstractNum>
  <w:abstractNum w:abstractNumId="188">
    <w:nsid w:val="697D2D2"/>
    <w:multiLevelType w:val="hybridMultilevel"/>
    <w:lvl w:ilvl="0">
      <w:lvlJc w:val="left"/>
      <w:lvlText w:val="(%1)"/>
      <w:numFmt w:val="decimal"/>
      <w:start w:val="1"/>
    </w:lvl>
  </w:abstractNum>
  <w:abstractNum w:abstractNumId="189">
    <w:nsid w:val="6D68AB2"/>
    <w:multiLevelType w:val="hybridMultilevel"/>
    <w:lvl w:ilvl="0">
      <w:lvlJc w:val="left"/>
      <w:lvlText w:val="%1."/>
      <w:numFmt w:val="decimal"/>
      <w:start w:val="13"/>
    </w:lvl>
  </w:abstractNum>
  <w:abstractNum w:abstractNumId="190">
    <w:nsid w:val="3A966CD0"/>
    <w:multiLevelType w:val="hybridMultilevel"/>
    <w:lvl w:ilvl="0">
      <w:lvlJc w:val="left"/>
      <w:lvlText w:val="•"/>
      <w:numFmt w:val="bullet"/>
      <w:start w:val="1"/>
    </w:lvl>
  </w:abstractNum>
  <w:abstractNum w:abstractNumId="191">
    <w:nsid w:val="63F37E85"/>
    <w:multiLevelType w:val="hybridMultilevel"/>
    <w:lvl w:ilvl="0">
      <w:lvlJc w:val="left"/>
      <w:lvlText w:val="•"/>
      <w:numFmt w:val="bullet"/>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
      <w:numFmt w:val="bullet"/>
      <w:start w:val="1"/>
    </w:lvl>
  </w:abstractNum>
  <w:abstractNum w:abstractNumId="194">
    <w:nsid w:val="F3F09D8"/>
    <w:multiLevelType w:val="hybridMultilevel"/>
    <w:lvl w:ilvl="0">
      <w:lvlJc w:val="left"/>
      <w:lvlText w:val="%1."/>
      <w:numFmt w:val="decimal"/>
      <w:start w:val="1"/>
    </w:lvl>
  </w:abstractNum>
  <w:abstractNum w:abstractNumId="195">
    <w:nsid w:val="4B793735"/>
    <w:multiLevelType w:val="hybridMultilevel"/>
    <w:lvl w:ilvl="0">
      <w:lvlJc w:val="left"/>
      <w:lvlText w:val="•"/>
      <w:numFmt w:val="bullet"/>
      <w:start w:val="1"/>
    </w:lvl>
  </w:abstractNum>
  <w:abstractNum w:abstractNumId="196">
    <w:nsid w:val="4A10B4E8"/>
    <w:multiLevelType w:val="hybridMultilevel"/>
    <w:lvl w:ilvl="0">
      <w:lvlJc w:val="left"/>
      <w:lvlText w:val="•"/>
      <w:numFmt w:val="bullet"/>
      <w:start w:val="1"/>
    </w:lvl>
  </w:abstractNum>
  <w:abstractNum w:abstractNumId="197">
    <w:nsid w:val="43D3BCD4"/>
    <w:multiLevelType w:val="hybridMultilevel"/>
    <w:lvl w:ilvl="0">
      <w:lvlJc w:val="left"/>
      <w:lvlText w:val="•"/>
      <w:numFmt w:val="bullet"/>
      <w:start w:val="1"/>
    </w:lvl>
  </w:abstractNum>
  <w:abstractNum w:abstractNumId="198">
    <w:nsid w:val="4C2A7166"/>
    <w:multiLevelType w:val="hybridMultilevel"/>
    <w:lvl w:ilvl="0">
      <w:lvlJc w:val="left"/>
      <w:lvlText w:val="%1."/>
      <w:numFmt w:val="decimal"/>
      <w:start w:val="2"/>
    </w:lvl>
  </w:abstractNum>
  <w:abstractNum w:abstractNumId="199">
    <w:nsid w:val="2E534A82"/>
    <w:multiLevelType w:val="hybridMultilevel"/>
    <w:lvl w:ilvl="0">
      <w:lvlJc w:val="left"/>
      <w:lvlText w:val="(%1)"/>
      <w:numFmt w:val="decimal"/>
      <w:start w:val="3"/>
    </w:lvl>
  </w:abstractNum>
  <w:abstractNum w:abstractNumId="200">
    <w:nsid w:val="26F2D364"/>
    <w:multiLevelType w:val="hybridMultilevel"/>
    <w:lvl w:ilvl="0">
      <w:lvlJc w:val="left"/>
      <w:lvlText w:val="(%1)"/>
      <w:numFmt w:val="lowerLetter"/>
      <w:start w:val="1"/>
    </w:lvl>
    <w:lvl w:ilvl="1">
      <w:lvlJc w:val="left"/>
      <w:lvlText w:val="•"/>
      <w:numFmt w:val="bullet"/>
      <w:start w:val="1"/>
    </w:lvl>
  </w:abstractNum>
  <w:abstractNum w:abstractNumId="201">
    <w:nsid w:val="71C1AF98"/>
    <w:multiLevelType w:val="hybridMultilevel"/>
    <w:lvl w:ilvl="0">
      <w:lvlJc w:val="left"/>
      <w:lvlText w:val="(%1)"/>
      <w:numFmt w:val="lowerLetter"/>
      <w:start w:val="11"/>
    </w:lvl>
  </w:abstractNum>
  <w:abstractNum w:abstractNumId="202">
    <w:nsid w:val="3D00B9D9"/>
    <w:multiLevelType w:val="hybridMultilevel"/>
    <w:lvl w:ilvl="0">
      <w:lvlJc w:val="left"/>
      <w:lvlText w:val="%1"/>
      <w:numFmt w:val="decimal"/>
      <w:start w:val="1"/>
    </w:lvl>
    <w:lvl w:ilvl="1">
      <w:lvlJc w:val="left"/>
      <w:lvlText w:val="(%2)"/>
      <w:numFmt w:val="lowerLetter"/>
      <w:start w:val="27"/>
    </w:lvl>
  </w:abstractNum>
  <w:abstractNum w:abstractNumId="203">
    <w:nsid w:val="15BCABA8"/>
    <w:multiLevelType w:val="hybridMultilevel"/>
    <w:lvl w:ilvl="0">
      <w:lvlJc w:val="left"/>
      <w:lvlText w:val="%1."/>
      <w:numFmt w:val="decimal"/>
      <w:start w:val="3"/>
    </w:lvl>
    <w:lvl w:ilvl="1">
      <w:lvlJc w:val="left"/>
      <w:lvlText w:val="%2"/>
      <w:numFmt w:val="lowerLetter"/>
      <w:start w:val="1"/>
    </w:lvl>
  </w:abstractNum>
  <w:abstractNum w:abstractNumId="204">
    <w:nsid w:val="4E0B9A87"/>
    <w:multiLevelType w:val="hybridMultilevel"/>
    <w:lvl w:ilvl="0">
      <w:lvlJc w:val="left"/>
      <w:lvlText w:val="(%1)"/>
      <w:numFmt w:val="decimal"/>
      <w:start w:val="1"/>
    </w:lvl>
    <w:lvl w:ilvl="1">
      <w:lvlJc w:val="left"/>
      <w:lvlText w:val="•"/>
      <w:numFmt w:val="bullet"/>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8"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9" Type="http://schemas.openxmlformats.org/officeDocument/2006/relationships/image" Target="media/image28.png"/><Relationship Id="rId51" Type="http://schemas.openxmlformats.org/officeDocument/2006/relationships/image" Target="media/image29.png"/><Relationship Id="rId54" Type="http://schemas.openxmlformats.org/officeDocument/2006/relationships/image" Target="media/image30.png"/><Relationship Id="rId64" Type="http://schemas.openxmlformats.org/officeDocument/2006/relationships/image" Target="media/image31.png"/><Relationship Id="rId81" Type="http://schemas.openxmlformats.org/officeDocument/2006/relationships/image" Target="media/image32.png"/><Relationship Id="rId82" Type="http://schemas.openxmlformats.org/officeDocument/2006/relationships/image" Target="media/image33.png"/><Relationship Id="rId83" Type="http://schemas.openxmlformats.org/officeDocument/2006/relationships/image" Target="media/image34.png"/><Relationship Id="rId84" Type="http://schemas.openxmlformats.org/officeDocument/2006/relationships/image" Target="media/image35.png"/><Relationship Id="rId85" Type="http://schemas.openxmlformats.org/officeDocument/2006/relationships/image" Target="media/image36.png"/><Relationship Id="rId86" Type="http://schemas.openxmlformats.org/officeDocument/2006/relationships/image" Target="media/image37.png"/><Relationship Id="rId87" Type="http://schemas.openxmlformats.org/officeDocument/2006/relationships/image" Target="media/image38.png"/><Relationship Id="rId88" Type="http://schemas.openxmlformats.org/officeDocument/2006/relationships/image" Target="media/image39.png"/><Relationship Id="rId89" Type="http://schemas.openxmlformats.org/officeDocument/2006/relationships/image" Target="media/image40.png"/><Relationship Id="rId90" Type="http://schemas.openxmlformats.org/officeDocument/2006/relationships/image" Target="media/image41.png"/><Relationship Id="rId91" Type="http://schemas.openxmlformats.org/officeDocument/2006/relationships/image" Target="media/image42.png"/><Relationship Id="rId92" Type="http://schemas.openxmlformats.org/officeDocument/2006/relationships/image" Target="media/image43.png"/><Relationship Id="rId93" Type="http://schemas.openxmlformats.org/officeDocument/2006/relationships/image" Target="media/image44.png"/><Relationship Id="rId94" Type="http://schemas.openxmlformats.org/officeDocument/2006/relationships/image" Target="media/image45.png"/><Relationship Id="rId95" Type="http://schemas.openxmlformats.org/officeDocument/2006/relationships/image" Target="media/image46.png"/><Relationship Id="rId96" Type="http://schemas.openxmlformats.org/officeDocument/2006/relationships/image" Target="media/image47.png"/><Relationship Id="rId97" Type="http://schemas.openxmlformats.org/officeDocument/2006/relationships/image" Target="media/image48.png"/><Relationship Id="rId98" Type="http://schemas.openxmlformats.org/officeDocument/2006/relationships/image" Target="media/image49.png"/><Relationship Id="rId99" Type="http://schemas.openxmlformats.org/officeDocument/2006/relationships/image" Target="media/image50.png"/><Relationship Id="rId100" Type="http://schemas.openxmlformats.org/officeDocument/2006/relationships/image" Target="media/image51.png"/><Relationship Id="rId101" Type="http://schemas.openxmlformats.org/officeDocument/2006/relationships/image" Target="media/image52.png"/><Relationship Id="rId102" Type="http://schemas.openxmlformats.org/officeDocument/2006/relationships/image" Target="media/image53.png"/><Relationship Id="rId103" Type="http://schemas.openxmlformats.org/officeDocument/2006/relationships/image" Target="media/image54.png"/><Relationship Id="rId104" Type="http://schemas.openxmlformats.org/officeDocument/2006/relationships/image" Target="media/image55.png"/><Relationship Id="rId105" Type="http://schemas.openxmlformats.org/officeDocument/2006/relationships/image" Target="media/image56.png"/><Relationship Id="rId106" Type="http://schemas.openxmlformats.org/officeDocument/2006/relationships/image" Target="media/image57.png"/><Relationship Id="rId107" Type="http://schemas.openxmlformats.org/officeDocument/2006/relationships/image" Target="media/image58.png"/><Relationship Id="rId108" Type="http://schemas.openxmlformats.org/officeDocument/2006/relationships/image" Target="media/image59.png"/><Relationship Id="rId109" Type="http://schemas.openxmlformats.org/officeDocument/2006/relationships/image" Target="media/image60.png"/><Relationship Id="rId110" Type="http://schemas.openxmlformats.org/officeDocument/2006/relationships/image" Target="media/image61.png"/><Relationship Id="rId111" Type="http://schemas.openxmlformats.org/officeDocument/2006/relationships/image" Target="media/image62.png"/><Relationship Id="rId112" Type="http://schemas.openxmlformats.org/officeDocument/2006/relationships/image" Target="media/image63.png"/><Relationship Id="rId113" Type="http://schemas.openxmlformats.org/officeDocument/2006/relationships/image" Target="media/image64.png"/><Relationship Id="rId114" Type="http://schemas.openxmlformats.org/officeDocument/2006/relationships/image" Target="media/image65.png"/><Relationship Id="rId115" Type="http://schemas.openxmlformats.org/officeDocument/2006/relationships/image" Target="media/image66.jpeg"/><Relationship Id="rId116" Type="http://schemas.openxmlformats.org/officeDocument/2006/relationships/image" Target="media/image67.png"/><Relationship Id="rId117" Type="http://schemas.openxmlformats.org/officeDocument/2006/relationships/image" Target="media/image68.png"/><Relationship Id="rId118" Type="http://schemas.openxmlformats.org/officeDocument/2006/relationships/image" Target="media/image69.png"/><Relationship Id="rId119" Type="http://schemas.openxmlformats.org/officeDocument/2006/relationships/image" Target="media/image70.png"/><Relationship Id="rId120" Type="http://schemas.openxmlformats.org/officeDocument/2006/relationships/image" Target="media/image71.png"/><Relationship Id="rId121" Type="http://schemas.openxmlformats.org/officeDocument/2006/relationships/image" Target="media/image72.png"/><Relationship Id="rId122" Type="http://schemas.openxmlformats.org/officeDocument/2006/relationships/image" Target="media/image73.png"/><Relationship Id="rId123" Type="http://schemas.openxmlformats.org/officeDocument/2006/relationships/image" Target="media/image74.png"/><Relationship Id="rId124" Type="http://schemas.openxmlformats.org/officeDocument/2006/relationships/image" Target="media/image75.png"/><Relationship Id="rId125"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204" Type="http://schemas.openxmlformats.org/officeDocument/2006/relationships/image" Target="media/image155.png"/><Relationship Id="rId205" Type="http://schemas.openxmlformats.org/officeDocument/2006/relationships/image" Target="media/image156.png"/><Relationship Id="rId206" Type="http://schemas.openxmlformats.org/officeDocument/2006/relationships/image" Target="media/image157.png"/><Relationship Id="rId207" Type="http://schemas.openxmlformats.org/officeDocument/2006/relationships/image" Target="media/image158.png"/><Relationship Id="rId208" Type="http://schemas.openxmlformats.org/officeDocument/2006/relationships/image" Target="media/image159.png"/><Relationship Id="rId209" Type="http://schemas.openxmlformats.org/officeDocument/2006/relationships/image" Target="media/image160.png"/><Relationship Id="rId210" Type="http://schemas.openxmlformats.org/officeDocument/2006/relationships/image" Target="media/image161.png"/><Relationship Id="rId211" Type="http://schemas.openxmlformats.org/officeDocument/2006/relationships/image" Target="media/image162.png"/><Relationship Id="rId212" Type="http://schemas.openxmlformats.org/officeDocument/2006/relationships/image" Target="media/image163.png"/><Relationship Id="rId213" Type="http://schemas.openxmlformats.org/officeDocument/2006/relationships/image" Target="media/image164.png"/><Relationship Id="rId214" Type="http://schemas.openxmlformats.org/officeDocument/2006/relationships/image" Target="media/image165.png"/><Relationship Id="rId215" Type="http://schemas.openxmlformats.org/officeDocument/2006/relationships/image" Target="media/image166.png"/><Relationship Id="rId216" Type="http://schemas.openxmlformats.org/officeDocument/2006/relationships/image" Target="media/image167.png"/><Relationship Id="rId217" Type="http://schemas.openxmlformats.org/officeDocument/2006/relationships/image" Target="media/image168.png"/><Relationship Id="rId218" Type="http://schemas.openxmlformats.org/officeDocument/2006/relationships/image" Target="media/image169.png"/><Relationship Id="rId219" Type="http://schemas.openxmlformats.org/officeDocument/2006/relationships/image" Target="media/image170.png"/><Relationship Id="rId220" Type="http://schemas.openxmlformats.org/officeDocument/2006/relationships/image" Target="media/image171.png"/><Relationship Id="rId221" Type="http://schemas.openxmlformats.org/officeDocument/2006/relationships/image" Target="media/image172.png"/><Relationship Id="rId222" Type="http://schemas.openxmlformats.org/officeDocument/2006/relationships/image" Target="media/image173.png"/><Relationship Id="rId223" Type="http://schemas.openxmlformats.org/officeDocument/2006/relationships/image" Target="media/image174.png"/><Relationship Id="rId224"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4" Type="http://schemas.openxmlformats.org/officeDocument/2006/relationships/image" Target="media/image225.png"/><Relationship Id="rId275" Type="http://schemas.openxmlformats.org/officeDocument/2006/relationships/image" Target="media/image226.png"/><Relationship Id="rId18" Type="http://schemas.openxmlformats.org/officeDocument/2006/relationships/hyperlink" Target="http://www.sec.gov/Archives/edgar/data/1811414/000119312520290474/d14810ds4a.htm#rom14810_29" TargetMode="External"/><Relationship Id="rId19" Type="http://schemas.openxmlformats.org/officeDocument/2006/relationships/hyperlink" Target="http://www.sec.gov/Archives/edgar/data/1811414/000119312520290474/d14810ds4a.htm#rom14810_37" TargetMode="External"/><Relationship Id="rId21" Type="http://schemas.openxmlformats.org/officeDocument/2006/relationships/hyperlink" Target="http://www.sec.gov/Archives/edgar/data/1811414/000119312520290474/d14810ds4a.htm#rom14810_41" TargetMode="External"/><Relationship Id="rId24" Type="http://schemas.openxmlformats.org/officeDocument/2006/relationships/hyperlink" Target="http://www.sec.gov/Archives/edgar/data/1811414/000119312520290474/d14810ds4a.htm#rom14810_9" TargetMode="External"/><Relationship Id="rId25" Type="http://schemas.openxmlformats.org/officeDocument/2006/relationships/hyperlink" Target="http://www.sec.gov/Archives/edgar/data/1811414/000119312520290474/d14810ds4a.htm#rom14810_57" TargetMode="External"/><Relationship Id="rId26" Type="http://schemas.openxmlformats.org/officeDocument/2006/relationships/hyperlink" Target="http://www.sec.gov/Archives/edgar/data/1811414/000119312520290474/d14810ds4a.htm#rom14810_53" TargetMode="External"/><Relationship Id="rId27" Type="http://schemas.openxmlformats.org/officeDocument/2006/relationships/hyperlink" Target="http://www.sec.gov/Archives/edgar/data/1811414/000119312520290474/d14810ds4a.htm#rom14810_5" TargetMode="External"/><Relationship Id="rId29" Type="http://schemas.openxmlformats.org/officeDocument/2006/relationships/hyperlink" Target="http://www.sec.gov/Archives/edgar/data/1811414/000119312520290474/d14810ds4a.htm#rom14810_55" TargetMode="External"/><Relationship Id="rId30" Type="http://schemas.openxmlformats.org/officeDocument/2006/relationships/hyperlink" Target="http://www.sec.gov/Archives/edgar/data/1811414/000119312520290474/d14810ds4a.htm#rom14810_12" TargetMode="External"/><Relationship Id="rId40" Type="http://schemas.openxmlformats.org/officeDocument/2006/relationships/hyperlink" Target="http://www.sec.gov/Archives/edgar/data/1811414/000119312520290474/d14810ds4a.htm#rom14810_67" TargetMode="External"/><Relationship Id="rId41" Type="http://schemas.openxmlformats.org/officeDocument/2006/relationships/hyperlink" Target="http://www.sec.gov/Archives/edgar/data/1811414/000119312520290474/d14810ds4a.htm#rom14810_60" TargetMode="External"/><Relationship Id="rId42" Type="http://schemas.openxmlformats.org/officeDocument/2006/relationships/hyperlink" Target="http://www.sec.gov/Archives/edgar/data/1811414/000119312520290474/d14810ds4a.htm#rom14810_54" TargetMode="External"/><Relationship Id="rId47" Type="http://schemas.openxmlformats.org/officeDocument/2006/relationships/hyperlink" Target="http://www.sec.gov/Archives/edgar/data/1811414/000119312520290474/d14810ds4a.htm#rom14810_56" TargetMode="External"/><Relationship Id="rId48" Type="http://schemas.openxmlformats.org/officeDocument/2006/relationships/hyperlink" Target="http://www.sec.gov/Archives/edgar/data/1811414/000119312520290474/d14810ds4a.htm#rom14810_64" TargetMode="External"/><Relationship Id="rId50" Type="http://schemas.openxmlformats.org/officeDocument/2006/relationships/hyperlink" Target="http://www.sec.gov/Archives/edgar/data/1811414/000119312520290474/d14810ds4a.htm#rom14810_61" TargetMode="External"/><Relationship Id="rId52" Type="http://schemas.openxmlformats.org/officeDocument/2006/relationships/hyperlink" Target="http://www.sec.gov/Archives/edgar/data/1811414/000119312520290474/d14810ds4a.htm#rom14810_49" TargetMode="External"/><Relationship Id="rId53" Type="http://schemas.openxmlformats.org/officeDocument/2006/relationships/hyperlink" Target="http://www.sec.gov/Archives/edgar/data/1811414/000119312520290474/d14810ds4a.htm#rom14810_51" TargetMode="External"/><Relationship Id="rId55" Type="http://schemas.openxmlformats.org/officeDocument/2006/relationships/hyperlink" Target="http://www.sec.gov/Archives/edgar/data/1811414/000156459020054203/kcac-10q_20200930.htm#PART_I_FINANCIAL_INFORMATION" TargetMode="External"/><Relationship Id="rId56" Type="http://schemas.openxmlformats.org/officeDocument/2006/relationships/hyperlink" Target="http://www.sec.gov/Archives/edgar/data/1811414/000119312520290474/d14810ds4a.htm#fintoc14810_6" TargetMode="External"/><Relationship Id="rId57" Type="http://schemas.openxmlformats.org/officeDocument/2006/relationships/hyperlink" Target="http://www.sec.gov/Archives/edgar/data/1811414/000119312520290474/d14810ds4a.htm#rom14810_70" TargetMode="External"/><Relationship Id="rId58" Type="http://schemas.openxmlformats.org/officeDocument/2006/relationships/hyperlink" Target="http://www.sec.gov/Archives/edgar/data/1811414/000156459020031281/cik1811414-ex41_12.htm" TargetMode="External"/><Relationship Id="rId59" Type="http://schemas.openxmlformats.org/officeDocument/2006/relationships/hyperlink" Target="http://www.sec.gov/Archives/edgar/data/1811414/000156459020042442/kcac-ex103_63.htm" TargetMode="External"/><Relationship Id="rId60" Type="http://schemas.openxmlformats.org/officeDocument/2006/relationships/hyperlink" Target="http://www.sec.gov/Archives/edgar/data/1811414/000156459020042442/kcac-ex105_60.htm" TargetMode="External"/><Relationship Id="rId61" Type="http://schemas.openxmlformats.org/officeDocument/2006/relationships/hyperlink" Target="http://www.sec.gov/Archives/edgar/data/1811414/000156459020042442/kcac-ex104_7.htm" TargetMode="External"/><Relationship Id="rId62" Type="http://schemas.openxmlformats.org/officeDocument/2006/relationships/hyperlink" Target="http://www.sec.gov/Archives/edgar/data/1811414/000156459020042442/kcac-ex101_59.htm" TargetMode="External"/><Relationship Id="rId63" Type="http://schemas.openxmlformats.org/officeDocument/2006/relationships/hyperlink" Target="http://www.sec.gov/Archives/edgar/data/1811414/000156459020042442/kcac-ex102_62.htm" TargetMode="External"/><Relationship Id="rId65" Type="http://schemas.openxmlformats.org/officeDocument/2006/relationships/hyperlink" Target="http://www.sec.gov/Archives/edgar/data/1811414/000156459020042442/kcac-ex106_57.htm" TargetMode="External"/><Relationship Id="rId66" Type="http://schemas.openxmlformats.org/officeDocument/2006/relationships/hyperlink" Target="http://www.sec.gov/Archives/edgar/data/1811414/000156459020042442/kcac-ex107_55.htm" TargetMode="External"/><Relationship Id="rId67" Type="http://schemas.openxmlformats.org/officeDocument/2006/relationships/hyperlink" Target="http://www.sec.gov/Archives/edgar/data/1811414/000156459020042442/kcac-ex108_58.htm" TargetMode="External"/><Relationship Id="rId68" Type="http://schemas.openxmlformats.org/officeDocument/2006/relationships/hyperlink" Target="http://www.sec.gov/Archives/edgar/data/1811414/000156459020042442/kcac-ex109_8.htm" TargetMode="External"/><Relationship Id="rId69" Type="http://schemas.openxmlformats.org/officeDocument/2006/relationships/hyperlink" Target="http://www.sec.gov/Archives/edgar/data/1811414/000156459020042442/kcac-ex1010_6.htm" TargetMode="External"/><Relationship Id="rId70" Type="http://schemas.openxmlformats.org/officeDocument/2006/relationships/hyperlink" Target="http://www.sec.gov/Archives/edgar/data/0001811414/000119312520249736/d14810dex1014.htm" TargetMode="External"/><Relationship Id="rId71" Type="http://schemas.openxmlformats.org/officeDocument/2006/relationships/hyperlink" Target="http://www.sec.gov/Archives/edgar/data/0001811414/000119312520249736/d14810dex1015.htm" TargetMode="External"/><Relationship Id="rId72" Type="http://schemas.openxmlformats.org/officeDocument/2006/relationships/hyperlink" Target="http://www.sec.gov/Archives/edgar/data/0001811414/000119312520249736/d14810dex1016.htm" TargetMode="External"/><Relationship Id="rId73" Type="http://schemas.openxmlformats.org/officeDocument/2006/relationships/hyperlink" Target="http://www.sec.gov/Archives/edgar/data/0001811414/000119312520249736/d14810dex1017.htm" TargetMode="External"/><Relationship Id="rId74" Type="http://schemas.openxmlformats.org/officeDocument/2006/relationships/hyperlink" Target="http://www.sec.gov/Archives/edgar/data/0001811414/000119312520249736/d14810dex1018.htm" TargetMode="External"/><Relationship Id="rId75" Type="http://schemas.openxmlformats.org/officeDocument/2006/relationships/hyperlink" Target="http://www.sec.gov/Archives/edgar/data/0001811414/000119312520249736/d14810dex1019.htm" TargetMode="External"/><Relationship Id="rId76" Type="http://schemas.openxmlformats.org/officeDocument/2006/relationships/hyperlink" Target="http://www.sec.gov/Archives/edgar/data/0001811414/000119312520249736/d14810dex1020.htm" TargetMode="External"/><Relationship Id="rId77" Type="http://schemas.openxmlformats.org/officeDocument/2006/relationships/hyperlink" Target="http://www.sec.gov/Archives/edgar/data/0001811414/000119312520249736/d14810dex1021.htm" TargetMode="External"/><Relationship Id="rId78" Type="http://schemas.openxmlformats.org/officeDocument/2006/relationships/hyperlink" Target="http://www.sec.gov/Archives/edgar/data/0001811414/000119312520249736/d14810dex1022.htm" TargetMode="External"/><Relationship Id="rId79" Type="http://schemas.openxmlformats.org/officeDocument/2006/relationships/hyperlink" Target="http://www.sec.gov/Archives/edgar/data/0001811414/000119312520249736/d14810dex1023.htm" TargetMode="External"/><Relationship Id="rId80" Type="http://schemas.openxmlformats.org/officeDocument/2006/relationships/hyperlink" Target="http://www.sec.gov/Archives/edgar/data/0001811414/000119312520249736/d14810d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2020-12-02T16:08:24Z</dcterms:created>
  <dcterms:modified xsi:type="dcterms:W3CDTF">2020-12-02T16:08:24Z</dcterms:modified>
</cp:coreProperties>
</file>