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439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439535"/>
                    </a:xfrm>
                    <a:prstGeom prst="rect">
                      <a:avLst/>
                    </a:prstGeom>
                    <a:noFill/>
                  </pic:spPr>
                </pic:pic>
              </a:graphicData>
            </a:graphic>
          </wp:anchor>
        </w:drawing>
      </w:r>
    </w:p>
    <w:p>
      <w:pPr>
        <w:spacing w:after="0" w:line="101" w:lineRule="exact"/>
        <w:rPr>
          <w:sz w:val="24"/>
          <w:szCs w:val="24"/>
          <w:color w:val="auto"/>
        </w:rPr>
      </w:pPr>
    </w:p>
    <w:p>
      <w:pPr>
        <w:sectPr>
          <w:pgSz w:w="11900" w:h="16850"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Singh Jagdeep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70" w:lineRule="auto"/>
        <w:rPr>
          <w:sz w:val="20"/>
          <w:szCs w:val="20"/>
          <w:color w:val="auto"/>
        </w:rPr>
      </w:pPr>
      <w:r>
        <w:rPr>
          <w:rFonts w:ascii="Arial" w:cs="Arial" w:eastAsia="Arial" w:hAnsi="Arial"/>
          <w:sz w:val="16"/>
          <w:szCs w:val="16"/>
          <w:color w:val="0000FF"/>
        </w:rPr>
        <w:t>C/O QUANTUMSCAPE CORPORATION 1730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QuantumScape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QS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325"/>
        <w:spacing w:after="0"/>
        <w:rPr>
          <w:sz w:val="20"/>
          <w:szCs w:val="20"/>
          <w:color w:val="auto"/>
        </w:rPr>
      </w:pPr>
      <w:r>
        <w:rPr>
          <w:rFonts w:ascii="Arial" w:cs="Arial" w:eastAsia="Arial" w:hAnsi="Arial"/>
          <w:sz w:val="16"/>
          <w:szCs w:val="16"/>
          <w:color w:val="0000FF"/>
        </w:rPr>
        <w:t xml:space="preserve">Chief Executive Officer </w:t>
      </w:r>
      <w:r>
        <w:rPr>
          <w:rFonts w:ascii="Arial" w:cs="Arial" w:eastAsia="Arial" w:hAnsi="Arial"/>
          <w:sz w:val="19"/>
          <w:szCs w:val="19"/>
          <w:color w:val="000000"/>
        </w:rPr>
        <w:t>/</w:t>
      </w:r>
      <w:r>
        <w:rPr>
          <w:rFonts w:ascii="Arial" w:cs="Arial" w:eastAsia="Arial" w:hAnsi="Arial"/>
          <w:sz w:val="16"/>
          <w:szCs w:val="16"/>
          <w:color w:val="0000FF"/>
        </w:rPr>
        <w:t xml:space="preserve"> Chairman</w:t>
      </w:r>
    </w:p>
    <w:p>
      <w:pPr>
        <w:spacing w:after="0" w:line="429" w:lineRule="exact"/>
        <w:rPr>
          <w:sz w:val="24"/>
          <w:szCs w:val="24"/>
          <w:color w:val="auto"/>
        </w:rPr>
      </w:pPr>
    </w:p>
    <w:p>
      <w:pPr>
        <w:sectPr>
          <w:pgSz w:w="11900" w:h="16850" w:orient="portrait"/>
          <w:cols w:equalWidth="0" w:num="3">
            <w:col w:w="3200" w:space="720"/>
            <w:col w:w="3095" w:space="720"/>
            <w:col w:w="3265"/>
          </w:cols>
          <w:pgMar w:left="460" w:top="225" w:right="439" w:bottom="0" w:gutter="0" w:footer="0" w:header="0"/>
          <w:type w:val="continuous"/>
        </w:sectPr>
      </w:pPr>
    </w:p>
    <w:p>
      <w:pPr>
        <w:spacing w:after="0" w:line="1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52" w:lineRule="exact"/>
        <w:rPr>
          <w:sz w:val="24"/>
          <w:szCs w:val="24"/>
          <w:color w:val="auto"/>
        </w:rPr>
      </w:pPr>
    </w:p>
    <w:p>
      <w:pPr>
        <w:sectPr>
          <w:pgSz w:w="11900" w:h="16850" w:orient="portrait"/>
          <w:cols w:equalWidth="0" w:num="2">
            <w:col w:w="3760" w:space="160"/>
            <w:col w:w="708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340" w:type="dxa"/>
            <w:vAlign w:val="bottom"/>
          </w:tcPr>
          <w:p>
            <w:pPr>
              <w:spacing w:after="0"/>
              <w:rPr>
                <w:sz w:val="11"/>
                <w:szCs w:val="11"/>
                <w:color w:val="auto"/>
              </w:rPr>
            </w:pPr>
          </w:p>
        </w:tc>
        <w:tc>
          <w:tcPr>
            <w:tcW w:w="16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108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0"/>
                <w:szCs w:val="10"/>
                <w:color w:val="auto"/>
              </w:rPr>
            </w:pPr>
          </w:p>
        </w:tc>
        <w:tc>
          <w:tcPr>
            <w:tcW w:w="9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7"/>
              <w:spacing w:after="0"/>
              <w:rPr>
                <w:sz w:val="20"/>
                <w:szCs w:val="20"/>
                <w:color w:val="auto"/>
              </w:rPr>
            </w:pPr>
            <w:r>
              <w:rPr>
                <w:rFonts w:ascii="Arial" w:cs="Arial" w:eastAsia="Arial" w:hAnsi="Arial"/>
                <w:sz w:val="17"/>
                <w:szCs w:val="17"/>
                <w:color w:val="0000FF"/>
                <w:w w:val="91"/>
              </w:rPr>
              <w:t>11/16/2021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23,316</w:t>
            </w:r>
            <w:r>
              <w:rPr>
                <w:rFonts w:ascii="Arial" w:cs="Arial" w:eastAsia="Arial" w:hAnsi="Arial"/>
                <w:sz w:val="22"/>
                <w:szCs w:val="22"/>
                <w:color w:val="008000"/>
                <w:w w:val="88"/>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35.557</w:t>
            </w:r>
            <w:r>
              <w:rPr>
                <w:rFonts w:ascii="Arial" w:cs="Arial" w:eastAsia="Arial" w:hAnsi="Arial"/>
                <w:sz w:val="22"/>
                <w:szCs w:val="22"/>
                <w:color w:val="008000"/>
                <w:w w:val="88"/>
                <w:vertAlign w:val="superscript"/>
              </w:rPr>
              <w:t>(2)</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3,473,056</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7"/>
              <w:spacing w:after="0"/>
              <w:rPr>
                <w:sz w:val="20"/>
                <w:szCs w:val="20"/>
                <w:color w:val="auto"/>
              </w:rPr>
            </w:pPr>
            <w:r>
              <w:rPr>
                <w:rFonts w:ascii="Arial" w:cs="Arial" w:eastAsia="Arial" w:hAnsi="Arial"/>
                <w:sz w:val="17"/>
                <w:szCs w:val="17"/>
                <w:color w:val="0000FF"/>
                <w:w w:val="91"/>
              </w:rPr>
              <w:t>11/16/2021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116,869</w:t>
            </w:r>
            <w:r>
              <w:rPr>
                <w:rFonts w:ascii="Arial" w:cs="Arial" w:eastAsia="Arial" w:hAnsi="Arial"/>
                <w:sz w:val="22"/>
                <w:szCs w:val="22"/>
                <w:color w:val="008000"/>
                <w:w w:val="88"/>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36.6792</w:t>
            </w:r>
            <w:r>
              <w:rPr>
                <w:rFonts w:ascii="Arial" w:cs="Arial" w:eastAsia="Arial" w:hAnsi="Arial"/>
                <w:sz w:val="22"/>
                <w:szCs w:val="22"/>
                <w:color w:val="008000"/>
                <w:w w:val="87"/>
                <w:vertAlign w:val="superscript"/>
              </w:rPr>
              <w:t>(3)</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3,356,187</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7"/>
              <w:spacing w:after="0"/>
              <w:rPr>
                <w:sz w:val="20"/>
                <w:szCs w:val="20"/>
                <w:color w:val="auto"/>
              </w:rPr>
            </w:pPr>
            <w:r>
              <w:rPr>
                <w:rFonts w:ascii="Arial" w:cs="Arial" w:eastAsia="Arial" w:hAnsi="Arial"/>
                <w:sz w:val="17"/>
                <w:szCs w:val="17"/>
                <w:color w:val="0000FF"/>
                <w:w w:val="91"/>
              </w:rPr>
              <w:t>11/16/2021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7,787</w:t>
            </w:r>
            <w:r>
              <w:rPr>
                <w:rFonts w:ascii="Arial" w:cs="Arial" w:eastAsia="Arial" w:hAnsi="Arial"/>
                <w:sz w:val="22"/>
                <w:szCs w:val="22"/>
                <w:color w:val="008000"/>
                <w:w w:val="85"/>
                <w:vertAlign w:val="superscript"/>
              </w:rPr>
              <w:t>(1)</w:t>
            </w: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37.0831</w:t>
            </w:r>
            <w:r>
              <w:rPr>
                <w:rFonts w:ascii="Arial" w:cs="Arial" w:eastAsia="Arial" w:hAnsi="Arial"/>
                <w:sz w:val="22"/>
                <w:szCs w:val="22"/>
                <w:color w:val="008000"/>
                <w:w w:val="87"/>
                <w:vertAlign w:val="superscript"/>
              </w:rPr>
              <w:t>(4)</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3,348,400</w:t>
            </w:r>
            <w:r>
              <w:rPr>
                <w:rFonts w:ascii="Arial" w:cs="Arial" w:eastAsia="Arial" w:hAnsi="Arial"/>
                <w:sz w:val="22"/>
                <w:szCs w:val="22"/>
                <w:color w:val="008000"/>
                <w:w w:val="87"/>
                <w:vertAlign w:val="superscript"/>
              </w:rPr>
              <w:t>(5)</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By: The</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Singh</w:t>
            </w:r>
          </w:p>
        </w:tc>
        <w:tc>
          <w:tcPr>
            <w:tcW w:w="0" w:type="dxa"/>
            <w:vAlign w:val="bottom"/>
          </w:tcPr>
          <w:p>
            <w:pPr>
              <w:spacing w:after="0"/>
              <w:rPr>
                <w:sz w:val="1"/>
                <w:szCs w:val="1"/>
                <w:color w:val="auto"/>
              </w:rPr>
            </w:pPr>
          </w:p>
        </w:tc>
      </w:tr>
      <w:tr>
        <w:trPr>
          <w:trHeight w:val="213"/>
        </w:trPr>
        <w:tc>
          <w:tcPr>
            <w:tcW w:w="23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27"/>
        </w:trPr>
        <w:tc>
          <w:tcPr>
            <w:tcW w:w="23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jc w:val="center"/>
              <w:spacing w:after="0" w:line="227" w:lineRule="exact"/>
              <w:rPr>
                <w:sz w:val="20"/>
                <w:szCs w:val="20"/>
                <w:color w:val="auto"/>
              </w:rPr>
            </w:pPr>
            <w:r>
              <w:rPr>
                <w:rFonts w:ascii="Arial" w:cs="Arial" w:eastAsia="Arial" w:hAnsi="Arial"/>
                <w:sz w:val="17"/>
                <w:szCs w:val="17"/>
                <w:color w:val="0000FF"/>
                <w:w w:val="88"/>
              </w:rPr>
              <w:t>969,289</w:t>
            </w:r>
            <w:r>
              <w:rPr>
                <w:rFonts w:ascii="Arial" w:cs="Arial" w:eastAsia="Arial" w:hAnsi="Arial"/>
                <w:sz w:val="22"/>
                <w:szCs w:val="22"/>
                <w:color w:val="008000"/>
                <w:w w:val="88"/>
                <w:vertAlign w:val="superscript"/>
              </w:rPr>
              <w:t>(6)</w:t>
            </w:r>
          </w:p>
        </w:tc>
        <w:tc>
          <w:tcPr>
            <w:tcW w:w="940" w:type="dxa"/>
            <w:vAlign w:val="bottom"/>
          </w:tcPr>
          <w:p>
            <w:pPr>
              <w:jc w:val="center"/>
              <w:spacing w:after="0"/>
              <w:rPr>
                <w:sz w:val="20"/>
                <w:szCs w:val="20"/>
                <w:color w:val="auto"/>
              </w:rPr>
            </w:pPr>
            <w:r>
              <w:rPr>
                <w:rFonts w:ascii="Arial" w:cs="Arial" w:eastAsia="Arial" w:hAnsi="Arial"/>
                <w:sz w:val="17"/>
                <w:szCs w:val="17"/>
                <w:color w:val="0000FF"/>
              </w:rPr>
              <w:t>I</w:t>
            </w:r>
          </w:p>
        </w:tc>
        <w:tc>
          <w:tcPr>
            <w:tcW w:w="760" w:type="dxa"/>
            <w:vAlign w:val="bottom"/>
          </w:tcPr>
          <w:p>
            <w:pPr>
              <w:ind w:left="6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7"/>
          <w:szCs w:val="17"/>
          <w:color w:val="0000FF"/>
        </w:rPr>
        <w:t>UDT</w:t>
      </w:r>
    </w:p>
    <w:p>
      <w:pPr>
        <w:spacing w:after="0" w:line="11"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dated</w:t>
      </w:r>
    </w:p>
    <w:p>
      <w:pPr>
        <w:spacing w:after="0" w:line="18"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October</w:t>
      </w:r>
    </w:p>
    <w:p>
      <w:pPr>
        <w:spacing w:after="0" w:line="18"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3, 1996</w:t>
      </w:r>
    </w:p>
    <w:p>
      <w:pPr>
        <w:spacing w:after="0" w:line="160"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sale to cover tax obligations on the release of restricted stock units ("RSUs").</w:t>
      </w:r>
    </w:p>
    <w:p>
      <w:pPr>
        <w:spacing w:after="0" w:line="50" w:lineRule="exact"/>
        <w:rPr>
          <w:rFonts w:ascii="Arial" w:cs="Arial" w:eastAsia="Arial" w:hAnsi="Arial"/>
          <w:sz w:val="13"/>
          <w:szCs w:val="13"/>
          <w:color w:val="008000"/>
        </w:rPr>
      </w:pPr>
    </w:p>
    <w:p>
      <w:pPr>
        <w:ind w:left="40" w:right="1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$35.00 to $35.97,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5" w:lineRule="exact"/>
        <w:rPr>
          <w:rFonts w:ascii="Arial" w:cs="Arial" w:eastAsia="Arial" w:hAnsi="Arial"/>
          <w:sz w:val="13"/>
          <w:szCs w:val="13"/>
          <w:color w:val="008000"/>
        </w:rPr>
      </w:pPr>
    </w:p>
    <w:p>
      <w:pPr>
        <w:ind w:left="40" w:right="1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$36.01 to $37.00,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5" w:lineRule="exact"/>
        <w:rPr>
          <w:rFonts w:ascii="Arial" w:cs="Arial" w:eastAsia="Arial" w:hAnsi="Arial"/>
          <w:sz w:val="13"/>
          <w:szCs w:val="13"/>
          <w:color w:val="008000"/>
        </w:rPr>
      </w:pPr>
    </w:p>
    <w:p>
      <w:pPr>
        <w:ind w:left="40" w:right="1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$37.01 to $37.30,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5"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2,764,950 shares represented by restricted stock units ("RSUs"). Each RSU represents the Reporting Person's right to receive one share of Class A Common Stock of the Issuer. A portion of the RSUs vest each quarter, subject to the Reporting Person's continued service as of each vesting date.</w:t>
      </w:r>
    </w:p>
    <w:p>
      <w:pPr>
        <w:spacing w:after="0" w:line="15"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removed as the trustee of the Marie Helene Prinz 2019 Trust dated June 17, 2019 and the Benedikt Prinz 2019 Trust dated June 17, 2019 (together the "Prinz Trusts") in September 2021. As a result, the reporting person no longer lists the shares held by the Prinz Trusts as indirectly owned.</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O. McCarthy, III,</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11/18/2021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50" w:orient="portrait"/>
          <w:cols w:equalWidth="0" w:num="1">
            <w:col w:w="11000"/>
          </w:cols>
          <w:pgMar w:left="460" w:top="225"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8826" TargetMode="External"/><Relationship Id="rId13"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2021-11-18T18:22:13Z</dcterms:created>
  <dcterms:modified xsi:type="dcterms:W3CDTF">2021-11-18T18:22:13Z</dcterms:modified>
</cp:coreProperties>
</file>