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3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Straubel Jeffrey B</w:t>
              </w:r>
            </w:hyperlink>
          </w:p>
        </w:tc>
        <w:tc>
          <w:tcPr>
            <w:tcW w:w="13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QuantumScape Corp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QS</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300" w:type="dxa"/>
            <w:vAlign w:val="bottom"/>
            <w:gridSpan w:val="3"/>
            <w:vMerge w:val="continue"/>
          </w:tcPr>
          <w:p>
            <w:pPr>
              <w:spacing w:after="0"/>
              <w:rPr>
                <w:sz w:val="6"/>
                <w:szCs w:val="6"/>
                <w:color w:val="auto"/>
              </w:rPr>
            </w:pPr>
          </w:p>
        </w:tc>
        <w:tc>
          <w:tcPr>
            <w:tcW w:w="13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780" w:type="dxa"/>
            <w:vAlign w:val="bottom"/>
            <w:tcBorders>
              <w:bottom w:val="single" w:sz="8" w:color="0000EE"/>
            </w:tcBorders>
          </w:tcPr>
          <w:p>
            <w:pPr>
              <w:spacing w:after="0"/>
              <w:rPr>
                <w:sz w:val="6"/>
                <w:szCs w:val="6"/>
                <w:color w:val="auto"/>
              </w:rPr>
            </w:pPr>
          </w:p>
        </w:tc>
        <w:tc>
          <w:tcPr>
            <w:tcW w:w="19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300" w:type="dxa"/>
            <w:vAlign w:val="bottom"/>
            <w:gridSpan w:val="3"/>
            <w:vMerge w:val="continue"/>
          </w:tcPr>
          <w:p>
            <w:pPr>
              <w:spacing w:after="0"/>
              <w:rPr>
                <w:sz w:val="5"/>
                <w:szCs w:val="5"/>
                <w:color w:val="auto"/>
              </w:rPr>
            </w:pPr>
          </w:p>
        </w:tc>
        <w:tc>
          <w:tcPr>
            <w:tcW w:w="13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780" w:type="dxa"/>
            <w:vAlign w:val="bottom"/>
          </w:tcPr>
          <w:p>
            <w:pPr>
              <w:spacing w:after="0"/>
              <w:rPr>
                <w:sz w:val="5"/>
                <w:szCs w:val="5"/>
                <w:color w:val="auto"/>
              </w:rPr>
            </w:pPr>
          </w:p>
        </w:tc>
        <w:tc>
          <w:tcPr>
            <w:tcW w:w="19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7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780" w:type="dxa"/>
            <w:vAlign w:val="bottom"/>
          </w:tcPr>
          <w:p>
            <w:pPr>
              <w:spacing w:after="0"/>
              <w:rPr>
                <w:sz w:val="6"/>
                <w:szCs w:val="6"/>
                <w:color w:val="auto"/>
              </w:rPr>
            </w:pPr>
          </w:p>
        </w:tc>
        <w:tc>
          <w:tcPr>
            <w:tcW w:w="19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740" w:type="dxa"/>
            <w:vAlign w:val="bottom"/>
            <w:tcBorders>
              <w:top w:val="single" w:sz="8" w:color="EEEEEE"/>
            </w:tcBorders>
          </w:tcPr>
          <w:p>
            <w:pPr>
              <w:spacing w:after="0"/>
              <w:rPr>
                <w:sz w:val="2"/>
                <w:szCs w:val="2"/>
                <w:color w:val="auto"/>
              </w:rPr>
            </w:pPr>
          </w:p>
        </w:tc>
        <w:tc>
          <w:tcPr>
            <w:tcW w:w="13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52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520" w:type="dxa"/>
            <w:vAlign w:val="bottom"/>
            <w:gridSpan w:val="2"/>
            <w:vMerge w:val="continue"/>
          </w:tcPr>
          <w:p>
            <w:pPr>
              <w:spacing w:after="0"/>
              <w:rPr>
                <w:sz w:val="8"/>
                <w:szCs w:val="8"/>
                <w:color w:val="auto"/>
              </w:rPr>
            </w:pPr>
          </w:p>
        </w:tc>
        <w:tc>
          <w:tcPr>
            <w:tcW w:w="1340" w:type="dxa"/>
            <w:vAlign w:val="bottom"/>
            <w:vMerge w:val="continue"/>
          </w:tcPr>
          <w:p>
            <w:pPr>
              <w:spacing w:after="0"/>
              <w:rPr>
                <w:sz w:val="8"/>
                <w:szCs w:val="8"/>
                <w:color w:val="auto"/>
              </w:rPr>
            </w:pPr>
          </w:p>
        </w:tc>
        <w:tc>
          <w:tcPr>
            <w:tcW w:w="19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05/12/2026</w:t>
            </w:r>
          </w:p>
        </w:tc>
        <w:tc>
          <w:tcPr>
            <w:tcW w:w="19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QUANTUMSCAPE CORPORATION</w:t>
            </w:r>
          </w:p>
        </w:tc>
        <w:tc>
          <w:tcPr>
            <w:tcW w:w="1940" w:type="dxa"/>
            <w:vAlign w:val="bottom"/>
            <w:gridSpan w:val="3"/>
            <w:vMerge w:val="continue"/>
          </w:tcPr>
          <w:p>
            <w:pPr>
              <w:spacing w:after="0"/>
              <w:rPr>
                <w:sz w:val="11"/>
                <w:szCs w:val="11"/>
                <w:color w:val="auto"/>
              </w:rPr>
            </w:pPr>
          </w:p>
        </w:tc>
        <w:tc>
          <w:tcPr>
            <w:tcW w:w="19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3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1730 TECHNOLOGY DRIVE</w:t>
            </w:r>
          </w:p>
        </w:tc>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780" w:type="dxa"/>
            <w:vAlign w:val="bottom"/>
            <w:tcBorders>
              <w:bottom w:val="single" w:sz="8" w:color="2C2C2C"/>
            </w:tcBorders>
          </w:tcPr>
          <w:p>
            <w:pPr>
              <w:spacing w:after="0"/>
              <w:rPr>
                <w:sz w:val="12"/>
                <w:szCs w:val="12"/>
                <w:color w:val="auto"/>
              </w:rPr>
            </w:pPr>
          </w:p>
        </w:tc>
        <w:tc>
          <w:tcPr>
            <w:tcW w:w="19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300" w:type="dxa"/>
            <w:vAlign w:val="bottom"/>
            <w:gridSpan w:val="3"/>
            <w:vMerge w:val="continue"/>
          </w:tcPr>
          <w:p>
            <w:pPr>
              <w:spacing w:after="0"/>
              <w:rPr>
                <w:sz w:val="9"/>
                <w:szCs w:val="9"/>
                <w:color w:val="auto"/>
              </w:rPr>
            </w:pPr>
          </w:p>
        </w:tc>
        <w:tc>
          <w:tcPr>
            <w:tcW w:w="13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SAN JOSE</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95110</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tcBorders>
              <w:bottom w:val="single" w:sz="8" w:color="2C2C2C"/>
            </w:tcBorders>
            <w:gridSpan w:val="2"/>
          </w:tcPr>
          <w:p>
            <w:pPr>
              <w:jc w:val="right"/>
              <w:ind w:right="160"/>
              <w:spacing w:after="0"/>
              <w:rPr>
                <w:sz w:val="20"/>
                <w:szCs w:val="20"/>
                <w:color w:val="auto"/>
              </w:rPr>
            </w:pPr>
            <w:r>
              <w:rPr>
                <w:rFonts w:ascii="Times New Roman" w:cs="Times New Roman" w:eastAsia="Times New Roman" w:hAnsi="Times New Roman"/>
                <w:sz w:val="17"/>
                <w:szCs w:val="17"/>
                <w:color w:val="0000FF"/>
              </w:rPr>
              <w:t>05/12/2026</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27,106</w:t>
            </w:r>
          </w:p>
        </w:tc>
        <w:tc>
          <w:tcPr>
            <w:tcW w:w="4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7.8532</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131,298</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jc w:val="right"/>
              <w:ind w:right="1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jc w:val="right"/>
              <w:ind w:right="14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in this Form 4 was effected pursuant to a Rule 10b5-1 trading plan adopted by the reporting person on June 13, 2025.</w:t>
      </w:r>
    </w:p>
    <w:p>
      <w:pPr>
        <w:spacing w:after="0" w:line="5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$7.575 to $8.495,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 to this Form 4.</w:t>
      </w:r>
    </w:p>
    <w:p>
      <w:pPr>
        <w:spacing w:after="0" w:line="20" w:lineRule="exact"/>
        <w:rPr>
          <w:rFonts w:ascii="Times New Roman" w:cs="Times New Roman" w:eastAsia="Times New Roman" w:hAnsi="Times New Roman"/>
          <w:sz w:val="13"/>
          <w:szCs w:val="13"/>
          <w:color w:val="008000"/>
        </w:rPr>
      </w:pPr>
    </w:p>
    <w:p>
      <w:pPr>
        <w:ind w:left="40" w:right="2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48,192 shares represented by restricted stock units ("RSUs"). Each RSU represents the Reporting Person's right to receive one share of Class A Common Stock of the Issuer per the applicable vesting schedule, subject to the Reporting Person's continued service as of each vesting date.</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/Michael O McCarthy III,</w:t>
            </w:r>
          </w:p>
        </w:tc>
        <w:tc>
          <w:tcPr>
            <w:tcW w:w="12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05/14/2026</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94727" TargetMode="External"/><Relationship Id="rId14" Type="http://schemas.openxmlformats.org/officeDocument/2006/relationships/hyperlink" Target="http://www.sec.gov/cgi-bin/browse-edgar?action=getcompany&amp;CIK=00018114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2026-05-14T17:59:51Z</dcterms:created>
  <dcterms:modified xsi:type="dcterms:W3CDTF">2026-05-14T17:59:51Z</dcterms:modified>
</cp:coreProperties>
</file>