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Singh Mohit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140"/>
        <w:spacing w:after="0" w:line="327" w:lineRule="auto"/>
        <w:rPr>
          <w:sz w:val="20"/>
          <w:szCs w:val="20"/>
          <w:color w:val="auto"/>
        </w:rPr>
      </w:pPr>
      <w:r>
        <w:rPr>
          <w:rFonts w:ascii="Arial" w:cs="Arial" w:eastAsia="Arial" w:hAnsi="Arial"/>
          <w:sz w:val="16"/>
          <w:szCs w:val="16"/>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QuantumScape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QS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57"/>
        <w:spacing w:after="0"/>
        <w:rPr>
          <w:sz w:val="20"/>
          <w:szCs w:val="20"/>
          <w:color w:val="auto"/>
        </w:rPr>
      </w:pPr>
      <w:r>
        <w:rPr>
          <w:rFonts w:ascii="Arial" w:cs="Arial" w:eastAsia="Arial" w:hAnsi="Arial"/>
          <w:sz w:val="17"/>
          <w:szCs w:val="17"/>
          <w:color w:val="0000FF"/>
        </w:rPr>
        <w:t>Chief Development Officer</w:t>
      </w:r>
    </w:p>
    <w:p>
      <w:pPr>
        <w:spacing w:after="0" w:line="436"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95110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0000FF"/>
              </w:rPr>
              <w:t>02/25/2022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5,360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1.3252</w:t>
            </w:r>
          </w:p>
        </w:tc>
        <w:tc>
          <w:tcPr>
            <w:tcW w:w="120" w:type="dxa"/>
            <w:vAlign w:val="bottom"/>
          </w:tcPr>
          <w:p>
            <w:pPr>
              <w:spacing w:after="0"/>
              <w:rPr>
                <w:sz w:val="22"/>
                <w:szCs w:val="22"/>
                <w:color w:val="auto"/>
              </w:rPr>
            </w:pPr>
          </w:p>
        </w:tc>
        <w:tc>
          <w:tcPr>
            <w:tcW w:w="1200" w:type="dxa"/>
            <w:vAlign w:val="bottom"/>
            <w:gridSpan w:val="3"/>
          </w:tcPr>
          <w:p>
            <w:pPr>
              <w:jc w:val="right"/>
              <w:ind w:right="261"/>
              <w:spacing w:after="0"/>
              <w:rPr>
                <w:sz w:val="20"/>
                <w:szCs w:val="20"/>
                <w:color w:val="auto"/>
              </w:rPr>
            </w:pPr>
            <w:r>
              <w:rPr>
                <w:rFonts w:ascii="Arial" w:cs="Arial" w:eastAsia="Arial" w:hAnsi="Arial"/>
                <w:sz w:val="17"/>
                <w:szCs w:val="17"/>
                <w:color w:val="0000FF"/>
              </w:rPr>
              <w:t>225,776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02/25/2022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5,360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15.2953</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center"/>
              <w:ind w:right="181"/>
              <w:spacing w:after="0"/>
              <w:rPr>
                <w:sz w:val="20"/>
                <w:szCs w:val="20"/>
                <w:color w:val="auto"/>
              </w:rPr>
            </w:pPr>
            <w:r>
              <w:rPr>
                <w:rFonts w:ascii="Arial" w:cs="Arial" w:eastAsia="Arial" w:hAnsi="Arial"/>
                <w:sz w:val="17"/>
                <w:szCs w:val="17"/>
                <w:color w:val="0000FF"/>
              </w:rPr>
              <w:t>220,416</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5,360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1.3252</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02/25/2022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5,360</w:t>
            </w:r>
          </w:p>
        </w:tc>
        <w:tc>
          <w:tcPr>
            <w:tcW w:w="80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rPr>
              <w:t>04/01/2017</w:t>
            </w: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03/15/2027</w:t>
            </w:r>
          </w:p>
        </w:tc>
        <w:tc>
          <w:tcPr>
            <w:tcW w:w="5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880" w:type="dxa"/>
            <w:vAlign w:val="bottom"/>
            <w:gridSpan w:val="2"/>
            <w:vMerge w:val="restart"/>
          </w:tcPr>
          <w:p>
            <w:pPr>
              <w:ind w:left="160"/>
              <w:spacing w:after="0" w:line="143" w:lineRule="exact"/>
              <w:rPr>
                <w:sz w:val="20"/>
                <w:szCs w:val="20"/>
                <w:color w:val="auto"/>
              </w:rPr>
            </w:pPr>
            <w:r>
              <w:rPr>
                <w:rFonts w:ascii="Arial" w:cs="Arial" w:eastAsia="Arial" w:hAnsi="Arial"/>
                <w:sz w:val="13"/>
                <w:szCs w:val="13"/>
                <w:color w:val="0000FF"/>
              </w:rPr>
              <w:t>1,324,500</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December 2021.</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$15.17 to $15.31,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31"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201,086 shares represented by restricted stock units ("RSUs"). Each RSU represents the Reporting Person's right to receive one share of Class A Common Stock of the Issuer. A portion of the RSUs vest each quarter, subject to the Reporting Person's continued service as of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Michael O. McCarthy, III,</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03/01/2022</w:t>
            </w:r>
          </w:p>
        </w:tc>
        <w:tc>
          <w:tcPr>
            <w:tcW w:w="0" w:type="dxa"/>
            <w:vAlign w:val="bottom"/>
          </w:tcPr>
          <w:p>
            <w:pPr>
              <w:spacing w:after="0"/>
              <w:rPr>
                <w:sz w:val="1"/>
                <w:szCs w:val="1"/>
                <w:color w:val="auto"/>
              </w:rPr>
            </w:pPr>
          </w:p>
        </w:tc>
      </w:tr>
      <w:tr>
        <w:trPr>
          <w:trHeight w:val="84"/>
        </w:trPr>
        <w:tc>
          <w:tcPr>
            <w:tcW w:w="10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attorney-in-fact</w:t>
            </w:r>
          </w:p>
        </w:tc>
        <w:tc>
          <w:tcPr>
            <w:tcW w:w="10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06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019"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2022-03-01T17:48:06Z</dcterms:created>
  <dcterms:modified xsi:type="dcterms:W3CDTF">2022-03-01T17:48:06Z</dcterms:modified>
</cp:coreProperties>
</file>