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299"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QUANTUMSCAPE CORPORATION</w:t>
      </w:r>
    </w:p>
    <w:p>
      <w:pPr>
        <w:sectPr>
          <w:pgSz w:w="11900" w:h="16838" w:orient="portrait"/>
          <w:cols w:equalWidth="0" w:num="1">
            <w:col w:w="11240"/>
          </w:cols>
          <w:pgMar w:left="320" w:top="867" w:right="339" w:bottom="1440" w:gutter="0" w:footer="0" w:header="0"/>
        </w:sectPr>
      </w:pPr>
    </w:p>
    <w:p>
      <w:pPr>
        <w:spacing w:after="0" w:line="5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(Exact name of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6"/>
          <w:szCs w:val="16"/>
          <w:b w:val="1"/>
          <w:bCs w:val="1"/>
          <w:color w:val="auto"/>
        </w:rPr>
        <w:t>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1730 Technology Drive</w:t>
      </w:r>
    </w:p>
    <w:p>
      <w:pPr>
        <w:spacing w:after="0" w:line="1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San Jose, California</w:t>
      </w:r>
    </w:p>
    <w:p>
      <w:pPr>
        <w:spacing w:after="0" w:line="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85-0796578</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95110</w:t>
      </w:r>
    </w:p>
    <w:p>
      <w:pPr>
        <w:spacing w:after="0" w:line="2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 w:lineRule="exact"/>
        <w:rPr>
          <w:sz w:val="24"/>
          <w:szCs w:val="24"/>
          <w:color w:val="auto"/>
        </w:rPr>
      </w:pPr>
    </w:p>
    <w:p>
      <w:pPr>
        <w:sectPr>
          <w:pgSz w:w="11900" w:h="16838" w:orient="portrait"/>
          <w:cols w:equalWidth="0" w:num="2">
            <w:col w:w="7420" w:space="520"/>
            <w:col w:w="3300"/>
          </w:cols>
          <w:pgMar w:left="320" w:top="867"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452-2000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744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QS</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120" w:type="dxa"/>
            <w:vAlign w:val="bottom"/>
            <w:tcBorders>
              <w:top w:val="single" w:sz="8" w:color="auto"/>
              <w:bottom w:val="single" w:sz="8" w:color="auto"/>
            </w:tcBorders>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20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20" w:type="dxa"/>
            <w:vAlign w:val="bottom"/>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4"/>
        </w:trPr>
        <w:tc>
          <w:tcPr>
            <w:tcW w:w="71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xml:space="preserve">Indicate by check mark if the </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4"/>
                <w:szCs w:val="14"/>
                <w:color w:val="auto"/>
              </w:rPr>
              <w:t>egistrant is a well-known seasoned issuer, as defined in Rule 405 of the Securities Act. YES</w:t>
            </w:r>
          </w:p>
        </w:tc>
        <w:tc>
          <w:tcPr>
            <w:tcW w:w="4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4"/>
          <w:szCs w:val="14"/>
          <w:color w:val="auto"/>
        </w:rPr>
        <w:t xml:space="preserve">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Em</w:t>
            </w:r>
            <w:r>
              <w:rPr>
                <w:rFonts w:ascii="Times New Roman" w:cs="Times New Roman" w:eastAsia="Times New Roman" w:hAnsi="Times New Roman"/>
                <w:sz w:val="14"/>
                <w:szCs w:val="14"/>
                <w:color w:val="auto"/>
              </w:rPr>
              <w:t>erging growth company</w:t>
            </w:r>
          </w:p>
        </w:tc>
        <w:tc>
          <w:tcPr>
            <w:tcW w:w="35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ind w:right="120"/>
        <w:spacing w:after="0" w:line="228" w:lineRule="auto"/>
        <w:rPr>
          <w:sz w:val="20"/>
          <w:szCs w:val="20"/>
          <w:color w:val="auto"/>
        </w:rPr>
      </w:pPr>
      <w:r>
        <w:rPr>
          <w:rFonts w:ascii="Times New Roman" w:cs="Times New Roman" w:eastAsia="Times New Roman" w:hAnsi="Times New Roman"/>
          <w:sz w:val="14"/>
          <w:szCs w:val="14"/>
          <w:color w:val="auto"/>
        </w:rPr>
        <w:t>As of June 30, 2025, the last day of the registrant’s most recently completed second fiscal quarter, the aggregate market value of the voting and non-voting common equity held by non-affiliates of the registrant, based on the closing price of the shares of common stock on The New York Stock Exchange (the “NYSE”), was approximately $3.0 billion. Shares of common stock held by each executive officer and director and by each person who owns 10% or more of the outstanding common stock have been excluded from the foregoing calculation in that such persons may be deemed affiliates. This determination of affiliate status is not necessarily a conclusive determination for other purposes. In December 2025, the registrant transferred the listing of its Class A Common Stock from the NYSE to The Nasdaq Stock Market LLC (Nasdaq Global Select Market).</w:t>
      </w:r>
    </w:p>
    <w:p>
      <w:pPr>
        <w:spacing w:after="0" w:line="2" w:lineRule="exact"/>
        <w:rPr>
          <w:sz w:val="24"/>
          <w:szCs w:val="24"/>
          <w:color w:val="auto"/>
        </w:rPr>
      </w:pPr>
    </w:p>
    <w:p>
      <w:pPr>
        <w:ind w:right="100"/>
        <w:spacing w:after="0" w:line="251" w:lineRule="auto"/>
        <w:rPr>
          <w:sz w:val="20"/>
          <w:szCs w:val="20"/>
          <w:color w:val="auto"/>
        </w:rPr>
      </w:pPr>
      <w:r>
        <w:rPr>
          <w:rFonts w:ascii="Times New Roman" w:cs="Times New Roman" w:eastAsia="Times New Roman" w:hAnsi="Times New Roman"/>
          <w:sz w:val="14"/>
          <w:szCs w:val="14"/>
          <w:color w:val="auto"/>
        </w:rPr>
        <w:t>The number of shares of the registrant’s Class A Common Stock, par value $0.0001 per share outstanding was 575,291,274, and the number of shares of the registrant’s Class B Common Stock, par value $0.0001 per share outstanding was 37,290,635, as of February 18,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4"/>
          <w:szCs w:val="24"/>
          <w:color w:val="auto"/>
        </w:rPr>
      </w:pPr>
    </w:p>
    <w:p>
      <w:pPr>
        <w:jc w:val="both"/>
        <w:ind w:right="20"/>
        <w:spacing w:after="0" w:line="233"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annual meeting of stockholders to be held in 2025, to be filed with the Securities and Exchange Commission within 120 days after the end of the fiscal year to which this Annual Report on Form 10-K relates, are incorporated herein by reference in Part III where indicated. Except with respect to information specifically incorporated by reference in this Annual Report on Form 10-K, such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563C1"/>
            </w:tcBorders>
          </w:tcPr>
          <w:p>
            <w:pPr>
              <w:spacing w:after="0" w:line="194" w:lineRule="exact"/>
              <w:rPr>
                <w:sz w:val="20"/>
                <w:szCs w:val="20"/>
                <w:color w:val="auto"/>
              </w:rPr>
            </w:pPr>
            <w:r>
              <w:rPr>
                <w:rFonts w:ascii="Times New Roman" w:cs="Times New Roman" w:eastAsia="Times New Roman" w:hAnsi="Times New Roman"/>
                <w:sz w:val="18"/>
                <w:szCs w:val="18"/>
                <w:color w:val="0563C1"/>
                <w:w w:val="96"/>
              </w:rPr>
              <w:t>Business</w:t>
            </w:r>
          </w:p>
        </w:tc>
        <w:tc>
          <w:tcPr>
            <w:tcW w:w="8660" w:type="dxa"/>
            <w:vAlign w:val="bottom"/>
            <w:gridSpan w:val="21"/>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rPr>
              <w:t>Cybersecurity</w:t>
            </w:r>
          </w:p>
        </w:tc>
        <w:tc>
          <w:tcPr>
            <w:tcW w:w="72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rPr>
              <w:t>Properties</w:t>
            </w:r>
          </w:p>
        </w:tc>
        <w:tc>
          <w:tcPr>
            <w:tcW w:w="83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563C1"/>
            </w:tcBorders>
            <w:gridSpan w:val="21"/>
          </w:tcPr>
          <w:p>
            <w:pPr>
              <w:spacing w:after="0" w:line="194" w:lineRule="exact"/>
              <w:rPr>
                <w:sz w:val="20"/>
                <w:szCs w:val="20"/>
                <w:color w:val="auto"/>
              </w:rPr>
            </w:pPr>
            <w:r>
              <w:rPr>
                <w:rFonts w:ascii="Times New Roman" w:cs="Times New Roman" w:eastAsia="Times New Roman" w:hAnsi="Times New Roman"/>
                <w:sz w:val="18"/>
                <w:szCs w:val="18"/>
                <w:color w:val="0563C1"/>
                <w:w w:val="99"/>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563C1"/>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100" w:type="dxa"/>
            <w:vAlign w:val="bottom"/>
            <w:tcBorders>
              <w:top w:val="single" w:sz="8" w:color="0563C1"/>
            </w:tcBorders>
            <w:gridSpan w:val="3"/>
          </w:tcPr>
          <w:p>
            <w:pPr>
              <w:spacing w:after="0"/>
              <w:rPr>
                <w:sz w:val="17"/>
                <w:szCs w:val="17"/>
                <w:color w:val="auto"/>
              </w:rPr>
            </w:pPr>
          </w:p>
        </w:tc>
        <w:tc>
          <w:tcPr>
            <w:tcW w:w="28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6"/>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563C1"/>
            </w:tcBorders>
            <w:gridSpan w:val="19"/>
          </w:tcPr>
          <w:p>
            <w:pPr>
              <w:spacing w:after="0" w:line="196" w:lineRule="exact"/>
              <w:rPr>
                <w:sz w:val="20"/>
                <w:szCs w:val="20"/>
                <w:color w:val="auto"/>
              </w:rPr>
            </w:pPr>
            <w:r>
              <w:rPr>
                <w:rFonts w:ascii="Times New Roman" w:cs="Times New Roman" w:eastAsia="Times New Roman" w:hAnsi="Times New Roman"/>
                <w:sz w:val="18"/>
                <w:szCs w:val="18"/>
                <w:color w:val="0563C1"/>
                <w:w w:val="99"/>
              </w:rPr>
              <w:t>Changes in and Disagreements With Accountants on Accounting and Financial Disclosure</w:t>
            </w: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5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6"/>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78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563C1"/>
            </w:tcBorders>
            <w:gridSpan w:val="14"/>
          </w:tcPr>
          <w:p>
            <w:pPr>
              <w:spacing w:after="0" w:line="194" w:lineRule="exact"/>
              <w:rPr>
                <w:sz w:val="20"/>
                <w:szCs w:val="20"/>
                <w:color w:val="auto"/>
              </w:rPr>
            </w:pPr>
            <w:r>
              <w:rPr>
                <w:rFonts w:ascii="Times New Roman" w:cs="Times New Roman" w:eastAsia="Times New Roman" w:hAnsi="Times New Roman"/>
                <w:sz w:val="18"/>
                <w:szCs w:val="18"/>
                <w:color w:val="0563C1"/>
                <w:w w:val="99"/>
              </w:rPr>
              <w:t>Directors, Executive Officers and Corporate Governance</w:t>
            </w:r>
          </w:p>
        </w:tc>
        <w:tc>
          <w:tcPr>
            <w:tcW w:w="5200" w:type="dxa"/>
            <w:vAlign w:val="bottom"/>
            <w:gridSpan w:val="8"/>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8"/>
              </w:rPr>
              <w:t>Executive Compensation</w:t>
            </w:r>
          </w:p>
        </w:tc>
        <w:tc>
          <w:tcPr>
            <w:tcW w:w="750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563C1"/>
              <w:bottom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w w:val="99"/>
              </w:rPr>
              <w:t>Certain Relationships and Related Transactions, and Director Independence</w:t>
            </w:r>
          </w:p>
        </w:tc>
        <w:tc>
          <w:tcPr>
            <w:tcW w:w="1820" w:type="dxa"/>
            <w:vAlign w:val="bottom"/>
            <w:tcBorders>
              <w:top w:val="single" w:sz="8" w:color="0563C1"/>
            </w:tcBorders>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563C1"/>
            </w:tcBorders>
            <w:gridSpan w:val="12"/>
          </w:tcPr>
          <w:p>
            <w:pPr>
              <w:spacing w:after="0" w:line="194" w:lineRule="exact"/>
              <w:rPr>
                <w:sz w:val="20"/>
                <w:szCs w:val="20"/>
                <w:color w:val="auto"/>
              </w:rPr>
            </w:pPr>
            <w:r>
              <w:rPr>
                <w:rFonts w:ascii="Times New Roman" w:cs="Times New Roman" w:eastAsia="Times New Roman" w:hAnsi="Times New Roman"/>
                <w:sz w:val="18"/>
                <w:szCs w:val="18"/>
                <w:color w:val="0563C1"/>
                <w:w w:val="99"/>
              </w:rPr>
              <w:t>Exhibits and Financial Statement Schedules</w:t>
            </w:r>
          </w:p>
        </w:tc>
        <w:tc>
          <w:tcPr>
            <w:tcW w:w="6140" w:type="dxa"/>
            <w:vAlign w:val="bottom"/>
            <w:gridSpan w:val="10"/>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“QuantumScape,” “we,” “us,” “our,” or the “Company” in this Annual Report on Form 10-K (this “Report”) refer to QuantumScape Corporation and its subsidiaries.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the development of the Company’s battery technology,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“prospective,”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risks and uncertainties, including those described in Part I, Item 1A, “Risk Factors” in this Report, most of which are difficult to predict and many of which are beyond the control of the Company and incident to its business.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forward-looking statements in this Report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laws.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 those discussed in the section titled “Risk Factors” in this Report and in our other filings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890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TECHNICAL GLOSSARY</w:t>
            </w:r>
          </w:p>
        </w:tc>
        <w:tc>
          <w:tcPr>
            <w:tcW w:w="0" w:type="dxa"/>
            <w:vAlign w:val="bottom"/>
          </w:tcPr>
          <w:p>
            <w:pPr>
              <w:spacing w:after="0"/>
              <w:rPr>
                <w:sz w:val="1"/>
                <w:szCs w:val="1"/>
                <w:color w:val="auto"/>
              </w:rPr>
            </w:pPr>
          </w:p>
        </w:tc>
      </w:tr>
      <w:tr>
        <w:trPr>
          <w:trHeight w:val="324"/>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Throughout this Annual Report on Form 10-K, we use several technical terms which are explained as follows:</w:t>
            </w:r>
          </w:p>
        </w:tc>
        <w:tc>
          <w:tcPr>
            <w:tcW w:w="0" w:type="dxa"/>
            <w:vAlign w:val="bottom"/>
          </w:tcPr>
          <w:p>
            <w:pPr>
              <w:spacing w:after="0"/>
              <w:rPr>
                <w:sz w:val="1"/>
                <w:szCs w:val="1"/>
                <w:color w:val="auto"/>
              </w:rPr>
            </w:pPr>
          </w:p>
        </w:tc>
      </w:tr>
      <w:tr>
        <w:trPr>
          <w:trHeight w:val="52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B and C samples</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designation of progressive prototype maturity during the battery cell development process for automotive</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qualification by OEMs. Delivery of an A sample marks the beginning of the qualification process. Each successive</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alphabetic designation (e.g., B, C) represents advancement to the next development stage, while each numerical</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increment (e.g., B0, B1) signifies progress within that stage. The specifications for each sample designation are</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Anode</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determined jointly with the OEM.</w:t>
            </w:r>
          </w:p>
        </w:tc>
        <w:tc>
          <w:tcPr>
            <w:tcW w:w="0" w:type="dxa"/>
            <w:vAlign w:val="bottom"/>
          </w:tcPr>
          <w:p>
            <w:pPr>
              <w:spacing w:after="0"/>
              <w:rPr>
                <w:sz w:val="1"/>
                <w:szCs w:val="1"/>
                <w:color w:val="auto"/>
              </w:rPr>
            </w:pPr>
          </w:p>
        </w:tc>
      </w:tr>
      <w:tr>
        <w:trPr>
          <w:trHeight w:val="212"/>
        </w:trPr>
        <w:tc>
          <w:tcPr>
            <w:tcW w:w="2340" w:type="dxa"/>
            <w:vAlign w:val="bottom"/>
            <w:vMerge w:val="continue"/>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negative electrode in a battery, serving as the host material for lithium ions during charging</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Battery cycle life</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number of times a battery can be charged and discharged until its capacity is significantly reduced (e.g. to</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Capacity (battery)</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70% or 80% of the initial capacity)</w:t>
            </w:r>
          </w:p>
        </w:tc>
        <w:tc>
          <w:tcPr>
            <w:tcW w:w="0" w:type="dxa"/>
            <w:vAlign w:val="bottom"/>
          </w:tcPr>
          <w:p>
            <w:pPr>
              <w:spacing w:after="0"/>
              <w:rPr>
                <w:sz w:val="1"/>
                <w:szCs w:val="1"/>
                <w:color w:val="auto"/>
              </w:rPr>
            </w:pPr>
          </w:p>
        </w:tc>
      </w:tr>
      <w:tr>
        <w:trPr>
          <w:trHeight w:val="212"/>
        </w:trPr>
        <w:tc>
          <w:tcPr>
            <w:tcW w:w="2340" w:type="dxa"/>
            <w:vAlign w:val="bottom"/>
            <w:vMerge w:val="continue"/>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amount of charge a battery can store. May be measured in amp-hours (Ah)</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Cathode</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positive electrode in a battery</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Catholyte</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lithium-ion conductor in the cathode compartment of a battery</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Dendrites</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Growths of lithium metal that can pass through a separator and short circuit the cell</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Electric vehicle</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Energy density</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amount of energy stored in a battery per unit volume (volumetric energy density which may be measured in</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ICE</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Wh/L) or unit mass (specific energy, also known as gravimetric energy density which may be measured in Wh/kg)</w:t>
            </w:r>
          </w:p>
        </w:tc>
        <w:tc>
          <w:tcPr>
            <w:tcW w:w="0" w:type="dxa"/>
            <w:vAlign w:val="bottom"/>
          </w:tcPr>
          <w:p>
            <w:pPr>
              <w:spacing w:after="0"/>
              <w:rPr>
                <w:sz w:val="1"/>
                <w:szCs w:val="1"/>
                <w:color w:val="auto"/>
              </w:rPr>
            </w:pPr>
          </w:p>
        </w:tc>
      </w:tr>
      <w:tr>
        <w:trPr>
          <w:trHeight w:val="212"/>
        </w:trPr>
        <w:tc>
          <w:tcPr>
            <w:tcW w:w="2340" w:type="dxa"/>
            <w:vAlign w:val="bottom"/>
            <w:vMerge w:val="continue"/>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Internal combustion engines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LFP</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Lithium-iron-phosphate, a cathode active material</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Lithium-ion battery</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 conventional battery which uses liquid electrolyte to transport lithium ions between the cathode and anode to</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Lithium-metal battery</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charge and discharge the battery</w:t>
            </w:r>
          </w:p>
        </w:tc>
        <w:tc>
          <w:tcPr>
            <w:tcW w:w="0" w:type="dxa"/>
            <w:vAlign w:val="bottom"/>
          </w:tcPr>
          <w:p>
            <w:pPr>
              <w:spacing w:after="0"/>
              <w:rPr>
                <w:sz w:val="1"/>
                <w:szCs w:val="1"/>
                <w:color w:val="auto"/>
              </w:rPr>
            </w:pPr>
          </w:p>
        </w:tc>
      </w:tr>
      <w:tr>
        <w:trPr>
          <w:trHeight w:val="212"/>
        </w:trPr>
        <w:tc>
          <w:tcPr>
            <w:tcW w:w="2340" w:type="dxa"/>
            <w:vAlign w:val="bottom"/>
            <w:vMerge w:val="continue"/>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Advanced battery technology that uses lithium metal as the anode</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NMC</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Nickel-manganese-cobalt, a cathode active material</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OEM(s)</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Original Equipment Manufacturer(s), which in the context of this Report, are companies that design, produce and</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Power (battery)</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sell vehicles under their own brand names</w:t>
            </w:r>
          </w:p>
        </w:tc>
        <w:tc>
          <w:tcPr>
            <w:tcW w:w="0" w:type="dxa"/>
            <w:vAlign w:val="bottom"/>
          </w:tcPr>
          <w:p>
            <w:pPr>
              <w:spacing w:after="0"/>
              <w:rPr>
                <w:sz w:val="1"/>
                <w:szCs w:val="1"/>
                <w:color w:val="auto"/>
              </w:rPr>
            </w:pPr>
          </w:p>
        </w:tc>
      </w:tr>
      <w:tr>
        <w:trPr>
          <w:trHeight w:val="212"/>
        </w:trPr>
        <w:tc>
          <w:tcPr>
            <w:tcW w:w="2340" w:type="dxa"/>
            <w:vAlign w:val="bottom"/>
            <w:vMerge w:val="continue"/>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rate at which a battery can be discharged or charged</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QSE-5</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Our first planned product, a ~5 Amp hour solid-state lithium-metal battery cell</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Separator</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 material in between the cathode and anode that prevents physical contact between the positive and negative</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electrodes. Our cell design includes a separator that consists of an inorganic solid ceramic film that has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characteristics of both a separator and an electrolyte, and we sometimes refer to our proprietary solid-state</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Solid-state battery</w:t>
            </w: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electrolyte-separator as “electrolyte-separator”, “solid-state separator”, or “solid-state electrolyte-separator”.</w:t>
            </w:r>
          </w:p>
        </w:tc>
        <w:tc>
          <w:tcPr>
            <w:tcW w:w="0" w:type="dxa"/>
            <w:vAlign w:val="bottom"/>
          </w:tcPr>
          <w:p>
            <w:pPr>
              <w:spacing w:after="0"/>
              <w:rPr>
                <w:sz w:val="1"/>
                <w:szCs w:val="1"/>
                <w:color w:val="auto"/>
              </w:rPr>
            </w:pPr>
          </w:p>
        </w:tc>
      </w:tr>
      <w:tr>
        <w:trPr>
          <w:trHeight w:val="234"/>
        </w:trPr>
        <w:tc>
          <w:tcPr>
            <w:tcW w:w="2340" w:type="dxa"/>
            <w:vAlign w:val="bottom"/>
            <w:vMerge w:val="continue"/>
          </w:tcPr>
          <w:p>
            <w:pPr>
              <w:spacing w:after="0"/>
              <w:rPr>
                <w:sz w:val="20"/>
                <w:szCs w:val="20"/>
                <w:color w:val="auto"/>
              </w:rPr>
            </w:pPr>
          </w:p>
        </w:tc>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Next-generation battery technology that comprises a solid separator</w:t>
            </w:r>
          </w:p>
        </w:tc>
        <w:tc>
          <w:tcPr>
            <w:tcW w:w="0" w:type="dxa"/>
            <w:vAlign w:val="bottom"/>
          </w:tcPr>
          <w:p>
            <w:pPr>
              <w:spacing w:after="0"/>
              <w:rPr>
                <w:sz w:val="1"/>
                <w:szCs w:val="1"/>
                <w:color w:val="auto"/>
              </w:rPr>
            </w:pPr>
          </w:p>
        </w:tc>
      </w:tr>
      <w:tr>
        <w:trPr>
          <w:trHeight w:val="648"/>
        </w:trPr>
        <w:tc>
          <w:tcPr>
            <w:tcW w:w="2340" w:type="dxa"/>
            <w:vAlign w:val="bottom"/>
          </w:tcPr>
          <w:p>
            <w:pPr>
              <w:spacing w:after="0"/>
              <w:rPr>
                <w:sz w:val="24"/>
                <w:szCs w:val="24"/>
                <w:color w:val="auto"/>
              </w:rPr>
            </w:pPr>
          </w:p>
        </w:tc>
        <w:tc>
          <w:tcPr>
            <w:tcW w:w="89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763"/>
        </w:trPr>
        <w:tc>
          <w:tcPr>
            <w:tcW w:w="234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QuantumScape is a leader in developing next-generation solid-state lithium-metal battery technology for EVs and other applications. QuantumScape Battery Inc. was founded in 2010 with the mission to revolutionize energy storage to enable a sustainable future.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 the midst of a once-in-a-century shift in automotive powertrains, from ICE to clean EVs. After 30 years of gradual improvements in conventional lithium-ion batteries, the benefits of EVs have been demonstrated, principally in the premium passenger car market. However, there are fundamental limitations inhibiting widespread adoption of battery technology, and we believe the automotive market needs a step change in battery technology to make mass market EVs competitive with the fossil fuel alternative.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spent over a decade developing a proprietary solid-state battery technology to meet this challenge. QuantumScape’s solid-state lithium-metal battery technology is designed to offer greater energy density, faster charging, and enhanced safety when compared to today’s conventional lithium-ion batteries. We believe no other lithium-metal battery technology has demonstrated the capability of achieving automotive rates of power with acceptable battery cycle life at modest levels of pressure (approximately 3 to 4 atmospheres (“atm”)).</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2012, we have developed a strong partnership with Volkswagen Group of America Investments, LLC (“VGA”) and certain of its affiliates (together with VGA, “Volkswagen”). Volkswagen is one of the largest car companies in the world and, over the last ten years, Volkswagen has invested approximately $380 million in us. Over the course of our relationship, Volkswagen has successfully tested multiple generations of certain of our single-layer and multilayer prototype cells at automotive rates of power. In July 2024, we entered into a Collaboration Agreement (the “Collaboration Agreement”) with PowerCo SE (“PowerCo”), a battery cell company wholly owned by Volkswagen, with the goal of PowerCo industrializing QS technology based on QSE-5. In July 2025, we entered into an amendment and restatement of the Collaboration Agreement (the “PowerCo Amendment”, together with the Collaboration Agreement, the “PowerCo Collaboration Agreement”), and entered into a statement of work outlining the scope and responsibilities of the joint scale-up team working at our battery development pilot line in San Jose, California for the development, validation, demonstration, and initial commercialization of QS battery cell technology based on QSE-5 and toward the transfer of such technology into cell size determined by PowerCo (the “Project”). PowerCo has agreed to contribute up to $130.7 million for the Project over the next two years, subject to the completion of certain milestones by the joint scale-up team.</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signed agreements with PowerCo with the goal of commercializing our battery technology, we intend to continue working closely with automotive OEMs to make our solid-state battery cells widely available over time. We have also signed agreements, including customer sampling, technology evaluation and joint development agreements, with a number of OEMs, ranging from leading manufacturers by global revenue to premium performance and luxury carmakers, to collaborate with us in the testing and validating of our solid-state battery cells with the goal to include such cells into pre-production prototype vehicles and ultimately into serial production vehicles. We are currently focused on automotive EV applications, which have among the most stringent sets of requirements for batteries. Meanwhile, we see opportunities for our solid-state battery technology in other large and growing markets including consumer electronics, data centers, defense, and others and we intend to explore such opportunities as appropriate.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technology enables a variety of business models and presents opportunities with a variety of potential customers, such as automotive OEMs, end-users, and licensees, as applicable. In addition to the collaboration with PowerCo, which contemplates payments for collaboration activities and a licensing arrangement, we may operate solely-owned manufacturing facilities, license technology to other manufacturers, or enter into joint venture arrangements, among other approaches. We are also building a global ecosystem of partners, including but not limited to our customers, suppliers and vendors, around our technology platform, creating additional licensing and monetization opportunities for the company and its shareholders. We intend to continue to invest in research and development to improve battery cell performance, improve production processes, and reduce cost.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to EVs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Consumers are increasingly considering EVs for a variety of reasons including better performance, growing EV charging infrastructure, significantly lighter environmental impact, and lower maintenance and operating costs. Automakers such as Tesla, Inc., Rivian and Lucid Motors have demonstrated that premium EVs can deliver a compelling alternative to fossil fuels. As EVs become more competitive and more affordable, we believe that they will continue to take market share from ICE vehicles. Indeed, in 2025 the market share of battery-electric and plug-in hybrid vehicles has risen sharply in many regions, especially Europe, with a sharp decline in new petrol and diesel sales in these markets. We believe that this shift will continue to occur across vehicle types and market segments. This transition is unfolding during a challenging period for many auto OEMs, marked by shifting demand and ongoing industry adjustments. The inherent limitations of lithium-ion battery technology continue to impede improvements in EV competitiveness on range and charging times compared with ICE vehicles.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Battery Technology Will Not Meet the Requirements for Broad Adoption of EVs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significant progress in the global shift to EVs, in the U.S. the market remains dominated by ICE vehicles. According to International Energy Agency, more than 20% of global new car sales in 2024 were electric, including plug-in hybrids. For EVs to be adopted globally at scale across market segments, batteries need to improve. In particular, we believe there are five key requirements to drive broad adoption of EVs:</w:t>
      </w:r>
    </w:p>
    <w:p>
      <w:pPr>
        <w:spacing w:after="0" w:line="64" w:lineRule="exact"/>
        <w:rPr>
          <w:sz w:val="20"/>
          <w:szCs w:val="20"/>
          <w:color w:val="auto"/>
        </w:rPr>
      </w:pPr>
    </w:p>
    <w:p>
      <w:pPr>
        <w:jc w:val="both"/>
        <w:ind w:left="76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Battery capacity (energy density). </w:t>
      </w:r>
      <w:r>
        <w:rPr>
          <w:rFonts w:ascii="Times New Roman" w:cs="Times New Roman" w:eastAsia="Times New Roman" w:hAnsi="Times New Roman"/>
          <w:sz w:val="18"/>
          <w:szCs w:val="18"/>
          <w:color w:val="auto"/>
        </w:rPr>
        <w:t>EVs need to be able to drive over 300 miles on a single charge to be competitive with ICE vehicles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broad market adoption. The space required for conventional lithium-ion battery technology limits the range of many EVs. Higher energy density will enable automotive OEMs to increase battery pack energy without increasing the size and weight of the vehicle’s battery pack.</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Fast charging capability. </w:t>
      </w:r>
      <w:r>
        <w:rPr>
          <w:rFonts w:ascii="Times New Roman" w:cs="Times New Roman" w:eastAsia="Times New Roman" w:hAnsi="Times New Roman"/>
          <w:sz w:val="18"/>
          <w:szCs w:val="18"/>
          <w:color w:val="auto"/>
        </w:rPr>
        <w:t>EV batteries need to be fast charging to replicate the speed and ease with which a gasoline car can be refueled.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this objective is achieved with the ability to charge from 10% to 80% capacity in approximately 15 minutes or less, faster than today’s conventional batteries can deliver without materially degrading battery cycle life.</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Safety (nonflammable). </w:t>
      </w:r>
      <w:r>
        <w:rPr>
          <w:rFonts w:ascii="Times New Roman" w:cs="Times New Roman" w:eastAsia="Times New Roman" w:hAnsi="Times New Roman"/>
          <w:sz w:val="18"/>
          <w:szCs w:val="18"/>
          <w:color w:val="auto"/>
        </w:rPr>
        <w:t>EV batteries need to replace as many of the flammable components in the battery as possible with non-flammable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to reduce the extent of damage caused by a fire. With current batteries, many failure conditions can result in fires, for example malfunctions that can result in short-circuits and battery damage from accidents.</w:t>
      </w:r>
    </w:p>
    <w:p>
      <w:pPr>
        <w:spacing w:after="0" w:line="62"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Battery cycle life. </w:t>
      </w:r>
      <w:r>
        <w:rPr>
          <w:rFonts w:ascii="Times New Roman" w:cs="Times New Roman" w:eastAsia="Times New Roman" w:hAnsi="Times New Roman"/>
          <w:sz w:val="18"/>
          <w:szCs w:val="18"/>
          <w:color w:val="auto"/>
        </w:rPr>
        <w:t>Batteries need to be usable for the life of the vehicle, typically 12 years or 150,000 miles. If the battery fades prematurely, EVs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not be an economically practical alternative.</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w:t>
      </w:r>
      <w:r>
        <w:rPr>
          <w:rFonts w:ascii="Times New Roman" w:cs="Times New Roman" w:eastAsia="Times New Roman" w:hAnsi="Times New Roman"/>
          <w:sz w:val="18"/>
          <w:szCs w:val="18"/>
          <w:color w:val="auto"/>
        </w:rPr>
        <w:t>Mass market adoption of EVs requires a battery that is capable of high performance while remaining cost competitive.</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these requirements have complex interlinkages, most manufacturers of conventional lithium-ion batteries used in today’s cars are forced to make trade-offs. For example, conventional batteries can be fast charged, but at the cost of adversely impacting their battery cycle life.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battery technology that can meet these requirements will enable an EV solution that is much more broadly competitive with ICE vehicles. According to the Organisation Internationale des Constructeurs d’Automobiles, approximately 93 million vehicles were produced in 2024 across the auto industry, representing a significant untapped demand for a battery that meets these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Conventional Lithium-ion Battery Technologies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last significant development in battery technology was the commercialization of lithium-ion batteries in the early 1990s which created a new class of batteries with higher energy density. Lithium-ion batteries have enabled a new generation of mobile electronics, efficient renewable energy storage, and the start of the transition to electrified mobility.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1990s, conventional lithium-ion batteries have gradually improved in energy density. Most increases in energy density have come from improved cell design and incremental improvements in cathode and anode technology. However, there is no Moore’s law in batteries—it has taken conventional lithium-ion batteries at least 10 years to double in energy density and it has been approximately 30 years since the introduction of a major new high-energy chemistry. As the industry approaches the theoretical limit of achievable energy density for lithium-ion batteries, we believe a new architecture is required to deliver meaningful gains in energy density.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Batteries have a cathode (the positive electrode), an anode (the negative electrode), a separator that prevents contact between the anode and cathode, and an electrolyte that transports ions but not electrons. A conventional lithium-ion battery (as shown in the figure below) uses a liquid electrolyte, a polymer separator, and an anode made principally of carbon (graphite) or a carbon/silicon composite. Lithium ions move from the cathode to the anode when the battery is charged and vice versa during discharge.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Conventional Lithium-Ion Battery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283210</wp:posOffset>
            </wp:positionV>
            <wp:extent cx="6172200" cy="3317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fully discharged lithium-ion cell, the lithium in the cell resides in the cathode. When the cell is charged, lithium ions move from the cathode to the anode, where they diffuse into the carbon particles that make up the anode. In the fully charged state, the lithium ions sit in the anode. When the battery is discharged, these lithium ions are allowed to move back from the anode to the cathode, and in the process, energy can be extracted from the system.</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limit to the energy density of conventional lithium-ion batteries is imposed by the anode, which provides a host material made of carbon (graphite) and/or silicon to hold the lithium ions, preventing them from binding together into pure metallic lithium and porous separators, can form growths of lithium known as dendrites, which can penetrate through the separator and short-circuit the cell.</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using a host material in the anode is an effective way to prevent dendrites, this host material adds volume and mass to the cell, adds cost to the battery, and limits the battery cycle life due to side reactions at the interface with the liquid electrolyte. The rate at which lithium diffuses through the anode also limits the maximum cell power.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addition of silicon to a carbon anode provides a boost to energy density relative to a pure carbon anode. However, silicon is a host material that not only suffers from the limitations of carbon as discussed above, but also introduces cycle life challenges as a result of the repeated expansion and contraction of the silicon particles, since silicon undergoes significantly more expansion than carbon when hosting lithium ions. Furthermore, the voltage of the lithium-silicon reaction subtracts from the overall cell voltage, reducing cell energy.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Lithium-Metal Anode Required to Unlock Highest Energy Density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an anode-free lithium-metal cell is the most promising approach that can break out of the constraints inherent in conventional lithium-ion batteries and enable significant improvements in energy density.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Our battery cells have none of the host materials used in conventional anodes. Our cells are “anode-free” in that they are manufactured without anodes in a discharged state. When the cell is first charged, lithium-ion moves out of the cathode, diffuses through our solid-state electrolyte-separator and plates in a thin metallic layer directly on the anode current collector, forming a lithium-metal anode. When the battery cell is discharged, the lithium diffuses back into the cathode. Eliminating the host material reduces the size and weight of the battery cell and eliminates the associated materials and manufacturing costs. This results in the highest theoretical gravimetric energy density for a lithium-based battery system if the system can be manufactured without excess lithium on the anode.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Lithium-metal anodes are generally compatible with conventional cathode materials, and lithium-metal batteries will derive some benefit from continued improvement in conventional cathode materials. Moreover, lithium-metal anodes may enable future generations of higher energy cathodes, such as the metal fluorides, that may not achieve significant energy density gains when used with lithium-ion anodes, as shown in the figure below.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Modeled Cell Specific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146050</wp:posOffset>
            </wp:positionV>
            <wp:extent cx="6172200" cy="2768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Source: Andre et al, J Mater Chem A. (2015) 6709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 Modeled cell specific energy is based on traditional cell designs and architectures</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industry has understood for over 40 years the potential benefits of lithium-metal anodes, the industry has not been able to develop a separator that makes a lithium-metal anode practical for rechargeable battery applications.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Electrolyte-Separator Required to Enable Lithium-Metal Anode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a lithium-metal battery requires that the porous separators used in conventional lithium-ion batteries be replaced with a solid-state electrolyte-separator capable of conducting lithium ions between the cathode and anode at rates comparable to conventional liquid electrolyte while also suppressing the formation of lithium dendrites. While various solid-state separators have been shown to operate at low power densities, such low power densities are not useful for most practical applications. To our best knowledge, we are the only company that has been able to demonstrate a solid-state separator for lithium-metal batteries capable of resisting dendrite formation at higher power densities such as those required for automotive applications, and fast charging, for at least 800 cycles at around 25 °C.</w:t>
      </w:r>
    </w:p>
    <w:p>
      <w:pPr>
        <w:spacing w:after="0" w:line="7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We believe that our ability to develop this proprietary solid-state electrolyte-separator will enable the shift from lithium-ion to lithium-metal batteries.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Our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146050</wp:posOffset>
            </wp:positionV>
            <wp:extent cx="6172200" cy="2468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proprietary solid-state lithium-metal cell represents the next-generation of battery technology.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Eliminating the anode host material found in conventional lithium-ion cells increases the volumetric energy density. A pure lithium-metal anode also enables the theoretically highest gravimetric energy density for a lithium battery system, if the system can be manufactured without excess lithium on the anode.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cell design includes an inorganic solid ceramic film that has characteristics of both a separator and an electrolyte. This ceramic solid-state electrolyte-separator is our core technology breakthrough that enables reliable cycling of the lithium-metal anode battery. A working solid-state electrolyte-separator is needed to prevent the formation of dendrites that would normally grow through a traditional porous separator and short circuit the cell. An effective solid-state electrolyte-separator requires a solid material that has ionic conductivity in a range similar to liquid electrolytes, is chemically stable next to lithium</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one of the most reactive elements in the periodic table — and is able to resist the formation of dendrites. Our team has worked over ten years to develop a composition that meets these requirements and to develop techniques necessary to manufacture the electrolyte-separator material at scale. We have a number of patents covering both the composition of this material and key steps of its manufacturing process. While current generations of our prototype battery cells contain our proprietary solid-state electrolyte-separator and an organic liquid cathode electrolyte (i.e. catholyte), solid catholyte materials are part of our ongoing research and development investigations.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Our Cells and Separator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77470</wp:posOffset>
            </wp:positionV>
            <wp:extent cx="5786755" cy="290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675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solid-state electrolyte-separator is a dense, entirely inorganic ceramic. As shown in the figure above, it is made into a film that is thinner than a human hair and then cut into pieces. Our separator is flexible because it has a low defect density and is thin. In contrast, typical household ceramics are less flexible and can break due to defects which can reduce structural integrity.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unit cell consists of a double-sided cathode with a solid-state electrolyte-separator and anode current collector on either side. We stack these unit cells together to form multilayer cells that can be built into a battery package. We first demonstrate new functionality using these unit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6172200" cy="3086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960" w:hanging="244"/>
        <w:spacing w:after="0"/>
        <w:tabs>
          <w:tab w:leader="none" w:pos="2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illustrative purposes only. Designs vary based on customer specifications.</w:t>
      </w:r>
    </w:p>
    <w:p>
      <w:pPr>
        <w:spacing w:after="0" w:line="21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In 2022, we shipped A0 prototype battery cells to multiple automotive OEMs for testing. In 2024, we began producing low volumes of our first B-sample cells, and we began shipping these cells for automotive customer testing. These are B-samples of our first product, QSE-5 a ~5 amp-hour cell with measured performance of over 800 Wh/L, and &lt; 15 minute fast charge from 10% to 80% of capacity. However, our potential customers may require the development of cells with different capacities, layer counts or dimensions. In 2025, together with Volkswagen and PowerCo, we had the first live demonstration of our solid-state lithium-metal battery technology powering a Ducati V21L electric motorcycle at the IAA Mobility event that included B1 samples of our QSE-5 cell from our more efficient separator production processes.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move from prototypes to commercial products, we will need to continue improving the quality and consistency of materials and processes for higher volume manufacturing. We need more production capacity to make the large number of multilayer cells needed for testing and for process optimization, including yield improvement and reliability. In 2025, we installed our highly automated battery cell pilot production line that we expect will increase both output and reliability.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cathodes use a conventional cathode active material such as NMC mixed with a catholyte made of an organic liquid. We plan to benefit from industry cathode chemistry improvements and/or cost reduction, which in the future may include use of other cathode active materials, including cobalt-free compositions (e.g., LFP), as well as cathode processing advances such as dry electrode processing. Over the years, we have developed catholytes made of differing mixtures of organic liquid electrolyte in an effort to optimize performance across multiple metrics such as voltage, temperature, power, and safety, among others. We continue to test solid, gel and liquid catholytes from time to time in our cells. The solid catholyte is part of our ongoing research and development investigation into inorganic catholytes. Our solid-state cathode platform is being designed to enable higher rates of charge and discharge for even thicker cathode electrodes, which, when combined with a lithium-metal anode, may further increase cell energy densities.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a new cell format that combines features of a conventional pouch cell and a prismatic cell to address the challenges of lithium-metal expansion. This cell architecture is designed to accommodate expansion as the cell charges and the anodes of each layer are plated with lithium metal, and conversely, the contraction as the cell discharges. Additionally, the format is designed to allow the cell to simultaneously dissipate excess heat during fast charging, function with or without externally applied pressure, enable high-volume manufacturing and pack integration, and offer good packaging efficiency to achieve our cell-level energy density targets.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battery technology may provide significant improvements in energy density compared to today’s conventional lithium-ion batteries, as shown in the figure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843280</wp:posOffset>
            </wp:positionV>
            <wp:extent cx="6172200" cy="3780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hanging="118"/>
        <w:spacing w:after="0"/>
        <w:tabs>
          <w:tab w:leader="none" w:pos="2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QS projections and targets based on existing estimates and model assumptions Sources: Li-ion cell energy density from batemo.com database, charge</w:t>
      </w:r>
    </w:p>
    <w:p>
      <w:pPr>
        <w:spacing w:after="0" w:line="29" w:lineRule="exact"/>
        <w:rPr>
          <w:rFonts w:ascii="Times New Roman" w:cs="Times New Roman" w:eastAsia="Times New Roman" w:hAnsi="Times New Roman"/>
          <w:sz w:val="16"/>
          <w:szCs w:val="16"/>
          <w:color w:val="auto"/>
        </w:rPr>
      </w:pPr>
    </w:p>
    <w:p>
      <w:pPr>
        <w:ind w:left="332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times from ev-database.org and insideevs.com (for Rivian R1T)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Technology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battery technology will enable significant benefits across battery capacity, charging rate, safety, and cycle life while minimizing cost. We believe these benefits will provide significant value to automotive OEMs by enabling greater customer adoption of their EVs. By solving key pain-points such as 15-minute fast charging from 10% to 80% of capacity, we believe our battery technology will enable the delivery of an EV experience that is significantly more competitive with fossil fuel vehicles than what today’s EVs can achieve with conventional lithium-ion batteries.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battery technology is intended to meet the five key requirements we believe will enable mass market adoption of EVs:</w:t>
      </w:r>
    </w:p>
    <w:p>
      <w:pPr>
        <w:spacing w:after="0" w:line="113" w:lineRule="exact"/>
        <w:rPr>
          <w:sz w:val="20"/>
          <w:szCs w:val="20"/>
          <w:color w:val="auto"/>
        </w:rPr>
      </w:pPr>
    </w:p>
    <w:p>
      <w:pPr>
        <w:jc w:val="both"/>
        <w:ind w:left="760" w:hanging="378"/>
        <w:spacing w:after="0" w:line="26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Energy density. </w:t>
      </w:r>
      <w:r>
        <w:rPr>
          <w:rFonts w:ascii="Times New Roman" w:cs="Times New Roman" w:eastAsia="Times New Roman" w:hAnsi="Times New Roman"/>
          <w:sz w:val="18"/>
          <w:szCs w:val="18"/>
          <w:color w:val="auto"/>
        </w:rPr>
        <w:t>Our battery design is intended to increase volumetric and gravimetric energy density by eliminating the carbon/silicon anode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host material found in conventional lithium-ion cells. This increased energy density will enable EV manufacturers to increase range without increasing the size and weight of the battery pack, or to reduce the size and weight of the battery pack which can reduce the cost of the battery pack and other parts of the vehicle.</w:t>
      </w:r>
    </w:p>
    <w:p>
      <w:pPr>
        <w:spacing w:after="0" w:line="68"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Fast charging capability. </w:t>
      </w:r>
      <w:r>
        <w:rPr>
          <w:rFonts w:ascii="Times New Roman" w:cs="Times New Roman" w:eastAsia="Times New Roman" w:hAnsi="Times New Roman"/>
          <w:sz w:val="18"/>
          <w:szCs w:val="18"/>
          <w:color w:val="auto"/>
        </w:rPr>
        <w:t>Our battery technology containing our solid-state separator material has been tested to demonstrate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from 10% to 80% capacity in approximately 15 minutes or less, which is generally faster than the charge rate today’s conventional batteries can deliver without materially degrading battery cycle life. In these conventional batteries, the limiting factor for charge rate is the rate of diffusion of lithium ions into the anode. If a conventional battery is charged at high rate, especially at high state-of-charge or low temperature, lithium can start plating on carbon particles of the anode rather than diffuse into the carbon particles. This reduces cell capacity and increases the risk of dendrites that can short circuit the cell. With a lithium-metal anode enabled by our solid-state separator, we expect the lithium to be plated as fast as the cathode can deliver it. Nonetheless, repeated fast-charging of battery cells may result in cycle life degradation, as is the case in conventional lithium-ion batteries.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ind w:left="760" w:hanging="378"/>
        <w:spacing w:after="0" w:line="25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Enhanced safety. </w:t>
      </w:r>
      <w:r>
        <w:rPr>
          <w:rFonts w:ascii="Times New Roman" w:cs="Times New Roman" w:eastAsia="Times New Roman" w:hAnsi="Times New Roman"/>
          <w:sz w:val="18"/>
          <w:szCs w:val="18"/>
          <w:color w:val="auto"/>
        </w:rPr>
        <w:t>Our solid-state battery cell uses a ceramic separator which is not combustible and we believe is therefore safer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polymer separators. This ceramic separator is also capable of withstanding temperatures considerably higher than those that would melt conventional polymer separators, providing an additional measure of safety. Although additional safety tests need to be performed as our materials and processes evolve, in 2023 we ran a suite of safety tests on a limited number of our A0 prototype cells, including nail penetration, overcharge, external short circuit, and thermal stability testing up to 300°C (higher than the 180°C melting point of lithium). The A0 prototype cells successfully passed these automotive safety tests according to the specification set by a leading OEM, with hazard levels of 3 or lower as defined by EUCAR and SAE J2464 standards. One noteworthy result from prototype cell testing was demonstrating thermal stability up to 300°C; for reference, we tested conventional high-energy lithium-ion cells, which burst into flames between 174°C and 185°C. In 2024, we again performed nail penetration, overcharge, external short circuit, and thermal stability testing up to 300°C and our B0 samples passed these tests with hazard levels of 3 or lower as defined by EUCAR and SAE J2464 standards. Notwithstanding the foregoing, we note that although the A0 and B0 prototype cells have passed these automotive safety tests performed in our laboratories, we have been able to test these cells to the point of failure under additional modified test conditions. Moreover, these safety test results for the A0 and B0 prototype cells are not necessarily representative of those of subsequent generations of our cells since safety is a function of a cell’s materials composition, which changes from one generation of cells to the another. We will continue safety testing under different conditions, including on aged cells. We also need to test a much larger sampling of cells to ensure statistical significance.</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Battery cycle life. </w:t>
      </w:r>
      <w:r>
        <w:rPr>
          <w:rFonts w:ascii="Times New Roman" w:cs="Times New Roman" w:eastAsia="Times New Roman" w:hAnsi="Times New Roman"/>
          <w:sz w:val="18"/>
          <w:szCs w:val="18"/>
          <w:color w:val="auto"/>
        </w:rPr>
        <w:t>We are designing our technology to enable increased battery cycle life relative to conventional lithium-ion batteries.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cell, a reason that battery capacity fades over time is the gradual irreversible loss of lithium due to side reactions between the liquid electrolyte and the anode. By eliminating the anode host material, we expect to eliminate those anode side reactions to enable longer battery cycle life. Our top-performing A0 prototype cell in one prospective customer’s battery testing labs achieved over 1,000 full cycle equivalents with over 95% discharge energy retention, using customer-specified test conditions of C/3 charge and C/2 discharge with our standard temperature and pressure conditions, and 100% depth of discharge. This performance exceeds the cycle life and capacity retention implied by battery warranties for many of today’s best-selling EVs in the U.S. market, which typically guarantee that high-voltage batteries will retain at least ~70 % of rated capacity for 8–10 years or 100,000–150,000 miles depending on the model and manufacturer.</w:t>
      </w:r>
    </w:p>
    <w:p>
      <w:pPr>
        <w:spacing w:after="0" w:line="76"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w:t>
      </w:r>
      <w:r>
        <w:rPr>
          <w:rFonts w:ascii="Times New Roman" w:cs="Times New Roman" w:eastAsia="Times New Roman" w:hAnsi="Times New Roman"/>
          <w:sz w:val="18"/>
          <w:szCs w:val="18"/>
          <w:color w:val="auto"/>
        </w:rPr>
        <w:t>Our battery technology eliminates the anode host material and the associated manufacturing costs, providing a structural cost advantage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traditional lithium-ion batteries. When comparing manufacturing facilities of similar scale and upon achieving process maturity, we estimate that eliminating these costs has the potential to provide cost savings compared to the costs of building traditional lithium-ion batteries.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Only lithium-metal battery technology showing capability to meet automotive requirements for power, cycle life, and temperature range to our knowledge. </w:t>
      </w:r>
      <w:r>
        <w:rPr>
          <w:rFonts w:ascii="Times New Roman" w:cs="Times New Roman" w:eastAsia="Times New Roman" w:hAnsi="Times New Roman"/>
          <w:sz w:val="18"/>
          <w:szCs w:val="18"/>
          <w:color w:val="auto"/>
        </w:rPr>
        <w:t>We have built and tested single-layer and multilayer solid-state cells and have demonstrated that our technology shows the capability to meet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automotive requirements for power, cycle life, temperature range, and safety. Since 2018 Volkswagen has tested multiple generations of our prototype cells, including single-layer and multilayer prototype cells. In 2024, Volkswagen announced it had successfully tested our A0 prototype cells at automotive rates of power, noting that the A0 prototype cell was also able to meet the requirements for other test criteria such as fast charging capability, safety and self-discharge. While we signed an agreement with PowerCo with the goal of commercializing our battery technology, we intend to continue working closely with automotive OEMs to make our solid-state battery cells widely available over time. In addition, we have signed customer sampling, technology evaluation and joint development agreements with a number of OEMs, ranging from leading manufacturers by global revenue to premium performance and luxury carmakers, to collaborate with us in the testing and validating of our solid-state battery cells with the goal to include such cells into pre-production prototype vehicles and ultimately into serial production vehicles.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Partnership with one of the world’s largest automotive OEMs. </w:t>
      </w:r>
      <w:r>
        <w:rPr>
          <w:rFonts w:ascii="Times New Roman" w:cs="Times New Roman" w:eastAsia="Times New Roman" w:hAnsi="Times New Roman"/>
          <w:sz w:val="18"/>
          <w:szCs w:val="18"/>
          <w:color w:val="auto"/>
        </w:rPr>
        <w:t>We are partnered with Volkswagen, one of the largest automakers in the world.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Volkswagen has been a major investor since 2012 and has invested approximately $380 million in us. In addition, in July 2024, we entered into the Collaboration Agreement with PowerCo, a battery cell company wholly owned by the Volkswagen Group, with the goal of PowerCo industrializing the solid-state lithium-metal battery technology we intend to use in our first planned product—the QSE-5. In July 2025, we entered into the PowerCo Amendment and a statement of work outlining the scope and responsibilities of the joint scale-up team.</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barriers to entry and extensive patent and intellectual property portfolio. </w:t>
      </w:r>
      <w:r>
        <w:rPr>
          <w:rFonts w:ascii="Times New Roman" w:cs="Times New Roman" w:eastAsia="Times New Roman" w:hAnsi="Times New Roman"/>
          <w:sz w:val="18"/>
          <w:szCs w:val="18"/>
          <w:color w:val="auto"/>
        </w:rPr>
        <w:t>As of December 31, 2025, we owned, or licensed on an exclusive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400 U.S. and foreign patents and patent applications – including broad fundamental patents around our core technology. Our IP strategy is to continually expand and strengthen our portfolio to extend our protection runway and support future commercialization. Our proprietary solid-state separator uses the only material we know of that can cycle lithium at automotive-level current densities and room temperature without forming dendrites. We have a range of patents, including patents that cover:</w:t>
      </w:r>
    </w:p>
    <w:p>
      <w:pPr>
        <w:spacing w:after="0" w:line="75" w:lineRule="exact"/>
        <w:rPr>
          <w:sz w:val="20"/>
          <w:szCs w:val="20"/>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compositions, including the optimal compositions as well as wide-ranging coverage of a number of variations for the separator and other battery components;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battery technology and methods required to incorporate a separator into a battery;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technology, protecting the way to make the separator at scale without semiconductor-style vacuum production or batch processes used in traditional ceramics;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dimensions, including our proprietary separator, covering any separator with commercially practical thicknesses for a solid-state battery.</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development focused on next-gen battery technology for automotive and other applications. </w:t>
      </w:r>
      <w:r>
        <w:rPr>
          <w:rFonts w:ascii="Times New Roman" w:cs="Times New Roman" w:eastAsia="Times New Roman" w:hAnsi="Times New Roman"/>
          <w:sz w:val="18"/>
          <w:szCs w:val="18"/>
          <w:color w:val="auto"/>
        </w:rPr>
        <w:t>We have spent over a decade developing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battery technology. Many of our technical team members have worked at large battery manufacturers and automotive OEMs. Through its experience, our team has significant technical know-how and is supported by extensive facilities and equipment, development infrastructure, and data analytics.</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Designed for volume production. </w:t>
      </w:r>
      <w:r>
        <w:rPr>
          <w:rFonts w:ascii="Times New Roman" w:cs="Times New Roman" w:eastAsia="Times New Roman" w:hAnsi="Times New Roman"/>
          <w:sz w:val="18"/>
          <w:szCs w:val="18"/>
          <w:color w:val="auto"/>
        </w:rPr>
        <w:t>Our battery cells are designed to use earth-abundant materials and processes suitable for higher volume production.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earlier-generation manufacturing process for our proprietary solid-state separator used equipment that was already available at scale in the battery or ceramics industries. We are developing subsequent, proprietary higher-volume separator manufacturing processes that seek to further reduce cost, increase throughput, and improve quality. While preparing for scale production, we have purchased or tested production-intent equipment from the world’s leading vendors. In particular, we expect to produce our proprietary solid-state separator using scalable heat treatment to process separator films more rapidly while applying less total heat energy per film. Although our separator material is proprietary, the inputs are readily available and can be sourced from multiple suppliers across different geographies.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Structural cost advantage leveraging industry cost trends. </w:t>
      </w:r>
      <w:r>
        <w:rPr>
          <w:rFonts w:ascii="Times New Roman" w:cs="Times New Roman" w:eastAsia="Times New Roman" w:hAnsi="Times New Roman"/>
          <w:sz w:val="18"/>
          <w:szCs w:val="18"/>
          <w:color w:val="auto"/>
        </w:rPr>
        <w:t>Aside from the solid-state separator, our battery is being designed to use many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materials and processes that are standard across today’s battery manufacturers. As a result, we expect to benefit from the projected industry-wide cost declines for these materials that result from process improvements and economies of scale. We believe that the manufacturing of our solid-state battery cells at scale provides us with a structural cost advantage because our battery cells are manufactured without an anode.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Continue to develop our commercial battery technology and manufacturing capabilities</w:t>
      </w:r>
      <w:r>
        <w:rPr>
          <w:rFonts w:ascii="Times New Roman" w:cs="Times New Roman" w:eastAsia="Times New Roman" w:hAnsi="Times New Roman"/>
          <w:sz w:val="18"/>
          <w:szCs w:val="18"/>
          <w:color w:val="auto"/>
        </w:rPr>
        <w:t>. We will continue developing our battery technology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goal of enabling commercial production. We have demonstrated capabilities of our solid-state separator and battery technology in single-layer and multilayer cell cycling data. In 2022, we shipped our first A0 prototype battery cells to multiple OEMs for testing. In 2024, we shipped B0 samples of our first commercial product, the QSE-5. In 2025, together with Volkswagen and PowerCo, we had the first live demonstration of our solid-state lithium-metal battery technology powering a Ducati V21L electric motorcycle at the IAA Mobility event that included B1 samples of our QSE-5 cell from our more efficient separator production processes. As we move from prototypes to commercial products, we will need to continue improving the quality and consistency of materials and processes for higher volume manufacturing, including increased precision through automation and process control, quality of material inputs, and particle reduction across our process flow. We will continue to work to further develop and validate the volume manufacturing processes to enable higher volume manufacturing by our licensing partners and minimize manufacturing costs. We will continue to work on increasing the yield of our solid-state separator and to increase utilization of manufacturing equipment.</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Expand relationships with other automotive OEMs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we expect Volkswagen will be the first to commercialize vehicles using our battery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we are, and over the next few years intend to continue, working closely with other automotive OEMs to make our solid-state battery cells widely available over time. Subject to the terms of the PowerCo Collaboration Agreement, we are not prohibited from working in parallel with other automotive OEMs or other non-automotive companies to commercialize our technology. We have signed customer sampling, technology evaluation and joint develop agreements with a number of OEMs, ranging from leading manufacturers by global revenue to premium performance and luxury carmakers, to collaborate with us in the testing and validation of our solid-state battery cells with the goal to include such cells into pre-production prototype vehicles and ultimately into serial production vehicles.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target markets. </w:t>
      </w:r>
      <w:r>
        <w:rPr>
          <w:rFonts w:ascii="Times New Roman" w:cs="Times New Roman" w:eastAsia="Times New Roman" w:hAnsi="Times New Roman"/>
          <w:sz w:val="18"/>
          <w:szCs w:val="18"/>
          <w:color w:val="auto"/>
        </w:rPr>
        <w:t>We are currently focused on automotive EV applications, which have the most stringent set of requirements for batteries.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we see opportunities for our solid-state battery technology in other large and growing markets including consumer electronics, data centers, defense, and others and we intend to explore such opportunities as appropriate.</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commercialization models. </w:t>
      </w:r>
      <w:r>
        <w:rPr>
          <w:rFonts w:ascii="Times New Roman" w:cs="Times New Roman" w:eastAsia="Times New Roman" w:hAnsi="Times New Roman"/>
          <w:sz w:val="18"/>
          <w:szCs w:val="18"/>
          <w:color w:val="auto"/>
        </w:rPr>
        <w:t>Our technology is being designed to enable a variety of business models and presents opportunities with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customers, such as automotive OEMs, end-users, and licensees, as applicable. In addition to collaboration with PowerCo, which contemplates payments for collaboration activities and a licensing arrangement, we may operate solely-owned manufacturing facilities, license technology to other manufacturers, or enter into joint venture arrangements, among other approaches. We are also building a global ecosystem of partners, including but not limited to our customers, suppliers and vendors, around our technology platform, creating additional licensing and monetization opportunities for the company and its shareholders. We intend to continue to invest in research and development to improve battery cells performance, improve production processes and reduce cost.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Manufacturing Process Development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installed our highly automated battery cell pilot production line at our facilities in San Jose, California to, upon ramp up, provide a sufficient quantity of separators and cells for internal development, customer sampling, and higher volumes of QSE-5 cells. Our pilot line consists of a highly automated line intended to provide sufficient capacity and process maturity to engage in the automotive qualification process. Ultimately, our pilot line is intended to serve as the basis for continued manufacturing process development for the subsequent scale up of our manufacturing capabilities, including to support collaboration and future technology transfer activities as part of the collaboration and licensing arrangements with PowerCo as well as potential future commercial arrangements.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battery manufacturing process is being designed to be very similar to that of conventional lithium-ion battery manufacturing, with a few exceptions:</w:t>
      </w:r>
    </w:p>
    <w:p>
      <w:pPr>
        <w:spacing w:after="0" w:line="11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proprietary separator material instead of the porous polyolefin separator used in lithium-ion cells.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assemble our cell by stacking these separators together with cathodes and current collectors using proprietary joining methods.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architecture eliminates the need for anode manufacturing, reducing capital investment and lowering operating costs.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cell design allows us to shorten the weeks-long aging process required for conventional lithium-ion cells, thus decreasing manufacturing cycle time and reducing working capital needs.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architecture depends on our proprietary solid-state separator. Though our separator design is unique, our manufacturing process leverages established or similar high-volume production processes already deployed in other industries. We are developing subsequent higher-volume separator manufacturing processes, including with our ecosystem partners, that seek to further reduce cost, increase throughput, and improve quality of our ceramic separators.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source many input materials from industry leading suppliers to the lithium-ion battery industry, and we already have strategic relationships in place with the industry’s leading vendors of cathode material, the most critical purchased input to our cell, along with leading vendors of other less critical inputs. Our solid-state separator is made from abundant materials produced at industrial scale in multiple geographies.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Relative to conventional lithium-ion cells, our technology eliminates the anode material cost (e.g., carbon/silicon host material, electrolyte in the anode) and reduces manufacturing costs (e.g., no anode related manufacturing costs, reduced formation costs). This enables savings in materials, capital equipment and manufacturing time, as illustrated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208915</wp:posOffset>
            </wp:positionV>
            <wp:extent cx="6172200" cy="2648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Partnerships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Volkswagen Collaboration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QuantumScape has had a strong collaborative relationship with Volkswagen since 2012. Our collaboration initially focused on the testing and evaluation of our battery technology with Volkswagen engineers working closely with our engineering team on our technology development efforts and battery testing. Volkswagen has made several rounds of equity investments in QuantumScape, and senior executives of Volkswagen joined our board of directors (the “Board”). During the early part of this collaboration, we worked closely with members of Volkswagen’s global research and development team and then with Volkswagen's Center of Excellence for Battery Cells, which was tasked with commercializing battery technologies within Volkswagen. Currently, Dr. Günther Mendl, Head of Battery Center of Excellence, Volkswagen AG, and Sebastian Schebera, Head of Strategic Partnerships, Volkswagen AG, are members of the Board.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PowerCo Collaboration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2024, we entered into the Collaboration Agreement with the goal of PowerCo industrializing the QS technology based on QSE-5. PowerCo was formed by Volkswagen in 2022 as a company intended to consolidate Volkswagen’s activities in the development and production of battery cells. In connection with the Collaboration Agreement and subject to the completion of certain milestones, we and PowerCo intend to enter into a license agreement (the “PowerCo IP License Agreement”) under which we will grant PowerCo a non-exclusive, limited, royalty-bearing license to use the QS technology based on QSE-5 for the purpose of manufacturing and selling batteries primarily for automotive applications, and PowerCo will pre-pay an initial royalty fee of $130 million, against which any future royalties due will be credited. The initial royalty will be subject to a time-based diminishing clawback if the PowerCo IP License Agreement is terminated early by PowerCo under certain conditions.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we entered into the PowerCo Amendment and a statement of work outlining the scope and responsibilities of the joint scale-up team working at our battery development pilot line in San Jose, California for the development, validation, demonstration, and initial commercialization of QS battery cell technology based on QSE-5 and toward the transfer of such technology into cell size determined by PowerCo (the “Project”). PowerCo has agreed to contribute up to $130.7 million for the Project over the next two years, subject to the completion of certain milestones by the joint scale-up team.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research and development at our headquarters facility in San Jose, California. Research and development activities concentrate on making further improvements to our battery technology including subsequent generations of prototype samples incorporating advances in cell functionality, process and reliability, and on improving the maturity of our production processes and pilot line.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Our research and development currently includes programs for the following areas:</w:t>
      </w:r>
    </w:p>
    <w:p>
      <w:pPr>
        <w:spacing w:after="0" w:line="115" w:lineRule="exact"/>
        <w:rPr>
          <w:sz w:val="20"/>
          <w:szCs w:val="20"/>
          <w:color w:val="auto"/>
        </w:rPr>
      </w:pPr>
    </w:p>
    <w:p>
      <w:pPr>
        <w:jc w:val="both"/>
        <w:ind w:left="380" w:hanging="372"/>
        <w:spacing w:after="0" w:line="255"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improvement of the cathode. </w:t>
      </w:r>
      <w:r>
        <w:rPr>
          <w:rFonts w:ascii="Times New Roman" w:cs="Times New Roman" w:eastAsia="Times New Roman" w:hAnsi="Times New Roman"/>
          <w:sz w:val="18"/>
          <w:szCs w:val="18"/>
          <w:color w:val="auto"/>
        </w:rPr>
        <w:t>Our cathodes use a conventional cathode active material such as NMC mixed with a catholyte made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liquid. We plan to benefit from industry cathode chemistry improvements and/or cost reduction, which in the future may include use of other cathode active materials, including cobalt-free compositions (e.g., LFP), as well as cathode processing advances such as dry electrode processing. Over the years, we have developed catholytes made of differing mixtures of organic liquid electrolyte in an effort to optimize performance across multiple metrics such as voltage, temperature, power, and safety, among others. We continue to test solid, gel and liquid catholytes from time to time in our cells. The solid catholyte is part of our ongoing research and development investigation into inorganic catholytes. Our solid-state cathode platform is being designed to enable higher rates of charge and discharge for even thicker cathode electrodes, which, when combined with a lithium-metal anode, may further increase cell energy densities.</w:t>
      </w:r>
    </w:p>
    <w:p>
      <w:pPr>
        <w:spacing w:after="0" w:line="76"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improvement in quality, consistency and reliability. </w:t>
      </w:r>
      <w:r>
        <w:rPr>
          <w:rFonts w:ascii="Times New Roman" w:cs="Times New Roman" w:eastAsia="Times New Roman" w:hAnsi="Times New Roman"/>
          <w:sz w:val="18"/>
          <w:szCs w:val="18"/>
          <w:color w:val="auto"/>
        </w:rPr>
        <w:t>We are working to improve the quality and uniformity of our cells,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separators, to further improve, among other things, the cycling behavior, power, operating conditions, and reliability of our cells. For some of our early-generation processes, we used methods of continuous processing found at scale in both the battery and ceramic industries. In 2025, we installed our proprietary separator production platform designed to enable faster, more energy-efficient separator production with a smaller equipment footprint compared to earlier processes. We are working on continuous improvement of these processes, including better quality, consistency, and higher throughput through further automation and process control (including specification tightening and adding or improving inspection points along the production process flow), quality of material inputs, and particle reduction across our process. We also continue developing subsequent methods not typically used in ceramics that offer significant potential cost savings and separator production improvement.</w:t>
      </w:r>
    </w:p>
    <w:p>
      <w:pPr>
        <w:spacing w:after="0" w:line="76"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improvement in throughput. </w:t>
      </w:r>
      <w:r>
        <w:rPr>
          <w:rFonts w:ascii="Times New Roman" w:cs="Times New Roman" w:eastAsia="Times New Roman" w:hAnsi="Times New Roman"/>
          <w:sz w:val="18"/>
          <w:szCs w:val="18"/>
          <w:color w:val="auto"/>
        </w:rPr>
        <w:t>We continue to invest and deploy resources to automate and scale up our cell build production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designing, purchasing and installing higher throughput equipment, to improve the efficiency and efficacy of our production processes and to achieve higher battery cell output. Increasing separator and battery cell production provides the additional volumes needed to support internal development, prototype sampling to prospective customers, technology demonstrations, product integration efforts, supply chain development, and technology transfer activities.</w:t>
      </w:r>
    </w:p>
    <w:p>
      <w:pPr>
        <w:spacing w:after="0" w:line="75"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Cell design. </w:t>
      </w:r>
      <w:r>
        <w:rPr>
          <w:rFonts w:ascii="Times New Roman" w:cs="Times New Roman" w:eastAsia="Times New Roman" w:hAnsi="Times New Roman"/>
          <w:sz w:val="18"/>
          <w:szCs w:val="18"/>
          <w:color w:val="auto"/>
        </w:rPr>
        <w:t>We have demonstrated capabilities of our solid-state separator and battery technology in single-layer and multilayer solid-state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relevant areas (ranging from approximately 60x75mm to 70x85mm). In order to advance the maturity of our prototype cells and produce commercially viable solid-state battery cells, we must produce battery cells that achieve target cell design and capacities set by our customers and we may have to vary cell layer count, dimensions, and packaging; while we target our first commercial product, the QSE-5, to have approximately 5 amp-hours of capacity, the exact number of layers and dimensions will vary and depend upon customer specifications, cell design considerations, and other factors. We will need to overcome production challenges to produce sufficient volumes of our separators and prototype battery cells to complete development of our first commercial product and for customer evaluation and product qualification purposes, as well as subsequent cell designs that may require different capacity, layer counts, dimensions, and packaging.</w:t>
      </w:r>
    </w:p>
    <w:p>
      <w:pPr>
        <w:spacing w:after="0" w:line="76" w:lineRule="exact"/>
        <w:rPr>
          <w:rFonts w:ascii="Times New Roman" w:cs="Times New Roman" w:eastAsia="Times New Roman" w:hAnsi="Times New Roman"/>
          <w:sz w:val="18"/>
          <w:szCs w:val="18"/>
          <w:color w:val="auto"/>
        </w:rPr>
      </w:pPr>
    </w:p>
    <w:p>
      <w:pPr>
        <w:jc w:val="both"/>
        <w:ind w:left="380" w:hanging="372"/>
        <w:spacing w:after="0" w:line="221" w:lineRule="exact"/>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Battery module and pack design. </w:t>
      </w:r>
      <w:r>
        <w:rPr>
          <w:rFonts w:ascii="Times New Roman" w:cs="Times New Roman" w:eastAsia="Times New Roman" w:hAnsi="Times New Roman"/>
          <w:sz w:val="18"/>
          <w:szCs w:val="18"/>
          <w:color w:val="auto"/>
        </w:rPr>
        <w:t>We are conducting research and development focused on battery module and pack design to support the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solid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state battery cells into complete battery systems. These efforts include evaluating mechanical, thermal, electrical, and safety considerations at the module and pack levels, as well as assessing manufacturability, scalability, and system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performance. Our work in this area is intended to inform potential future product configurations and support customer integration, testing, and qualification activities.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 of our business and technology leadership is supported by our proprietary battery technology. We rely upon a combination of patents, trademarks and trade secrets in the United States and other jurisdictions, as well as license agreements and other contractual protections, to establish, maintain and enforce rights in our proprietary technologies. In addition, we seek to protect our intellectual property through nondisclosure and invention assignment agreements with our employees and consultants and through non-disclosure agreements with business partners and other third parties. We regularly file applications for patents and have a significant number of patents in the United States and other countries where we expect to do business. Our patent portfolio is deepest in the area of solid-state separators with additional areas of strength in anodes, next-generation cathode materials, and cell, module, and pack design specific to lithium-metal batteries. Our trade secrets primarily cover manufacturing methods.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owned, or licensed on an exclusive basis, more than 180 issued U.S. patents and patent applications, and more than 220 granted foreign patents and patent applications. Certain key patents are expected to expire between 2034 and 2043. Our IP strategy is to continually expand and strengthen our portfolio to extend our protection runway and support future commercialization.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 market, and the battery segment in particular, is rapidly evolving and highly competitive. With the introduction of new technologies and the potential entry of new competitors into the market, we expect competition to increase in the future, which could harm our business, results of operations, or financial condition.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prospective competitors include major manufacturers currently supplying the industry, automotive OEMs and potential new entrants to the industry. Major companies now supplying batteries for the EV industry include Panasonic Corporation, Samsung SDI, Contemporary Amperex Technology Co. Limited, LG Energy Solutions, BYD Co. Limited, SK Innovation Co. Limited and E-One Moli Energy Corporation. They supply conventional lithium-ion batteries and in many cases are seeking to develop solid-state batteries, including potentially lithium-metal batteries. In addition, because of the importance of electrification, many automotive OEMs are researching and investing in solid-state battery efforts and, in some cases, in battery development and production. For example, Tesla, Inc. is building multiple battery gigafactories and potentially could supply batteries to other automotive OEMs, and Toyota Motors and a Japanese consortium have a multi-year initiative pursuing solid-state batteries. Additionally, in 2024, China announced the China All-Solid-State Battery Collaborative Innovation Platform, which brings together government, academia and industry to develop and manufacture solid-state batteries that can compete globally.</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number of development-stage companies such as SES, Solid Power, Factorial, ION, Sakuu, ONE, Enovix, and Sila Nanotechnologies are also seeking to improve conventional lithium-ion batteries or to develop new technologies for solid-state and/or lithium-metal batteries. Potential new entrants are seeking to develop new technologies for cathodes, anodes, electrolytes and additives. Some of these companies have established relationships with automotive OEMs and are in varying stages of development.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ability to compete successfully with lithium-ion battery manufacturers and with other companies seeking to develop solid-state batteries will depend on a number of factors including battery price, safety, energy density, charge rate and cycle life, and on non-technical factors such as brand, established customer relationships and financial and manufacturing resources.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incumbents have, and future entrants may have, greater resources than we have and may also be able to devote greater resources to the development of their current and future technologies. They may also have greater access to larger potential customer bases and have and may continue to establish cooperative or strategic relationships amongst themselves or with third parties (including automotive OEMs) that may further enhance their resources and offerings.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government regulations pertaining to battery safety, transportation of batteries, use of batteries in cars, factory safety, and disposal of hazardous materials. We will ultimately have to comply with these regulations to sell our batteries into the market. The license and commercialization of our battery technologies abroad is likely to be subject to more stringent export controls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pride ourselves on the quality of our world-class team and seek to hire only employees dedicated to our strategic mission. Many of our employees have significant experience working with large battery manufacturers and automotive OEMs. As of December 31, 2025, we employed approximately 700 employees, based primarily in our headquarters in San Jose, California. Many of our employees in our research and development and related functions hold engineering and scientific degrees, including many from the world’s top universities. To align our work force with our capital-light licensing focus, we had a reduction in force in 2025 impacting approximately 12% of the Company’s full-time employees as of December 31, 2024.</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not experienced any work stoppages and we consider our relationship with our employees to be good. None of our employees are either represented by a labor union or are subject to a collective bargaining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and Culture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We seek team members who want to help solve a significant problem that will positively impact the world. We value diversity and recognize the importance of fostering a positive, inclusive culture. We seek to promote fair and equitable hiring and promotion processes and year-over-year improvements in diverse representation. Some of our actions to achieve this included delivering management training for our senior leaders, implementing a job leveling framework to ensure candidates are assessed against a consistent set of criteria, and making certain that our commitment to equal hiring and promotion opportunities is substantiated with equal pay for equal work by conducting an annual internal pay equity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Attraction and Retention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maintaining equitable compensation programs including equity participation. We offer market-competitive salaries and strong equity compensation aimed at attracting and retaining team members capable of making exceptional contributions to our success. Our full-time regular employees hold equity in our company and are generally eligible for the employee stock purchase plan. Our compensation decisions are guided by the external market, role criticality, and the contributions of each team member. Our job-leveling framework and associated pay ranges allow us to maintain pay equity while offering the attractive and effective compensation needed as we grow and compete for talent.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and safety of our employees is mission critical. We emphasize a proactive safety culture and maintain a supportive organization and work culture that encourages personal health and work-life balance for our employees. Our Environmental, Health and Safety (EHS) department leads the programs that address workplace health and safety concerns through engineering controls, policies, procedures, training, monitoring and audits, and reports directly to our board of directors on a quarterly basis on such matters.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investor relations website is located at https://ir.quantumscape.com, our X account handle is @QuantumScapeCo, our investor relations X account handle is @QuantumScapeIR, our Chief Executive Officer’s LinkedIn account is located at www.linkedin.com/in/siva-sivaram-1394ab5b/, our Chief Technology Officer’s X account handle is @ironmantimholme, our Chief Marketing Officer’s X account handle is @HussainAsim, and our corporate LinkedIn account is located at www.linkedin.com/company/quantumscape. We use our investor relations website, aforementioned X accounts and LinkedIn account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aforementioned X accounts, and LinkedIn account in addition to following press releases, filings with the SEC and public conference calls and webcasts. We also make freely available, on our investor relations website under “SEC Filings,” our Annual Reports on Form 10-K, Quarterly Reports on Form 10-Q, Current Reports on Form 8-K and any amendments to these reports as soon as reasonably practicable after electronically filing or furnishing those reports to the SEC.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risk factors and other information included in this Report should be carefully considered. The summary risks and uncertainties described below are not the only ones we face. Additional risks and uncertainties not currently known to us or that we currently deem less significant may also affect our business operations or financial results. If any of the following risks actually materializes, our stock price, business, operating results and financial condition could be materially adversely affected. For more information, see below for more detailed descriptions of each risk factor.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Technology Development, Production and Performance</w:t>
      </w:r>
    </w:p>
    <w:p>
      <w:pPr>
        <w:spacing w:after="0" w:line="106"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involving our development of solid-state battery cells.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production and scale-up of our separator and solid-state battery cells.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targets around cost, performance characteristics or other specifications as set out by us or our customers or partners.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suppliers for necessary materials, components or equipment.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control the costs associated with our operations and the price of raw materials.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risk and uncertainty around the use of complex machinery for our operations and production.</w:t>
      </w:r>
    </w:p>
    <w:p>
      <w:pPr>
        <w:spacing w:after="0" w:line="10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customers during the development stage or for commercialization through higher volume production or licensing.</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early obsolescence of our production equipment.</w:t>
      </w:r>
    </w:p>
    <w:p>
      <w:pPr>
        <w:spacing w:after="0" w:line="200" w:lineRule="exact"/>
        <w:rPr>
          <w:sz w:val="20"/>
          <w:szCs w:val="20"/>
          <w:color w:val="auto"/>
        </w:rPr>
      </w:pPr>
    </w:p>
    <w:p>
      <w:pPr>
        <w:spacing w:after="0" w:line="201"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requirements or achieve milestones under our collaboration with PowerCo.</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reliance on PowerCo to scale up and commercialize our technology.</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agreements and relationships that can restrict our business operations, commercialization opportunities and revenue generation.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partner and customer-related risks in scaling business operations.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accurately estimate the future supply and demand for our batteries.</w:t>
      </w:r>
    </w:p>
    <w:p>
      <w:pPr>
        <w:spacing w:after="0" w:line="200" w:lineRule="exact"/>
        <w:rPr>
          <w:sz w:val="20"/>
          <w:szCs w:val="20"/>
          <w:color w:val="auto"/>
        </w:rPr>
      </w:pPr>
    </w:p>
    <w:p>
      <w:pPr>
        <w:spacing w:after="0" w:line="201"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or assert our intellectual property rights.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claims or other litigation that we need to defend ourselves against.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related to our patent applications and contests to our patent rights.</w:t>
      </w:r>
    </w:p>
    <w:p>
      <w:pPr>
        <w:spacing w:after="0" w:line="200" w:lineRule="exact"/>
        <w:rPr>
          <w:sz w:val="20"/>
          <w:szCs w:val="20"/>
          <w:color w:val="auto"/>
        </w:rPr>
      </w:pPr>
    </w:p>
    <w:p>
      <w:pPr>
        <w:spacing w:after="0" w:line="20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successfully compete in an evolving and highly competitive battery market.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consumer adoption of EVs for future growth and success.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expanding into new markets.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continuing financial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tradeoffs related to pursuing a variety of markets, business models and arrangements.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objectives and targets due to unfavorable changes to our initial assumptions and analyses.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issues with operations of or disruptions to our information technology and communications systems.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artificial intelligence related risks and challenges.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scrutiny over our sustainability practices and value propositions.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Involvement in litigation, regulatory actions or government investigations and inquiries.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product liability claims due to third-party use of our batteries.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risks and regulations in various jurisdictions where we conduct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378" w:hanging="378"/>
        <w:spacing w:after="0"/>
        <w:tabs>
          <w:tab w:leader="none" w:pos="3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inflation and changing interest rates.</w:t>
      </w:r>
    </w:p>
    <w:p>
      <w:pPr>
        <w:spacing w:after="0" w:line="90" w:lineRule="exact"/>
        <w:rPr>
          <w:rFonts w:ascii="Times New Roman" w:cs="Times New Roman" w:eastAsia="Times New Roman" w:hAnsi="Times New Roman"/>
          <w:sz w:val="18"/>
          <w:szCs w:val="18"/>
          <w:color w:val="auto"/>
        </w:rPr>
      </w:pPr>
    </w:p>
    <w:p>
      <w:pPr>
        <w:ind w:left="-382" w:right="4940" w:firstLine="382"/>
        <w:spacing w:after="0" w:line="360" w:lineRule="auto"/>
        <w:tabs>
          <w:tab w:leader="none" w:pos="3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negative impacts from epidemics, pandemics, and other outbreaks. </w:t>
      </w:r>
      <w:r>
        <w:rPr>
          <w:rFonts w:ascii="Times New Roman" w:cs="Times New Roman" w:eastAsia="Times New Roman" w:hAnsi="Times New Roman"/>
          <w:sz w:val="18"/>
          <w:szCs w:val="18"/>
          <w:i w:val="1"/>
          <w:iCs w:val="1"/>
          <w:color w:val="auto"/>
        </w:rPr>
        <w:t>Our Regulatory Risks</w:t>
      </w:r>
    </w:p>
    <w:p>
      <w:pPr>
        <w:ind w:left="378" w:hanging="378"/>
        <w:spacing w:after="0"/>
        <w:tabs>
          <w:tab w:leader="none" w:pos="3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or unfavorable global trade policies and export/import regulations related to the battery and EV industries.</w:t>
      </w:r>
    </w:p>
    <w:p>
      <w:pPr>
        <w:spacing w:after="0" w:line="90"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safety risks related to battery technology development and production.</w:t>
      </w:r>
    </w:p>
    <w:p>
      <w:pPr>
        <w:spacing w:after="0" w:line="200" w:lineRule="exact"/>
        <w:rPr>
          <w:sz w:val="20"/>
          <w:szCs w:val="20"/>
          <w:color w:val="auto"/>
        </w:rPr>
      </w:pPr>
    </w:p>
    <w:p>
      <w:pPr>
        <w:spacing w:after="0" w:line="214" w:lineRule="exact"/>
        <w:rPr>
          <w:sz w:val="20"/>
          <w:szCs w:val="20"/>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Class A Common Stock market price.</w:t>
      </w:r>
    </w:p>
    <w:p>
      <w:pPr>
        <w:spacing w:after="0" w:line="90"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stockholders in the event of sales of substantial amounts of our Class A Common Stock in the capital markets.</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raise additional capital on favorable terms.</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Manipulative activity by short sellers.</w:t>
      </w:r>
    </w:p>
    <w:p>
      <w:pPr>
        <w:spacing w:after="0" w:line="90"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reasonable estimates and probability-based assumptions that can affect our results of operations.</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capital stock ownership among certain insiders.</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w:t>
      </w:r>
    </w:p>
    <w:p>
      <w:pPr>
        <w:spacing w:after="0" w:line="90"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our Certificate of Incorporation or Bylaws and under Delaware law that can limit stockholders’ ability to change management.</w:t>
      </w:r>
    </w:p>
    <w:p>
      <w:pPr>
        <w:spacing w:after="0" w:line="115" w:lineRule="exact"/>
        <w:rPr>
          <w:rFonts w:ascii="Times New Roman" w:cs="Times New Roman" w:eastAsia="Times New Roman" w:hAnsi="Times New Roman"/>
          <w:sz w:val="17"/>
          <w:szCs w:val="17"/>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to our stockholders’ ability to obtain a chosen judicial forum for disputes.</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dividends to stockholders in the foreseeable future.</w:t>
      </w:r>
    </w:p>
    <w:p>
      <w:pPr>
        <w:spacing w:after="0" w:line="200" w:lineRule="exact"/>
        <w:rPr>
          <w:sz w:val="20"/>
          <w:szCs w:val="20"/>
          <w:color w:val="auto"/>
        </w:rPr>
      </w:pPr>
    </w:p>
    <w:p>
      <w:pPr>
        <w:spacing w:after="0" w:line="201" w:lineRule="exact"/>
        <w:rPr>
          <w:sz w:val="20"/>
          <w:szCs w:val="20"/>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attracting and retaining key employees and qualified personnel.</w:t>
      </w:r>
    </w:p>
    <w:p>
      <w:pPr>
        <w:spacing w:after="0" w:line="90"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catastrophic events outside of our control.</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global economic conditions due to real or perceived financial crises.</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or foreign tax policies.</w:t>
      </w:r>
    </w:p>
    <w:p>
      <w:pPr>
        <w:spacing w:after="0" w:line="90"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to our use of deferred tax assets to offset future taxable income.</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insurance coverage for future losses or claims against us.</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comply with the Nasdaq Global Select Market (“Nasdaq”) continued listing standards.</w:t>
      </w:r>
    </w:p>
    <w:p>
      <w:pPr>
        <w:spacing w:after="0" w:line="90"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and administrative burdens as a public company.</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an effective system of internal controls which may lead to a material weakness.</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of financial transactions and the associated accounting and financial reporting requirements.</w:t>
      </w:r>
    </w:p>
    <w:p>
      <w:pPr>
        <w:spacing w:after="0" w:line="90"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our disclosure controls and procedures that may not prevent or detect all errors or acts of fraud.</w:t>
      </w:r>
    </w:p>
    <w:p>
      <w:pPr>
        <w:spacing w:after="0" w:line="10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analyst publications about us, our business, or the market.</w:t>
      </w:r>
    </w:p>
    <w:p>
      <w:pPr>
        <w:spacing w:after="0" w:line="22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58"/>
          </w:cols>
          <w:pgMar w:left="702" w:top="1080" w:right="7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risk factors apply to our business and operations.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The following discussion should be read in conjunction with the financial statements and notes to the financial statements included elsewhere in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Development, Production and Performance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challenges in our attempt to develop a solid-state battery cell and produce it at higher volumes with acceptable performance, quality, consistency, reliability, throughput, safety, and costs. Delays or failures in accomplishing our development objectives may delay or prevent successful commercialization of our technology and negatively impact our business.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Developing lithium-metal solid-state batteries that meet the requirements for wide adoption by automotive OEMs is a difficult undertaking and, as far as we are aware, has never been done before. We are still in the development stage and face significant challenges in completing the development of our battery cells and in producing battery cells in volumes with acceptable performance, quality, consistency, reliability, throughput, safety, and costs. Some of the development challenges include increasing the quality, consistency, reliability and production throughput of our separators and cells, increasing the size and layer count of our multilayer cells, increasing production scale to produce the volume of cells needed for our technology development and customer applications, installing, bringing up and optimizing higher throughput equipment, packaging design and engineering to ensure adequate cycle life, pressure management, cost reduction, completion of the rigorous and challenging specifications required by our automotive partners, including but not limited to, calendar life, energy density, mechanical, safety, and abuse testing.</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solid-state separator is in the development stage and has never been used before for battery applications (or to our knowledge, for any other applications). There are significant quality, consistency, reliability, throughput, cost and production process challenges to be solved in order for the separators to be produced and used commercially. We have had and are likely to continue to encounter engineering challenges as we increase the lateral dimensions, reduce the thickness and defects and increase the production volume of our separators. In addition, we are continuously evaluating multiple cathode material compositions for inclusion in our battery cells. We also have not validated that the current cell design meets all automotive requirements. If we are not able to overcome these barriers in developing and producing separators and battery cells at commercial volumes or meeting our customers’ requirements, our business would likely fail.</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tested single-layer and multilayer cells in commercially relevant areas that measure approximately 60x75mm to 70x85mm, and shipped our first A0 prototype battery cells in 2022. In 2024, we shipped the first B0 prototype samples of our QSE-5 cell and in 2025 the first B1 prototypes. While we target our first commercial product, the QSE-5, to have a capacity of approximately 5 amp-hours, the exact capacity, number of layers and dimensions may vary and depend upon specific customer preference, cell design considerations, and other factors. Any delay in the development or production scale-up of our solid-state battery cells would negatively impact our business as it will delay time to revenue and negatively impact our customer relationships.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need to overcome production challenges to produce higher volumes of our separators and prototype battery cells and we may encounter delays and cost overruns related to equipment installation and reliability, utilities infrastructure and operations start-up, which could delay or prevent the introduction of our battery technology into the market and negatively impact our business.</w:t>
      </w:r>
    </w:p>
    <w:p>
      <w:pPr>
        <w:ind w:right="40"/>
        <w:spacing w:after="0" w:line="251" w:lineRule="auto"/>
        <w:rPr>
          <w:sz w:val="20"/>
          <w:szCs w:val="20"/>
          <w:color w:val="auto"/>
        </w:rPr>
      </w:pPr>
      <w:r>
        <w:rPr>
          <w:rFonts w:ascii="Times New Roman" w:cs="Times New Roman" w:eastAsia="Times New Roman" w:hAnsi="Times New Roman"/>
          <w:sz w:val="18"/>
          <w:szCs w:val="18"/>
          <w:color w:val="auto"/>
        </w:rPr>
        <w:t>We have installed a pilot line in San Jose, California, which serves as the foundation for our production ramp-up. We must successfully operate this line to provide a sufficient quantity of separators and cells for internal development, customer sampling and testing, and higher volumes of QSE-5 cells. Ultimately, we need to continue the build out and ramp up of our pilot line to serve as the basis for continued production process development, including to support collaboration and future technology transfer activities as part of the collaboration and licensing arrangements with PowerCo as well as potential future commercial arrangements. However, we could encounter significant delays and cost overruns related to planning, permitting, construction, equipment delivery, installation, qualification, and reliability, utilities infrastructure installation, and operations start-up of our pilot line. Examples include global supply chain issues that impact our equipment suppliers, supplier non-performance and equipment damage in transit. In particular, we have experienced short-term power outages at our San Jose facilities that have been resolved, but similar disruptions may occur in the future; delays associated with material shortage and backups at key shipping ports could impact the capacity at which we can run the facility; and certain of our construction contractors have previously reported delays, including due to labor strikes of their employees that were ultimately resolved but may reoccur in the future. If we, or our partners, are unable to substantially improve our production processes to increase yield and throughput to achieve the cost, performance and volume levels required for commercial shipments, our business could be materially impacted.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must continue to advance our current production processes to include more automation, such as automated film handling, and use higher volume equipment and processes, such as higher throughput equipment. There are significant engineering and mechanical challenges that we must overcome to advance the scale up of our battery cells, including shortening cycle time, improving process control and equipment reliability, and reducing consumables (including energy usage), with the target end goal of increasing the quality, consistency, reliability and throughput of our separators and battery cells without compromising performance (e.g. energy density, power, cycle life, and safety). We have not yet validated a production process or acquired the equipment necessary to produce higher volumes of our separator, cathode electrode or related cell assembly components that meet customer requirements. If we are unable to solve these packaging and reliability challenges in a scalable, low-cost way, our business is likely to fail.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and our partners must also adapt these production processes to meet customer requirements and specifications. We will need to produce sufficient volumes of our separators and prototype battery cells to complete development of our first commercial product and for customer evaluation and product qualification purposes, as well as subsequent cell designs that may require different capacity, layer counts, or dimensions. As we advance our licensing business model, our partners will similarly face significant production, scaling, and adaptation risks and will need to achieve the same or additional advancements in production processes as they take our pilot line and adapt them to their own facilities for higher volume production, otherwise our partnerships and our business will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cost, performance characteristics or other specifications of the battery fall short of our targets or our customer or partner requirements, our ability to develop, market, and sell our battery technology could be harmed.</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cost, performance characteristics or other specifications of our battery cells fall short of our targets or our customer or partner requirements, our ability to develop, market, and sell our battery technology would likely be adversely affected.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are continuing to improve the performance characteristics and other specifications of our batteries, our battery cells must simultaneously satisfy all the commercial and safety requirements of our customers and partners. Our solid-state battery cell uses a ceramic separator which we believe is safer than conventional polymer separators. We have conducted, and we will continue to conduct, a suite of performance and safety tests on our prototype cells, including on a limited number of QSE-5 B-samples to date. Although certain of our cells tested in our laboratories have passed automotive performance and safety test levels, some of these cells have been subject to additional modified test conditions and tested to the point of failure. However, these performance and safety test results for our prototype cells are not necessarily representative of those of subsequent generations of our cells since performance and safety are a function of the composition of a cell’s materials, which may change from one generation of cells to another and depend on the final design of the battery package. Additional safety tests, with much larger samplings of cells, need to be performed as our materials and processes evolve to ensure efficacy and statistical significance.</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Once commercial production of our solid-state battery cells commences, they may contain defects in design and manufacture that may cause them to not perform as expected or that may require repairs, recalls, and design changes. Our battery technology is inherently complex and incorporates technology and components that have not been used for other applications and that may contain defects and errors, particularly when first introduced. We have a limited frame of reference from which to evaluate the long-term performance of our solid-state batteries. There can be no assurance that we will be able to develop a battery that meets all our customers’ specifications, or that we or our partners will be able to detect and fix any defects in our solid-state batteries prior to the sale to potential consumers. If batteries based on our technology fail to perform as expected, this could adversely affect our sales, brand, business, prospects and results of operations.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establish supply relationships for necessary materials, components or equipment, which could delay the introduction of our product and negatively impact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components and equipment necessary to develop and manufacture our solid-state batteries, including key supplies, such as our cathode material and manufacturing equipment for both our solid-state separator and battery cells. We are collaborating with key suppliers but have not yet entered into agreements for the supply of production quantities for many of these materials. To the extent that we are unable to enter into commercial agreements with these suppliers on beneficial terms, or these suppliers experience difficulties or delays ramping up their supply of materials to meet our requirements, the commercialization of our battery technology will be delayed. For example, we have previously experienced minor disruptions to the supply of process gas and have also experienced and could continue to experience disruption to the supply of petroleum-derived products as a result of certain weather and geopolitical events and conflicts and any related political or economic responses and counter-responses or otherwise by various global actors. The war in Ukraine and resulting sanctions against Russia by certain countries has also led to, and a further escalation of the armed conflict in the Middle East could also lead to, an increase in the price of petroleum and petroleum-derived products, which has in certain instances increased and may in the future further increase the cost of manufacturing, input material pricing and logistics costs. These challenges may be exacerbated in situations where we source certain of our materials and equipment exclusively from one or a few suppliers.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Any disruption in the supply of components, equipment or materials could temporarily disrupt research and development activities or production of our batteries until an alternative supplier is able to supply the required material. Changes in business conditions, unforeseen circumstances, political, economic and social instability, governmental changes, disruptions caused by power outages, climate change and natural disasters, and other factors beyond our control or which we do not presently anticipate, could also affect our suppliers’ ability to deliver components or equipment to us on a timely basis. Any of the foregoing could materially and adversely affect our results of operations, financial condition and prospects.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Currency fluctuations, trade barriers, tariffs or shortages and other general economic or political conditions may limit our ability to obtain key materials, components or equipment for our solid-state batteries or significantly increase freight charges, raw material costs and other expenses associated with our business, which could further materially and adversely affect our results of operations, financial condition and prospects. In particular, tariffs and trade barriers, whether imposed as part of trade disputes, protective measures, or broader geopolitical strategies, could substantially increase the cost or negatively affect the availability of components and materials critical to our operations, disrupting operations or putting significant pressure on our overall cost structure or that of our partners. For example, in February 2025, the United States imposed additional tariffs on imports from China, and significantly increased those tariffs in April 2025. These tariffs, any additional tariffs imposed on foreign goods, as well as retaliation by a foreign government against such tariffs or policies may affect, directly or indirectly, the prices and supply of key materials necessary for our or our supply chain operations. Such developments may also create uncertainty in the supplier landscape, causing suppliers to reassess their own sourcing strategies or delay shipments, further impacting our ability to plan and execute on our operational goals. We may also be subject to a number of geopolitical risks, including U.S. and foreign government trade restrictions or sanctions and any political or economic responses or counter-responses to such restrictions or sanctions. As global competition for raw materials continues to intensify, particularly in light of rising demand for battery technologies, including due to policy-driven market instability or the reallocation of global supply in response to protectionist measures, we may face difficulties securing critical supplies on favorable terms or at all, which could materially harm our ability to produce batteries at scale and threaten the viability of our business.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and the components necessary to develop and commercialize our solid-state battery technology, and, if we are unable to control these costs and achieve cost advantages, our business will be adversely affected.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require significant capital to develop and grow our business and expect to incur significant expenses, including those relating to research and development, raw material procurement, leases, sales, distribution, and technology transfer as we build our brand and market our battery technology, and general and administrative costs as we scale our operations, including the costs of our activities under the PowerCo Collaboration Agreement, and, if entered into, the PowerCo IP License Agreement. For example, there has been volatility in prices and availability of raw material such as cobalt, nickel, and lithium and such material may face industry-wide shortages. Our ability to become profitable in the future will not only depend on our ability to successfully market or license our solid-state battery technology, but also to control our costs and achieve our target cost projections, including our or our licensing partners’ projected cost advantage when compared to the costs of building traditional lithium-ion batteries at scale or the costs of building solid-state batteries by other market players. If we or our partners, as applicable, are unable to cost-efficiently design, manufacture, market, sell and distribute our solid-state battery technology, including under the PowerCo Collaboration Agreement, our margins, profitability and prospects would be materially and adversely affected. We or our partners have not yet produced any solid-state battery cells at commercial capacity or in volume and our forecasted cost advantage for the production of these cells at scale, compared to conventional lithium-ion cells, will require rates of throughput, use of electricity and consumables, yield, and levels of automation that we or our partners have not yet achieved. If we or our partners are unable to achieve these targeted rates, our business will be adversely impacted.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while we have estimated that eliminating the anode host material and the associated manufacturing costs will provide savings in production at scale compared to the costs of building traditional lithium-ion batteries at leading manufacturers, that estimate is subject to numerous assumptions and uncertainties. To achieve those savings, we or our partners, as applicable, will need to achieve significant cost savings in battery design and manufacturing, in addition to the cost savings associated with the elimination of an anode from our solid-state battery cells, while controlling costs associated with the manufacturing of our separator, including achieving substantial improvements in throughput and yield required to hit commercial targets. Further, we or our partners, as applicable, will need to capture industry-wide cost savings in the materials, components, equipment, facilities design, and processes that our technology shares with traditional lithium-ion battery manufacturing, notably in the cathode and cell design. We cannot be certain that we or our partners will achieve these cost savings or that future efficiency improvements in lithium-ion battery manufacturing will not reduce or eliminate these estimated cost savings.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incur significant costs related to procuring materials required to manufacture and assemble our samples and batteries. We expect to use various materials in our batteries that will require us to negotiate purchase agreements and delivery lead-times on advantageous terms. We and our partners may not be able to control fluctuation in the prices for these materials or negotiate agreements with suppliers on terms that are beneficial to us or our partners. Our business depends on the continued supply of certain proprietary materials for our products. We are exposed to multiple risks relating to the availability and pricing of such materials and components, including reliance upon our vendors to construct and produce equipment to increase volumes, which may lead to delays or the requirement that we make additional upfront payments. Increases in the prices for our raw materials or components would increase our operating costs and negatively impact our prospects. For example, our shipping costs have increased in the past as suppliers have applied fuel surcharges. Costs for certain key raw materials and components have also increased due to fluctuations in global commodity prices. Our suppliers’ increasing labor costs have also contributed to rising prices. Given that we have yet to generate any revenue from our business operations, we are also limited in our ability to pass on the cost of any such increases to our customers.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cost of producing battery cells depends in part upon the prices and availability of raw materials such as lithium, nickel, cobalt and/or other metals. The prices for these materials fluctuate and their available supply may be unstable, depending on market conditions and global demand for these materials. For example, demand for lithium has increased dramatically in recent years, and is expected to continue to increase, due to the ongoing rapid increase in use of lithium batteries in portable electronics and the growing EV and energy storage markets. Furthermore, significant sources of supply of certain raw and intermediate materials are available in countries that may be subject to political, economic and social instability or where there is an ongoing risk of tariffs or import prohibitions being imposed by the United States or the European Union on the procurement of such materials from such countries. Certain countries are also imposing controls on the export of such materials. There can be no assurance that suppliers of these materials may be able to meet our or our partners’ volume and other specific needs at reasonable prices, particularly as we ramp up our commercial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machinery for our operations, and production of our solid-state battery cells involves a significant degree of risk and uncertainty in terms of operational performance and costs.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heavily on complex machinery for our operations and the production of our solid-state battery cells, and this equipment has not yet been qualified to operate at large-scale manufacturing by us or our partners. The work required to integrate this equipment into the production of our solid-state battery cells is time intensive and requires us and our partners to work closely with the equipment provider to ensure that it works properly for our unique battery technology. This integration work will involve a significant degree of uncertainty and risk and may result in a delay in the scaling up of production or result in additional cost to our battery cells.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Higher throughput machinery is required to achieve our goal to commercialize our battery technology. Such machinery is likely to suffer unexpected malfunctions from time to time and may require repairs and spare parts to resume operations, which may not be available when needed, particularly if global supply chain disruptions continue or are not fully resolved. Unexpected malfunctions of our or our partners’ production equipment may significantly affect the intended operational efficiency. In addition, because this equipment has not been used to build our solid-state battery cells before, the operational performance and costs associated with this equipment can be difficult to predict and may be influenced by factors outside of our or our partners’ control, such as, but not limited to, failures by suppliers to deliver necessary components of our products in a timely manner and at prices and volumes acceptable to us or our partners, environmental hazards and remediation, difficulty or delays in obtaining governmental permits, damages or defects in systems, industrial accidents, fires, seismic activity and other natural disasters.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Operational problems with production equipment could result in the personal injury to or death of our or our partners’ workers, the loss of production equipment, damage to production facilities, monetary losses, delays and unanticipated fluctuations in production. The potential risks of operational problems at our facilities also apply to individuals not employed and equipment not owned by us, such as third-party contractors, and our business partners’ personnel and equipment. In addition, operational problems may result in environmental damage, administrative fines, increased insurance costs and potential legal liabilities. These operational problems could have a material adverse effect on our business, results of operations, cash flows, financial condition or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attracting and retaining customers, including licensees, during the product development stage or for higher volume commercialization of our technology, and our future growth and success may be adversely affected.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We may not succeed in attracting and retaining customers, including licensees, during the product development stage or for higher volume commercialization of our technology in the EV market or other potential markets for our battery technology. If we are unable to attract new customers in need of our products or the licensing of our battery technology, whether due to inadequate product-market fit or for other reasons, our business may suffer. Conversely, we may not be able to retain existing customers in case of delays or capacity limitations in the development of our solid-state battery technology, which would negatively impact our business.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potential customers tend to be large enterprises that often undertake a significant evaluation process and are frequently subject to budget constraints, multiple approvals and unanticipated administrative, processing and other delays, that result in a lengthy sales or licensing cycle. Therefore, our future success will depend on our ability to effectively sell our products or license our technology to such large customers. Sales to these end-customers involve risks that may not be present (or that are present to a lesser extent) with sales to smaller customers. These risks include, but are not limited to, (i) increased purchasing power and leverage held by large customers in negotiating contractual arrangements with us, including a greater ability to push back on attempts to pass on increased operating and procurement costs and require provisions that can lead to a delay in revenue recognition, (ii) longer sales and implementation cycles and the associated risk that substantial time and resources may be spent on a potential end-customer that elects not to purchase our solutions, and (iii) greater product functionality and scalability requirements, including a broader range of services. There are also only a limited number of OEMs in the automotive sector. All of these factors can add further risk to business conducted with these potential customers.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signed customer sampling, technology evaluation and joint development agreements with a number of OEMs, we are still in the process of development and scale-up of our San Jose pilot line and there is no assurance or guarantee that we can sufficiently develop our solid-state battery technology or that any of our customers or potential customers will be able to successfully complete their testing and validation processes and, therefore, enter into definitive volume production or license agreements with us. Until we are able to enter into agreements with multiple customers to commercialize our technology, we anticipate that our operating results may vary significantly from quarter to quarter.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any early obsolescence of our production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depreciate the cost of our equipment over their expected useful lives. However, our cell design or production processes may change periodically, and we may decide to update our design or production processes more quickly than expected. Moreover, improvements in engineering and production expertise and efficiency may result in our ability to manufacture our cells using less of our currently installed equipment. Alternatively, as we develop our production processes, we may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may be harmed. For example, during the year ended December 31, 2025, we wrote off approximately $26.6 million of property and equipment for assets with no remaining future benefit.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Risks and Risks Related to Our Relationship with Volkswagen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 with Volkswagen and PowerCo is subject to various risks which could adversely affect our business and future prospects. There are no assurances that we will be able to achieve the milestones for the commercialization of solid-state batteries under our collaboration with PowerCo or that we will enter into the PowerCo IP License Agreement.</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we entered into the Collaboration Agreement with the goal of PowerCo industrializing QS technology based on QSE-5. Under the Collaboration Agreement, the parties agreed to collaborate to enable PowerCo to manufacture battery cells incorporating QS technology based on QSE-5, including through a joint scale-up team that was established to facilitate the transfer of such technology into a cell size determined by PowerCo and by carrying out the activities set forth in statements of work. In connection therewith and subject to the completion of certain milestones, the parties intend to enter into the PowerCo IP License Agreement under which we will grant PowerCo a non-exclusive, limited, royalty-bearing license to use the QS technology based on QSE-5 for the purpose of manufacturing and selling batteries primarily for automotive applications, initially at one or more PowerCo facilities that together have an annual capacity of up to 40 GWh, expandable by an additional 40 GWh of annual capacity or such other capacity as may be agreed to by the parties.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17, 2025, we entered into the PowerCo Amendment and a statement of work outlining the scope and responsibilities of the joint scale-up team. PowerCo has agreed that it will contribute up to $130.7 million for the Project over the next two years, subject to the completion of certain technical milestones and other Project goals by the joint scale-up team. As part of the PowerCo Amendment, the terms of the PowerCo IP License Agreement have been amended to provide PowerCo the right to produce up to an additional 5 GWh of QS battery cell technology based on QSE-5 annually, including for customers outside the Volkswagen Group, bringing the potential maximum production by PowerCo under the PowerCo IP License Agreement to 85 GWh annually.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There is no assurance that we will be able to complete the development of the solid-state battery cells or achieve the technical milestones in the time frame required by the PowerCo Collaboration Agreement or to satisfy PowerCo’s business needs, or that the joint scale-up team will cooperate successfully or complete in a timely and cost-effective manner the responsibilities assigned to them under the PowerCo Collaboration Agreement. If we are not able to reach certain milestones under the PowerCo Collaboration Agreement, PowerCo has no obligation to enter into the PowerCo IP License Agreement and we will not receive the initial royalty fee otherwise due to us thereunder and will not realize any of the benefits otherwise expected from this agreement. Additionally, continued billings to PowerCo are subject to completion of certain technical milestones or other contractual payment schedules, and therefore our results may vary significantly from quarter to quarter. There can be no assurance that the joint scale-up team will complete certain technical milestones or that PowerCo will pay for the project. Any reduction, delay, or termination of this project or its funding could disrupt our development timelines, impact on our engagements with other customers and partners, and materially impact our business and financial results. The amounts of royalties to be paid under the PowerCo IP License Agreement, if entered into, will depend on the performance of our solid-state battery and the demand for the vehicles that Volkswagen develops specifically to use with the solid-state battery cells produced under the PowerCo IP License Agreement. If we cannot complete the development of our solid-state battery cells, if PowerCo does not select our solid-state battery cell for commercialization or if there is a delay in the introduction of the Volkswagen vehicles that intend to use our solid-state battery cells, our business will be harmed.</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Volkswagen is our largest shareholder and holds the right to designate two directors to our Board. The strong relationship that we have developed with Volkswagen, including as a shareholder, and PowerCo and rights under the PowerCo Collaboration Agreement and, if entered into, the PowerCo IP License Agreement, may deter other automotive OEMs from working closely with us. While the PowerCo IP License Agreement, if entered into, would be non-exclusive, allowing us to license our intellectual property to other third parties, we may still need to incur significant additional expenditures for design, development, and testing to meet the needs of these third parties. If we are not able to expand our other customer relationships to a license or commercialization intent, or if we become too dependent on Volkswagen for our revenue, our business could be harmed. Volkswagen may have economic, business or legal interests or goals that are inconsistent with our goals. For example, adverse conditions in the EV market have led Volkswagen to reduce planned capital investments in their overall electrification efforts, which may delay, scale back, or otherwise adversely affect our collaboration and planned commercialization of our battery technology. Further, the existence of a related-party arrangement could raise concerns among investors, analysts, or regulators about potential conflicts of interest or the independence of our governance practices. In addition, the contractual arrangements with PowerCo involves complex accounting judgments under U.S. GAAP (as defined below). Any significant disagreements with Volkswagen may impede our ability to maximize the benefits of our relationship, slow the commercialization of our solid-state battery and impact on our relationship with other customers and partners. In addition, if PowerCo is unable or unwilling to meet its economic or other obligations under the PowerCo Collaboration Agreement and PowerCo IP License Agreement, if entered into, we may be required to terminate such agreements and thereby may not realize any of the benefits otherwise expected from such agreements. These factors could result in a material adverse effect on our business and financial results. While we have entered into the PowerCo Collaboration Agreement, we cannot predict the extent to which PowerCo’s activities may pose a competitive risk to, or otherwise be in conflict with, our business.</w:t>
      </w:r>
    </w:p>
    <w:p>
      <w:pPr>
        <w:spacing w:after="0" w:line="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milestones under the PowerCo Collaboration Agreement are met and the PowerCo IP License Agreement is entered into, we will become reliant on PowerCo to scale up and commercialize our technology, preserve the value of our license, and will be further exposed to risks related to PowerCo’s financial and business conditions.</w:t>
      </w:r>
    </w:p>
    <w:p>
      <w:pPr>
        <w:spacing w:after="0" w:line="6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While we continue to explore opportunities to commercialize our technology with existing and potential partners, the PowerCo Collaboration Agreement is currently the only agreement we have with the intent to commercialize our technology. Therefore, entering into the PowerCo IP License Agreement will make us reliant on PowerCo to scale up and commercialize our technology and preserve the value of our license. It will also result in us having less direct control over decisions relating to the manufacturing of our technology and require us to rely more significantly on the alignment of incentives between us and PowerCo.</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PowerCo, established in 2022 by Volkswagen, has a limited track record in battery manufacturing, thereby presenting several risks. Its operational capabilities remain untested, raising uncertainties regarding its ability to develop, scale up, and efficiently produce battery cells. Furthermore, PowerCo’s capacity to secure the requisite capital for technology development and scaling remains unproven, potentially resulting in delays to key milestones. PowerCo is wholly owned by and dependent on Volkswagen and its financial and operational resources, changes in or poor execution of business plans by either PowerCo or Volkswagen—including any decision by Volkswagen to reduce or terminate the business of PowerCo or to curtail investments in EV production through cost-cutting measures—could adversely harm our business. As PowerCo continues to execute its business plan, there are inherent risks associated with its ability to meet manufacturing timelines, manage labor relations, and sustain supplier and customer relationships. Our concentrated customer base and specific partnership with PowerCo further heighten our exposure to fluctuations in its operations and business model, any of which may impede decision-making and adversely impact the commercialization of our technology.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verifying royalty amounts owed to us under the PowerCo IP License Agreement may be difficult. While the agreement will require PowerCo to provide reasonable documentation supporting royalties and grant us the right to audit their books and records, these audits can be expensive and time-consuming, potentially adversely affecting our financial condition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agreements and relationships currently restrict or in the future may restrict our business operations, commercialization opportunities, and revenue generation.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existing and future commercial agreements may limit or delay our ability to expand our customer base, collaborate with other customers and commercialize our intellectual property, including certain intellectual property jointly developed under such agreements. Certain agreements may also require us to prioritize certain customers’ commercialization efforts and focus on developing products that are configured to our customers’ specifications with potentially limited end-use applications, which could have an adverse impact on our results of operations if we divert resources to address these customer specific requirements and obligations. Additionally, certain agreements may require us to provide certain customers with advantageous business terms, restricting our ability to negotiate competitive terms with others and potentially reduce our anticipated revenue from royalty payments. These obligations could deter other potential partners and limit or delay our opportunities to generate revenue through licensing our technology, impacting our overall business flexibility and financial outcomes. The concentration of our customer base increases our risks related to the financial condition of our customers, and the fluctuations in financial condition of a single customer or the failure of a single customer to perform its obligations could have a material and adverse effect on our results of operations and cash flow.</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develop our business ecosystem, we will increasingly become reliant on partners and customers to scale up and commercialize our technology and will be exposed to risks related to our partners and customers.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licensing model requires building a global ecosystem of partners, including but not limited to our customers, suppliers and vendors, around our technology platform. As we advance our licensing model by collaborating with existing and potential partners, we will become more reliant on our partners to scale up and commercialize our technology, preserve the value of our license, and will also limit our ability to retain direct control over decisions around manufacturing and commercializing our technology. As our partners and customers continue to execute their respective business plans alongside us, there are inherent risks associated with their ability to meet manufacturing timelines, manage labor relations, and sustain supplier and customer relationships that will increasingly be outside of our control. Furthermore, we might not be able to obtain strict exclusivity with our partners and customers, which could enable them to work directly with other partners, customers and third parties, limiting our ability to continue or extend existing collaborations and potentially reducing our anticipated revenue from royalty payments or other similar financial arrangements. These factors could result in a material adverse effect on our business and financial results.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the future supply and demand for batteries incorporating our technology, which could result in a variety of inefficiencies in our or our partners’ business and hinder our ability to generate revenue. If we fail to accurately predict and forecast the demand for our battery technology, the success of our licensing model may be negatively impacted.</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difficult to predict our future revenues and appropriately budget for our expenses, and we may have limited insight into trends that may emerge and affect our or our partners’ businesses. We anticipate being required to provide demand forecasts or adoption projections to our current and prospective licensees to support their production planning and supply chain coordination. Currently, there is no historical basis for making judgments on the demand for batteries utilizing our technology or for assessing our ability to successfully license, support, and scale our technology through third-party manufacturing partners. Our future revenue will also depend on the timing and prioritization of commercialization and industrialization activities by our customers, which are subject to their internal strategies, resource allocation, and market conditions. As these decisions are entirely within our customers’ control and may shift over time, they introduce additional uncertainty into our revenue forecasting and further contribute to the difficulty in predicting the pace and magnitude of our commercial growth. If we overestimate potential demand our licensees may invest in excess manufacturing capacity or materials, indirectly increasing costs or lowering margins for them, which could negatively impact our long-term commercial relationships and revenue. If we underestimate our requirements, our licensees may face inventory shortages or production delays, which could impact their ability to meet end-customer expectations, delay milestone or royalty payments to us, and damage the perceived reliability of our technology. In addition, lead times for materials and components that our partners and suppliers order may vary significantly and depend on factors such as the specific supplier, contract terms, geopolitical conditions, and macroeconomic demand for each component at a given time. If our partners are unable to source critical components in a timely manner, or if they choose to delay their commercialization efforts for any reason, the commercialization timeline for our technology could be delayed, which would harm our business, financial condition and operating results.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Our Intellectual Property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intellectual property portfolio. If we are unable to protect or assert our intellectual property, our business and competitive position would be harmed.</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patents, trademarks and trade secrets in the United States and other jurisdictions, as well as license agreements and other contractual protections, to establish, maintain and enforce rights in our proprietary technologies. In addition, we seek to protect our intellectual property through non-disclosure and invention assignment agreements with our employees and consultants, and through non-disclosure and other collaboration and development agreements with business partners and other third parties. Despite our efforts to protect our proprietary rights, insiders and third parties, including our business partners and customers, may attempt to copy or otherwise obtain, use or practice our intellectual property without our consent, use proprietary information shared by us in furtherance of an agreed upon collaboration to make developments on top of our intellectual property, including to compete with or inhibit our ability to exercise our intellectual property rights, and we may have been, and may continue to be, subject to intentional or inadvertent systems disruptions and physical or virtual security incidents, including theft or unauthorized use of our confidential information, trade secrets and proprietary technology, including with respect to our batteries and cells. Monitoring unauthorized use or loss of our intellectual property is difficult and costly, and the steps we have taken or will take to prevent misappropriation may not be sufficient. Any enforcement efforts we undertake, including litigation, may not be successful and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or our competitive position.</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trademark and trade secret laws vary significantly throughout the world. A number of foreign countries do not protect intellectual property to the same extent as do the laws of the United States. Government actions may also undermine our intellectual property. For example, a decree was adopted by the Russian government in March 2022, allowing Russian companies and individuals to exploit inventions owned by patentees from the United States without consent or compensation. Therefore, our intellectual property may not be as strong or as easily enforced outside of the United States and efforts to protect against the unauthorized use of our intellectual property, technology and other proprietary rights may be more expensive and difficult outside of the United States. Failure to adequately protect our intellectual property could result in our competitors using our intellectual property to offer products, potentially resulting in the loss of some of our competitive advantage and a decrease in our revenue which would adversely affect our business, prospects, financial condition and operating results.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PowerCo Collaboration Agreement, we agreed to jointly own with PowerCo certain types of foreground intellectual property. This joint ownership may reduce our ability to protect or assert some of our intellectual property rights. More specifically, we agreed to jointly own certain foreground intellectual property that is jointly developed under the PowerCo Collaboration Agreement and that either party is free to exploit their share of such jointly owned intellectual property without the other’s consent, subject to certain conditions. Similarly, we have entered into, and may continue to enter into, other agreements, including joint development agreements with various business partners, for example, for the development and commercialization of our ceramic separator, that involve joint ownership of foreground intellectual property. These agreements may allow our partners to independently use, license, or develop improvements to or derivatives of jointly owned intellectual property without requiring our approval, or restrict our use of such jointly owned intellectual property, which could impact our competitive position or limit our ability to fully capitalize on such innovations. Because PowerCo and other partners may exploit such jointly owned intellectual property without our consent, we may not be able to prevent them or their licensees from using or exploiting such jointly owned intellectual property, or any improvements to or derivatives of such intellectual property developed by these partners. Additionally, our ability to innovate on or practice our intellectual property could be adversely hindered by any new such intellectual property created by our partners, and could undermine the value of our intellectual property and negatively impact our ability to work with additional prospective partners, thereby weakening our competitive position.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under these arrangements, our business partners, including Volkswagen, PowerCo, and other customers and partners, have and will have access to certain proprietary information or intellectual property, increasing the risk of misappropriation, unauthorized use, or inadvertent disclosure due to insufficient safeguards, cybersecurity incidents, employee misconduct, or other vulnerabilities. Such risks could undermine the value of our intellectual property, disrupt our business, or impair our ability to effectively protect our rights.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PowerCo IP License Agreement, if entered into, we intend to grant PowerCo a perpetual license to some of our intellectual property. This license may limit our ability to prohibit third parties, including PowerCo and its sublicensees, from exploiting our licensed intellectual property in perpetuity.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patents, trademarks or other proprietary rights that would prevent, limit or interfere with our ability to make, use, develop or sell our products, which could make it more difficult and costly for us to operate our business. From time to time, we may receive requests from third parties inquiring whether we are infringing their intellectual property and/or seek court declarations that they do not infringe upon our intellectual property. Companies holding patents or other intellectual property relating to our business, including intellectual property for batteries, ceramics, electric motors, electronic power management systems, or manufacturing processes may bring suits alleging infringement of such rights or otherwise asserting their rights and seeking licenses. Additionally, joint ownership of intellectual property, including under agreements such as the PowerCo Collaboration Agreement, may increase the risk of disputes over the use, licensing, or enforcement of jointly owned intellectual property. Such disputes could result in litigation, which may be costly, time-consuming, and disruptive to our operations. In addition, if we are determined to have infringed a third party’s intellectual property, we may be required to do one or more of the following:</w:t>
      </w:r>
    </w:p>
    <w:p>
      <w:pPr>
        <w:spacing w:after="0" w:line="80"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licensing, incorporating or using products, methods or other assets that incorporate or otherwise infringe or misappropriate the challenged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which license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affected products and methods.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the infringed technology on reasonable terms, our business, prospects, operating results and financial condition could be materially adversely affected. In addition, any litigation or claims, whether or not well-founded, could result in substantial costs and diversion of resources and management’s attention.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license patents and other intellectual property and technology from third parties, and we may face claims that our use of this intellectual property or technology infringes the rights of others. In such cases, we may seek indemnification from our licensors under our license contracts with them. However, our rights to indemnification may be unavailable or insufficient to cover our costs and losses, depending on our use of the technology, whether we choose to retain control over conduct of the litigation, and other factors. Further, joint ownership arrangements may limit our ability to assert or defend claims relating to jointly owned intellectual property, as partners may independently enforce or license such intellectual property, creating additional risks of conflict, misalignment, or exposure to third-party litigation.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result in issued patents or our patent rights may expire or be contested, circumvented, invalidated or limited in scope, any of which could have a material adverse effect on our ability to prevent others from interfering with the licensing of our technology and commercialization of our products.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and pending patent applications owned by others exist in the fields in which we have developed and are developing our technology and operating our business. Any of our existing or pending patents may be challenged by others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our patent applications succeed and we are issued patents in accordance with them, these patents may still expire, be contested, circumvented, invalidated or limited in scope in the future. Patents are granted for limited terms, and may expire before or shortly after we are able to develop, scale, commercialize our technology, or enter into licensing arrangements. As a result, the commercial value of these patents may diminish over time, and we may not realize the full benefits of the patent protection before such patents expire. In addition, we may be unable to obtain additional patents or other intellectual property rights with sufficient scope or duration to meaningfully extend or replace the protection provided by our existing patent portfolio.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of others could also bar us from licensing and exploiting any patents that issue from our pending applications. In addition, patents issued to us may be infringed or designed around by others and others may obtain patents that we need to license or design around, and our patent rights may expire, which could limit our ability to leverage our patents to their full advantage and adversely affect our competitive position, either of which would increase costs and may adversely affect our business, prospects, financial condition and operating results.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battery market continues to evolve, is highly competitive, and we may not be successful in competing in this industry or establishing and maintaining confidence in our long-term business prospects among current and future partners and customers, including licensees.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battery market in which we compete continues to evolve and is highly competitive. To date, we have focused our efforts on our lithium-metal solid-state battery technology, which is being designed to outperform conventional lithium-ion battery technology. However, lithium-ion battery technology has been widely adopted and our current competitors have, and future competitors may have, greater resources than we do and may also be able to devote greater resources to the development of their current and future technologies. These competitors also may have greater access to customers, including licensees, and may be able to establish cooperative or strategic relationships amongst themselves or with third parties that may further enhance their resources and competitive positioning. In addition, lithium-ion battery manufacturers may continue to reduce cost and expand supply of conventional batteries and thereby reduce the prospects for our business or negatively impact the ability for us to sell or license our products at a market-competitive price with sufficient margins. The lithium-ion battery industry may also experience periods of excess manufacturing capacity; this imbalance between demand and supply capacity may create further downward pressure on prices and could lead to competitors selling at or below material costs. In such scenarios, even if our batteries outperform conventional technologies, our competitive advantage may become irrelevant if we cannot offer pricing that meets market expectations, further threatening the viability of our business. For example, Chinese production has significantly driven down the costs of lithium-ion batteries for EVs through massive scale and government support. As of 2025, China’s average battery pack price was approximately 56% lower than costs in Europe and approximately 44% lower than costs in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18"/>
          <w:szCs w:val="18"/>
          <w:color w:val="auto"/>
        </w:rPr>
        <w:t>Many automotive OEMs, a number of battery technology companies, and consortiums subsidized by countries, such as China, are researching and investing in solid-state battery efforts and, in some cases, in battery development and production. There are a number of companies seeking to develop alternative approaches to solid-state battery technology, including lithium-metal batteries. We expect competition in battery technology and EVs to intensify due to increased demand for EVs and a regulatory push for EV adoption, continued globalization, and consolidation in the worldwide automotive industry. For example, PowerCo is intended to consolidate Volkswagen’s activities along the value chain for batteries—from processing raw materials to developing a unified Volkswagen battery to managing the European gigafactories. Additionally, in 2024, China announced the China All-Solid-State Battery Collaborative Innovation Platform, which brings together government, academia and industry to develop and manufacture solid-state batteries that can compete globally. Developments in alternative technologies or improvements in battery technologies made by competitors may materially adversely affect the sales, pricing and gross margins of our batteries. If a competing technology is developed with superior operational or price performance, our business will be harmed. For example, early results of silicon-anode battery technologies suggest they may offer significant competition to our business. These technologies claim to deliver higher energy densities, faster charging times, and potentially lower costs, which could reduce the demand for our solid-state batteries or require us to adjust our pricing or margins to remain competitive. Furthermore, a sustained decline in battery prices—whether due to overcapacity, aggressive pricing by competitors, or subsidies—could make it difficult for us to recover our costs, no matter how advanced our technology is. If we fail to accurately predict and ensure that our battery technology can address customers’ changing needs or emerging technological trends, or if our customers fail to achieve the benefits expected from our solid-state batteries, our business will be harmed.</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continue to commit significant resources to develop our battery technology to establish a competitive position, and these commitments will be made without knowing whether such investments will result in products potential customers will find acceptable. There is no assurance we will successfully identify new customer requirements, develop and bring our batteries to market on a timely basis, or that products and technologies developed by others will not render our batteries obsolete or noncompetitive, any of which would adversely affect our business and operating results. In addition to these development efforts, we may also need to commit substantial financial and operational resources to expand or enhance our partners’ facilities to support our partnerships and supplier relationships. For example, to secure custom materials or specialized components, we may need to invest in or fund partner capital expenditures. These commitments could be made without certainty that such investments will yield the intended benefits or result in commercially viable products. If we are unable to effectively manage these resource allocations or if these investments do not achieve their objectives, our business, financial condition, and operating results could be adversely affected.</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will be less likely to purchase our batteries if they are not convinced that our business will succeed in the long term. Similarly, suppliers and other third parties will be less likely to invest time and resources in developing business relationships with us if they are not convinced that our business will succeed in the long term. Accordingly, to build, scale up and maintain our business, we must maintain confidence among current and future partners, customers, suppliers, analysts, ratings agencies and other parties in our long-term financial viability and business prospects. Maintaining such confidence may be particularly complicated by certain factors including those that are largely outside of our control, such as our limited operating history, market unfamiliarity with our products, any delays in scaling manufacturing, delivery and service operations to meet demand, competition and uncertainty regarding the future of EVs and our eventual production and sales performance compared with market expectations.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success are dependent upon consumers’ willingness to adopt EVs.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growth and future demand for our products is highly dependent upon the adoption by consumers of alternative fuel vehicles in general and EVs in particular. In recent years, many countries, companies and consumers have accelerated targets with respect to decreasing dependency on fossil fuels, which in turn is expected to increase demand for EVs; however, the market for new EVs continues to evolve rapidly and is also characterized by rapidly changing technologies, competitive pricing and other competitive factors, evolving government regulation and industry standards, and changing consumer demands and behaviors. In addition, several challenges could slow the adoption of EVs, including the availability and affordability of raw materials critical to EV production, such as lithium, nickel, and cobalt, the adequacy of EV charging infrastructure, and concerns over battery performance, safety, and recyclability. Furthermore, economic uncertainty, fluctuating interest rates and energy prices, and geopolitical events, such as trade restrictions or conflicts affecting supply chains, could also affect consumer purchasing decisions. For example, in 2024, automotive companies across Europe have announced plant closures and layoffs to address weak demand, high costs, and competition from China in the EV market. If the market for EVs in general does not develop as expected, or develops more slowly than expected, our business, prospects, financial condition and operating results could be harmed.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pursue new markets and applications is uncertain, and failure to do so could adversely affect our business, financial condition and results of operations.</w:t>
      </w:r>
    </w:p>
    <w:p>
      <w:pPr>
        <w:spacing w:after="0" w:line="1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strategy depends in part on our ability to expand beyond our initial target markets and successfully commercialize our solid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state battery technology across additional vehicle platforms, customers, and end markets. These efforts require us to identify attractive new markets and applications, demonstrate the performance, reliability and cost competitiveness of our technology for such use cases, and convert potential customers into meaningful commercial relationships and orders. There can be no assurance that our technology will be successful in these new markets or that we will be able to penetrate such new markets at all.</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Pursuing new markets involves significant challenges and risks, including the need to adapt our technology to different performance requirements, qualification standards, regulatory regimes, and customer expectations, as well as the potential need for additional investment in development, manufacturing capabilities, and commercial infrastructure. We may also face increased customer testing and validation requirements, and greater competitive pressures in markets where we have limited operating history or brand recognition. If we are unable to successfully address these challenges, we may not be able to achieve our expected growth objectives.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in expanding into new markets also depends on our ability to establish and maintain commercial relationships, which may include new and existing strategic partners, licensees, or other collaborators. There can be no assurance that we will be able to identify and establish relationships and arrangements with partners in such new markets. In addition, these new and existing relationships may require significant management attention and resources and may expose us to operational, financial, or reputational risks.</w:t>
      </w:r>
    </w:p>
    <w:p>
      <w:pPr>
        <w:spacing w:after="0" w:line="31"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If we fail to successfully pursue and penetrate new markets, or if our efforts to do so result in higher costs, delays, or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expected returns, our business, financial condition, results of operations, and prospects could be materially and adversely affected.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financial losses and expect to incur significant expenses and continuing losses from operations for the foreseeable future.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incurred a loss from operations of approximately $472.6 million, and a net loss of approximately $435.1 million for the year ended December 31, 2025, and an accumulated deficit of approximately $3.8 billion from our inception in 2010 through December 31, 2025. We believe that we will continue to incur operating losses each quarter until at least the time significant production of our lithium-metal solid-state batteries begins, and such production is not expected to begin in the near future.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the rate at which we will incur losses to be significantly higher in future periods as we, among other things, continue to incur significant expenses in connection with the design, development and commercialization of our battery technology; expand our research and development activities; invest in production capabilities; build up inventories of components for our batteries; increase our sales and marketing activities; develop our licensing and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our technology enables a variety of business models, including but not limited to sole manufacturing, joint ventures, and licensing, each of which may involve certain risks and tradeoffs.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technology enables a variety of business models and presents opportunities with a variety of potential customers, such as automotive OEMs, end-users, and licensees, as applicable. In addition to the collaboration with PowerCo, which contemplates a licensing arrangement, we may license technology to other manufacturers, operate our own manufacturing facilities, or enter into joint venture arrangements, among other approaches, each with potential risks and tradeoffs.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solely-owned manufacturing facilities would allow us full control over production and quality, helping us protect proprietary processes and maintain consistency. However, this approach would require significant capital investment in infrastructure, equipment, and workforce, leading to increased operational expenses and financial exposure, and the capital required for such investment may not be available on favorable terms, if at all. Managing manufacturing operations also exposes us to risks such as supply chain disruptions, production delays, cost overruns, equipment failures, and scaling challenges, which may hinder our ability to meet demand or maintain competitive pricing. Without third-party manufacturers to rely on, any inefficiency or failure in our facilities could have a materially adverse effect on our business, profitability, and reputation.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In a joint venture arrangement, we would collaborate with third parties to commercialize and manufacture our battery technology, sharing both risks and resources. This could provide access to additional capital, markets, and expertise, but also introduces risks related to control and management. Disagreements with partners over operational decisions, strategy, or investments could disrupt our business plans, while our reliance on their performance could pose additional risks. If a joint venture partner fails to fulfill their obligations or experiences financial or operational issues, it could lead to inefficiencies, delays, or disruptions that harm our business and reputation.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 licensing model, for example if we enter into the PowerCo IP License Agreement with PowerCo, we can leverage our battery technology by licensing it to third parties for commercialization and manufacturing. This approach could reduce capital requirements by limiting investments in infrastructure and operations and potentially enable faster market penetration. However, licensing could lead to lower revenue, reduced control over production, and distribution challenges. Licensing agreements may also pose risks of third-party noncompliance, inconsistent execution, quality issues, or competitive disadvantages. Additionally, relying on third-party licensees could result in missed market opportunities or reputational damage due to negative association with certain third parties, ultimately impacting our profitability and growth.</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Aside from the business models described above, if we pursue other types of arrangements or business models, we potentially face other risks and tradeoffs that could have a materially adverse effect on our business, profitability, and reputation.</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expectations and targets regarding when we will achieve various technical, pre-production and production objectives depend in large part upon assumptions and analyses developed by us. If these assumptions or analyses prove to be incorrect, we may not achieve these milestones when expected or at all.</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expectations and targets regarding when we will achieve various technical, pre-production and production objectives reflect our current expectations and estimates, and are projections based on information readily available to us when setting such milestones. When or whether we will achieve these objectives within the projected timelines depends on a number of factors, many of which are outside our control, including, but not limited to:</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development activity;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technical or production challenges or delays;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relating to lithium-ion, lithium-metal solid-state or other batteries that could adversely affect the commercial potential of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obtain sufficient capital to continue our research and development activities, build and operate our production facilities and sustain and grow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our collaboration with Volkswagen, including termination of the PowerCo Collaboration Agreement, statement of work, or PowerCo IP License Agreement, if entered into, delays in achieving the milestones set forth in the PowerCo Collaboration Agreement or failing to meet the milestones prerequisite to our entering into the PowerCo IP License Agreement;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manage relationships with key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integrate recent hires and attract, retain and motivate qualified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Unfavorable changes in any of these or other factors, most of which are beyond our control, could materially and adversely affect our ability to achieve our objectives when planned and our business, results of operations and financial results.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manage our business is highly dependent on IT systems and our website, systems, and data may be subject to intentional or inadvertent disruption, security incidents, or alleged violations of laws, regulations, or other obligations relating to data handling could adversely impact our reputation and future sales.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upon a variety of information systems to operate our business. The information systems (including internal and external systems such as our website or systems used by partners, service providers, suppliers, customers, and other third parties’) supporting our research, development, and the production of our batteries, and the data we maintain, including our intellectual property, may be subject to intentional or inadvertent disruption, such as telecommunications or network failures, security incidents, or alleged violations of laws, regulations, or other obligations relating to data handling. Any such matters, or perceptions that any of them have occurred, could result in private claims, demands and litigation, regulatory investigations and other proceedings, as well as fines and other liabilities, which could adversely impact our reputation and future sales. We expect to face significant challenges with respect to information security and maintaining the security and integrity of our systems and other systems used in our business, as well as with respect to the data stored on or processed by these systems. Advances in technology, including increased adoption of artificial intelligence technology by us and third-party service providers, suppliers, customers, and other third-party partners, an increased level of sophistication and expertise of hackers, new discoveries in the field of cryptography or other technological developments can result in actual or perceived compromise or breach of, or other security incident with respect to, the systems used in our business or of security measures used in our business to protect intellectual property, confidential information, personal information, and other data. Additionally, remote working further increases the security threats that we and our third-party service providers, suppliers, and customers face.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We must routinely update our IT infrastructure and our various IT systems throughout the organization, or we may not continue to meet our current and future business needs. Systems used in our business by us and our third-party service providers, suppliers, customers, and partners, including data centers and other information technology systems, may also be vulnerable to damage or interruption. Such systems could also be subject to physical or electronic break-ins, corporate sabotage or state-sponsored espionage, and intentional acts of vandalism, infection by ransomware, viruses, or other malware, as well as disruptions and security incidents as a result of non-technical issues, including intentional or inadvertent acts or omissions by employees, service providers, suppliers, customers or others, to among other things, properly implement our software and related security patches and updates. We use service providers to help provide certain services, and any such service providers face similar security and system disruption risks as us. Some of the systems used in our business are not and will not be fully redundant, and our disaster recovery planning cannot account for all eventualities. Any data security incidents or other disruptions to any data centers or other systems used in our business by us and our third-party service providers, suppliers, and customers could result in lengthy interruptions in our service and may adversely affect our business, prospects, financial condition and operating results.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capital and other resources may be required in efforts to enhance our current IT systems, implement new IT systems, protect against information security breaches, security incidents, and system disruptions, or to alleviate problems caused by actual or suspected information security breaches and other data security incidents and system disruptions. The resources required may increase over time as the methods used by hackers and others engaged in online criminal activities and otherwise seeking to obtain unauthorized access to systems or data, and to disrupt systems, are increasingly sophisticated and constantly evolving. In addition, the risk of cyberattacks may be heightened due to the war in Ukraine and other geopolitical events. Such cyberattacks could disrupt the economy more generally and could also impact our operations either directly or indirectly.</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Security breaches and/or incidents can also remain undetected for an extended period, including situations in which hackers mine data over time or optimize the timing and potency of their cyberattacks or disruptions. Any failure or perceived failure by us or our service providers, suppliers, customers, and partners, to prevent information security breaches or other security incidents or system disruptions, or to comply with privacy policies or any actual or asserted legal obligations relating to privacy or information security, or any compromise of security that results in or is perceived or reported to result in unauthorized access to, or loss, theft, alteration, release, transfer, unavailability, or other processing of, our information, or any personal information or other customer data or confidential information, that we or our service providers, suppliers, customers, and partners, maintain or otherwise process, could cause our potential customers to lose trust in us, result in loss or theft of proprietary or sensitive data and intellectual property, could harm our reputation and competitive position and could expose us to legal claims, demands, and litigation, regulatory investigations and proceedings, and fines, penalties, and other liability. Any such actual or perceived security breach, security incident or disruption could also divert the efforts of our technical and management personnel and could require us to incur significant costs and operational consequences in connection with investigating, remediating, eliminating and putting in place additional equipment and devices designed to prevent actual or perceived security breaches and other incidents and system disruptions.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our handling of data relating to individuals is subject to a variety of laws and regulations relating to privacy, data protection, and data security, and may become subject to additional obligations, including contractual obligations, relating to our maintenance and other processing of this data. Laws, regulations, and other actual and potential obligations relating to privacy, data protection, and data security are evolving rapidly, and we expect to potentially be subject to new laws and regulations, or new interpretations of laws and regulations, in the future in various jurisdictions. These laws, regulations, and other obligations, and changes in their interpretation, could require us to modify our operations and practices, restrict our activities, and increase our costs, and it is possible that these laws, regulations, and other obligations may be inconsistent with one another or be interpreted or asserted to be inconsistent with our business or practices. Any failure or perceived failure to comply with any applicable laws, regulations, or other obligations relating to privacy, data protection, or data security could also result in regulatory investigations and proceedings, and misuse of or failure to secure data relating to individuals could also result in claims and proceedings against us by governmental entities or others, penalties and other liability, and damage to our reputation and credibility, and could have a negative impact on potential future revenues and profits.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any issues concerning the IT systems result in, or contribute to, a delay in our timely reporting of our results of operations for any period or our not filing one or more periodic reports with the SEC on time, the price of our Class A Common Stock could decline substantially, and we could face costly lawsuits, including securities class actions, and also could impair our ability to raise necessary capital to run our operations and progress our product development efforts. Further, as we are dependent upon our ability to gather and promptly transmit accurate information to key decision makers, our business, results of operations and financial condition may be adversely affected if our information systems do not allow us to transmit accurate information, even for a short period of time. Failure to properly or adequately address these issues could negatively impact our ability to perform necessary business operations, which could adversely affect our reputation, competitive position, business, results of operations and financial condition. While our enterprise resource planning (“ERP”) system is designed to accurately maintain our books and records and provide important information to our management team for use in the operation of the business if the ERP system or any other implemented system does not operate as intended, it could adversely affect our financial reporting systems and our ability to produce financial reports and process transactions.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artificial intelligence by us, our suppliers, partners and competitors.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increasingly incorporating artificial intelligence capabilities into our business operations. Artificial intelligence technology is complex and rapidly evolving and presents risks and challenges that may impact our business, including subjecting us to significant competitive, legal, regulatory, operational and other risks. There is no guarantee that use of artificial intelligence will enhance our technologies, benefit our business operations, or produce products and services that are preferred by our partners and customers. Additionally, artificial intelligence algorithms or training methodologies may be flawed, and datasets may contain irrelevant, insufficient, biased or proprietary information, including the intellectual property of others, which can result in output errors and inadvertent infringement of others’ intellectual property rights, and may give rise to legal liability and materially harm our business. The use of artificial intelligence may also result in inadvertent data leakage or unauthorized exposure of data and confidential business information or increase the risks of cybersecurity incidents more generally. Our competitors may also be more successful in their artificial intelligence strategy and develop competitive products with the aid of artificial intelligence technology. As a result, any issues in the development and use of artificial intelligence by us or our suppliers, partners and competitors, combined with an uncertain regulatory environment, may result in reputational harm, liability, or other adverse consequences to our business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scrutiny and changing expectations from global regulators and our stakeholders regarding our sustainability practices and value proposition could adversely affect our business, brand and reputation.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evolving focus, including from global regulators and stakeholders such as our investors, customers and partners, on sustainability matters, including climate change, environmental stewardship, diversity and inclusion, and sustainability strategy. In particular, increasing public awareness and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our development and production operations. It is also possible that requirements or guidance in one jurisdiction, such as the United States, may contradict or diverge from requirements or guidance in other jurisdictions, such as the European Union. Agreements with customers and partners, such as the PowerCo Collaboration Agreement, include and may include obligations related to sustainability targets. There can be no certainty that we will manage such matters successfully, or that we will successfully meet the (at times contradictory) expectations of stakeholders as to our proper role with respect to sustainability matters. Any failure or perceived failure to timely manage, respond, or meet sustainability related contractual, legal or regulatory requirements, expectations or targets, including with respect to reducing our or our partners’ impact on the environment, or addressing climate change related impacts or other sustainability concerns, could subject us to significant costs and liabilities and adversely affect our business and reputation.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are involved in litigation, regulatory actions or government investigations and inquiries, which could have an adverse impact on our profitability and consolidated financial position.</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involved in a variety of litigation, other claims, suits, regulatory actions or government investigations and inquiries and commercial or contractual disputes that, from time to time, are significant. See Note 7, Commitments and Contingencies, to the consolidated financial statements included elsewhere in this Report for a description of certain litigation matters that we are involved in.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also be involved in legal proceedings and investigations arising in the normal course of business including, without limitation, commercial or contractual disputes, including warranty claims and other disputes with potential customers and suppliers; intellectual property matters; personal injury claims; environmental issues; tax matters; and employment matters including actions under California’s Private Attorney General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It is difficult to predict the outcome or ultimate financial exposure, if any, represented by these matters, and there can be no assurance that any such exposure will not be material. Such claims may also negatively affect our reputation.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liquidity and reputation if we are not able to successfully defend or insure against such claims.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become subject to product liability claims, even those without merit, which could harm our business, prospects, reputation, operating results, and financial condition. We face inherent risk of exposure to claims in the event our batteries do not perform as expected, fail to meet relevant safety standards or requirements, or malfunction resulting in personal injury or death. Our risks in this area are particularly pronounced given our batteries have not yet been commercially tested or mass produced. A successful product liability claim against us or our licensees could require us to pay a substantial monetary award. Moreover, a product liability claim could generate substantial negative publicity about our batteries and business and inhibit or prevent commercialization of other future battery candidates, which would have a material adverse effect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U.S. domestic bribery statute contained in 18 U.S.C. § 201, the U.K. Bribery Act 2010, the U.S. Bank Secrecy Act, as amended, and other similar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U.K. Bribery Act also prohibits non-governmental “commercial” bribery and soliciting or accepting bribes. The U.S. Bank Secrecy Act, particularly 18 U.S.C. §§ 1956, 1957, generally prohibits persons from engaging in transactions where the proceeds at issue derive from, or are intended to facilitate or conceal, illegal activity, or where a party to the transaction is “willfully blind” to the illegal sources of the proceeds.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leverage third parties to conduct our business. We, our directors, officers, employees, representatives, consultants, agents, and business partners may have direct or indirect interactions with officials and employees of government agencies or state-owned or affiliated entities and we may be held liable for the corrupt or other illegal activities of these directors, officers, employees, representatives, consultants, agents, and business partners even if we do not explicitly authorize such activities. The FCPA also requires companies to make and keep books, records and accounts that accurately reflect transactions and dispositions of assets and to maintain a system of adequate internal controls and compliance procedures designed to prevent such violations. While we have policies and procedures designed to ensure compliance with these laws and regulations, we cannot guarantee that none of our directors, officers, employees, representatives, consultants, agents, and business partners will engage in improper conduct for which we may be held responsible.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of or violations of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Responding to any investigation or action will likely result in a materially significant diversion of management’s attention and resources and significant defense costs and other professional fees. In addition, changes in economic sanctions laws in the future could adversely impact our business and investments in our Class A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changing interest rates may adversely affect our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could be adversely impacted by inflation, primarily due to higher material, labor, and construction costs. To date, we do not believe that inflation has had a material impact on our results of operations, capital resources or liquidity; however, we have experienced increases in prices of raw materials, components and labor costs. Our future mitigation strategies may include considering alternative vendors, vertically integrating certain aspects of our supply chain and redesigning our product or production process. It is difficult to determine what impact inflationary pressures will have on our long-term growth strategies, as there is uncertainty regarding at what levels inflation may continue, and to what level increased costs will affect commercialization of our product. If we are not able to fully offset higher costs through price increases or other corrective measures, inflation may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epidemics, pandemics, and other outbreaks.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We face various risks related to epidemics, pandemics, and other outbreaks. Pandemics have previously and may in the future result in changes in consumer and business behavior. The spread of COVID-19, for instance, impacted our potential customers and our suppliers by disrupting the manufacturing, delivery and overall supply chain of battery, EV and equipment manufacturers and suppliers and led to a global decrease in battery and EV sales in markets around the world. In response to the pandemic, government authorities implemented numerous measures to try to contain the virus, such as travel bans and restrictions, quarantines, stay-at-home or shelter-in-place orders, and business shutdowns, which affected our operations and the operations of our suppliers, vendors and business partners.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further epidemic, pandemic or other outbreak, we may face similar adverse effects as experienced during the COVID-19 pandemic. For example, we may be required to take a variety of measures as may be required by government authorities or that we determine are in the best interests of our employees, suppliers, vendors and business partners, and any such measures may adversely affect our future production plans, supply chain sales and marketing activities, business and results of operations.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extent to which any such epidemic, pandemic or other outbreak would impact our business, prospects and results of operations will depend on future developments, which are highly uncertain and cannot be predicted, including the duration and spread of any such epidemic, pandemic or other outbreak, the actions to contain the outbreak or treat its impact, including the development, distribution and administration of effective vaccines, a waning immunity among persons already vaccinated, an increase in fatigue or skepticism with respect to initial or booster vaccinations, the severity of breakthrough cases and variants, including potentially vaccine-resistant variants, and how quickly and to what extent normal economic and operating activities can resume. Even after any such epidemic, pandemic or other outbreak has subsided, we may continue to experience an adverse impact to our business as a result of the global economic impact, including any recession that has occurred or may occur in the future, or due to changes in consumer behavior, for example an increase in remote work leading to a decrease in demand for automobiles.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Regulatory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or restrictions, tariffs and international trade disputes, could substantially harm our business and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batteries, and the sale of EVs and motor vehicles in general, are subject to substantial regulations under international, federal, state and local laws, including export control laws. We expect to incur significant costs in complying with these regulations. Regulations related to the battery and EV industry and alternative energy are currently evolving and we face risks associated with changes to these regulations as well as potential for heightened regulatory scrutiny. For example, laws and regulations may be passed that make manufacturers financially responsible for the collection, treatment, recycling and disposal of certain products, including batteries for EVs. The costs of complying with such requirements, as they now exist or as may be introduced in the future, and the associated administrative burden could adversely affect our financial condition and results of operations, particularly if we are unable to pass on such costs to our customers or if we're negatively impacted to obtain the components and materials critical to our operations. The costs of complying with such requirements, as they now exist or as may be introduced in the future, and the associated administrative burden could adversely affect our financial condition and results of operations, particularly if we are unable to pass on such costs to our customers.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Internationally, there may be laws and regulations in the United States or in jurisdictions we have not yet entered or laws we are unaware of in jurisdictions we have entered that may restrict our sales or other business practices. The laws in this area can be complex, difficult to interpret and may change over time. Continued regulatory limitations and other obstacles that may interfere with our ability to engage with partners or commercialize our products can negatively impact demand for our future product, increase our supply chain complexity and production costs, reduce the competitiveness of our products, or restrict our ability to sell products or raise capital, any or all of which could have a negative and material impact on our business, prospects,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complex relationships among the United States and the countries in which we may conduct business, pose inherent risk that political, diplomatic, and national security factors can lead to global trade restrictions and changes in trade policies and export regulations that affect the EV industry. As geopolitical conflicts, such as wars in Ukraine and in the Middle East and global trade tensions continue, or possibly escalate, this may lead to further disruption, instability and volatility in global markets and industries that could negatively impact our operations, supply chain, and future sales. The U.S. government and other governments have already imposed severe sanctions and export controls against Russia and Belarus, as well as entities in China and other countries that are supporting Russia’s invasion of Ukraine, and may yet impose additional sanctions and export controls. The impact of these measures, as well as potential responses to them by Russia, China, and other countries, is currently unknown and they could adversely affect the global economy, our business, supply chain, partners or customers.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government has and may continue to make significant changes in U.S. trade policy, including further expanding its controls on exports and imposing new tariffs on imports globally, which could negatively impact U.S. trade and result in the adoption of retaliatory tariffs by other countries as well, leading to a global trade war. More specifically, the U.S. government has imposed significant tariffs on and prohibited imports of products from China. In retaliation, China has implemented additional tariffs on a wide range of American products, imposed controls on exports of rare earth minerals to the United States and may impose additional tariffs and controls on inputs used by the EV industry. Such tariffs and prohibitions, if expanded, could have a significant impact on our business, adversely affect supply chains, and may impact our ability to access materials or production equipment in a timely manner, including around the importation of parts of our batteries and certain production equipment that is manufactured in, or with inputs from, China. If we attempt to renegotiate prices with suppliers or diversify our supply chain in response to tariffs, such efforts may not yield immediate results or may be ineffective. We might also consider increasing prices to our customers once we commence sales of our products; however, this could reduce the competitiveness of our products and adversely affect net sales.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what actions may ultimately be taken with respect to tariffs or trade relations between the United States and other countries, what products may be subject to such actions, or what actions may be taken by the other countries in retaliation. If we fail to manage these dynamics successfully, gross margins and profitability could be adversely affected. As of the date of this report, tariffs have not had a material impact on our business, but should there be further disruption, instability and volatility in global markets and industries resulting from the dynamics of geopolitical relations between the United States and China, or the United States and other countries, our business could be materially and adversely affected, including due to volatility of prices and lead times of equipment and materials sourced from or with a supply chain passing through China and other impacted countries.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or foreign governments may take additional administrative, legislative, or regulatory action that could materially interfere with our ability to sell products in certain countries.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which may have an adverse effect on our business, financial condition and results of operations.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regulations change, we may not be in compliance with applicable international, federal, state or local regulations,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and safety risks and requirements relating to environmental and safety regulations and environmental remediation matters which could adversely affect our business, results of operation and reputation.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Battery technology development and production involves certain inherent environmental and safety risks. Some of our employees handle hazardous materials, including chemicals, such as materials containing lithium and sulfide, that pose specific challenges. We have engineering and administrative controls in place for handling these materials along with any hazardous substances and the employees who handle such materials are required to follow certain safety procedures, including the use of personal protective equipment such as respirators where needed, chemical goggles, and other protective clothing. In addition to exposure, materials with lithium and sulfides have the propensity to start fires. While we believe we have taken precautionary measures which include engineering controls, personal protective equipment, procedures and training to prevent human exposures and fires, including annual safety training for our employees, we cannot ensure that human or environmental exposure to hazardous materials used in our development activities and prototype products will not occur. Any such exposure could result in future third-party claims against us, damage to our reputation, and heightened regulatory scrutiny, remedial and corrective action obligations or the incurrence of capital expenditures, any of which could limit or impair our ability to attract customers. The occurrence of future events such as these could have a material adverse effect on our business, financial condition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utilize new production equipment, techniques and processes, including specialized automated production equipment within our separator, cathode, and cell assembly process areas. These equipment and processes pose hazards typical to manufacturing such as but not limited to hazardous materials, moving parts, and high voltage and/or high current electrical systems typical of large production equipment and related safety incidents. Although we conduct equipment and process reviews before use, we may not be able to prevent the occurrence of safety incidents that damage machinery or our products, slow or stop production, or harm employees. Consequences to such safety incidents may include litigation, regulation, fines, increased insurance premiums, personal injury to or death of our employees, mandates to temporarily halt production, workers’ compensation claims, damage to our facilities, or other actions that impact our company brand, finances, or ability to operate. Also, the shift toward greater automation and more complex machinery across our operations introduces heightened operational risks. For example, our pilot line incorporates higher levels of automation and robotics than our prior processes, which increases operational complexity and places greater demand on employee training, safety procedures and compliance controls. Despite the safety measures and protocols we have implemented, industrial accidents, equipment malfunctions or other safety incidents may occur. Such incidents may involve our employees, contractors, service personnel, equipment vendors or other third parties, and could result in personal injury, production downtime, regulatory enforcement actions, remediation costs or reputational harm. Any of these events could adversely affect our business, financial condition and operating results.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risks listed above, 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including used battery recycling, recovery and reuse, are cost intensive activities that we support. 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ind w:right="26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Risks Related to Ownership of Our Common Stock and Our Certificate of Incorporation and Bylaws Provisions </w:t>
      </w:r>
      <w:r>
        <w:rPr>
          <w:rFonts w:ascii="Times New Roman" w:cs="Times New Roman" w:eastAsia="Times New Roman" w:hAnsi="Times New Roman"/>
          <w:sz w:val="18"/>
          <w:szCs w:val="18"/>
          <w:b w:val="1"/>
          <w:bCs w:val="1"/>
          <w:i w:val="1"/>
          <w:iCs w:val="1"/>
          <w:color w:val="auto"/>
        </w:rPr>
        <w:t>Our Class A Common Stock has been and may in the future continue to be subject to extreme volatility.</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may in the future continue to be subject to extreme volatility. For example, from November 27, 2020, the date our Class A Common Stock began publicly trading, through December 31, 2025, our Class A Common Stock has experienced an intra-day trading high of $132.73 per share and an intra-day trading low of $3.40 per share. At certain times during such period, the daily fluctuations in the trading price of our Class A Common Stock were substantially greater than 10%. We cannot predict the magnitude of future fluctuations in the trading price of our Class A Common Stock. The trading price of our Class A Common Stock may be affected by a number of factors, including events described in the risk factors set forth in this Report and in our other reports filed with the SEC from time to time, as well as our operating results, financial condition and other events or factors. Any of the factors listed below could have a material adverse effect on your investment in our securities. Factors affecting the trading price of our securities may include:</w:t>
      </w:r>
    </w:p>
    <w:p>
      <w:pPr>
        <w:spacing w:after="0" w:line="84" w:lineRule="exact"/>
        <w:rPr>
          <w:sz w:val="20"/>
          <w:szCs w:val="20"/>
          <w:color w:val="auto"/>
        </w:rPr>
      </w:pPr>
    </w:p>
    <w:p>
      <w:pPr>
        <w:ind w:left="1020" w:right="6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regarding technical developments and levels of performance achieved by our or their battery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regarding the timing of our production objectives, including regarding our pilot line and our QSE-5 product;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Volkswagen, or other partners regarding developments in our respective relationships, including changes in Volkswagen’s investment in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misinformation or negative information available in public media published or disseminated by third parties and not otherwise attributable to official statements made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bring our products and technologies to market on a timely basis,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development efforts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 or the EV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 actual or perceived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battery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and assert intellectual property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compliance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resolution of, or involvement in, litigation involving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actions or requests by activist stockholders seeking to effect change in our strategic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shares of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stock, including the amount of short interest in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shares of Class A Common Stock by our directors, executive officers or significant stockholders, including Volkswagen,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and assumptions that we make in the preparation of our financial statements that may result in the fluctuation of our results of operations;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acts of terrorism, hostilities or the perception that hostilities may be imminent, and military conflict and acts of war.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and such impact may be exacerbated during periods of greater economic and market volatility. The stock market has experienced price and volume fluctuations that have often been unrelated or disproportionate to the operating performance of the particular companies affected. The trading prices and valuations of securities may not be predictable. A loss of investor confidence in the market or the securities of other companies which investors perceive to be similar to us could depress the market price of our securities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certain periods of volatility in the market price of our securities, we may become the subject of securities litigation. We have experienced and may in the future experience additional litigation following periods of volatility. This type of litigation may result in substantial costs and a diversion of management’s attention and resources.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capital markets by us or our stockholders could result in additional dilution of the percentage ownership of our stockholders and could reduce the price of our Class A Common Stock.</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capital markets could result in additional dilution of the percentage ownership of our stockholders, and the perception that such sales could occur could adversely affect the market price of our Class A Common Stock, which may make it more difficult for you to sell your Class A Common Stock at a time and price that you deem appropriate.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registration statements with the SEC to register shares for certain stockholders to sell their shares. We have also filed registration statements with the SEC to register shares reserved for future issuance under our equity compensation plans. Subject to there being effective registration statements covering the sales of such shares, the satisfaction of applicable exercise periods and expiration of any applicable lock-up agreements, the shares issued upon exercise of outstanding stock options and settlement of outstanding restricted stock units will be available for immediate resale in the open market.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completed an underwritten public offering in March 2021, an underwritten public offering in August 2023 and sales pursuant to the ATM offering (as defined below) which we completed in August 2025. All shares sold pursuant to such offerings are freely tradable without restrictions or further registration under the Securities Act, except for any shares sold to or purchased by any of our “affiliates” as defined in Rule 144 under the Securities Act. We may in the future file a new registration statement with the SEC and offer for sale additional shares of our Class A Common Stock or other securities convertible into or exchangeable for our Class A Common Stock. For example, we may conduct an additional ATM offering or conduct other capital raises in the future, any of which may be dilutive to existing stockholders. We cannot assure you that we will be able to sell shares or other securities in any other offering at a price per share that is equal to or greater than the price per share paid by you for your existing shares, and investors purchasing shares or other securities in future offerings could have rights superior to existing stockholders. A significant portion of our total outstanding shares are eligible to be sold into the market, which could cause the market price of our Class A Common Stock to drop significantly, even if our business is doing well.</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solid-state batteries is capital-intensive, and we may not be able to raise additional capital on favorable terms, if at all. If we cannot raise additional capital when needed, our operations and prospects could be materially and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design, manufacture and license or sale of batteries is a capital-intensive business, which to date we have financed through joint venture arrangements, other third-party financings and issuance of additional equity. As a result of the nature of our business, we can be expected to continue to sustain substantial operating expenses without generating sufficient revenues to cover expenditures. Over time, we expect that we will need to raise additional funds, including through entry into new collaboration, license or joint venture arrangements, through the issuance of equity, equity-related or debt securities or through obtaining credit from financial institutions to fund, together with our principal sources of liquidity, ongoing costs such as research and development relating to our batteries, the construction and scale up of our pilot line, any significant unplanned or accelerated expenses, and new strategic investments. We cannot be certain that additional capital will be available on favorable terms, if at all, when needed, which could materially and adversely affect our financial condition, results of operations, business and prospects.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by our management to use the proceeds effectively from our completed public offerings or any future offerings of equity or debt instruments, whether from an “at-the-market” offering or other sources of liquidity, such as the royalty fee under the PowerCo IP License Agreement, if entered into, or other customer cash inflows, could harm our business, and we may invest such proceeds in a manner that does not produce income or that loses value, which may negatively impact the market price of our Class A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sellers may engage in manipulative activity that could drive down the market price of our Class A Common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Some short sellers publish, or arrange for the publication of, opinions about or characterizations of our business which may create negative market momentum, even if they contain false and misleading statements about our Company. Issuers, like us, whose securities have historically had limited trading history or volumes and/or have been susceptible to relatively high volatility levels can be particularly vulnerable to such short seller attacks. No assurances can be made that similar declines in the market price of our Class A Common Stock will not occur in the future, in connection with the activities of short sellers. If we are subject to unfavorable allegations promoted by short sellers, we may have to expend a significant amount of resources to investigate such allegations and defend ourselves.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use judgments in making estimates and assumptions in the preparation of our consolidated financial statements, and our results of operations may fluctuate significantly as a result of changes to our estimates and assumptions.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subjective or complex judgments, often requiring us to make estimates about the effects of matters that are inherently uncertain and may change in subsequent periods, or for which the use of different estimates that could have reasonably been used in the current period would have had a material impact on our financial condition and results of operations.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stock-based awards are required to be recognized based on their estimated grant date fair values. The amount recognized could vary depending on a number of assumptions or changes that may occur.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awards containing service, performance and market conditions, where all conditions must be satisfied prior to vesting, such as the EPA Program (as defined below) awards, compensation expense is recognized over the requisite service period, which is based on management’s estimate of the probability and timing of the performance condition being satisfied, assessed at each reporting period. These estimates require management’s judgments and changes in the probability-based assumptions can materially affect the timing of recognition of stock-based compensation expense and consequently, the related amount recognized in our statements of operations and comprehensive income.</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a few stockholders and our executive officers, directors and their affiliates and the dual class structure of our Common Stock may prevent other stockholders from influencing significant corporate decisions, including the outcome of important transactions, including a change in control.</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2025, our executive officers, directors and their affiliates as a group and each of our stockholders who own 10% or more of our outstanding Class A Common Stock or our Class B Common Stock (together, the “Common Stock”), in the aggregate, beneficially own approximately 14.7% of our Class A Common Stock and approximately 100% of our Class B Common Stock outstanding, representing approximately 48.5% of the vote. As a result, these stockholders, including Volkswagen, will be able to exercise a significant level of control over all matters requiring stockholder approval, including the election of directors, any amendment of our Amended and Restated Certificate of Incorporation (the “Certificate of Incorporation”) and approval of significant corporate transactions. In addition, Volkswagen holds the right to designate two directors to our Board. Currently, Dr. Günther Mendl, Head of the Center of Excellence Battery at Volkswagen AG, and Sebastian Schebera, Head of Strategic Partnerships at Volkswagen AG, are members of our Board. This control could have the effect of delaying or preventing a change of control or changes in our management and will make the approval of certain transactions difficult or impossible without the support of these stockholders and of their votes. Further, shares of Class B Common Stock have 10 votes per share, while shares of Class A Common Stock have one vote per share. Even though the holders of our Class B Common Stock are not party to any agreement that requires them to vote together, they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the Class A Common Stock.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the Class A Common Stock, in adverse publicity, or in other adverse consequences. For example, certain index providers have in the past imposed, and may again in the future impose, restrictions on including companies with multiple-class share structures in certain of their indexes. In addition, several stockholder advisory firms oppose the use of multiple class structures. As a result, the dual class structure of our Common Stock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the Class A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or Bylaws and under Delaware law could make an acquisition of us more difficult, limit attempts by our stockholders to replace or remove our management and limit the market price of our Class A Common Stock.</w:t>
      </w:r>
    </w:p>
    <w:p>
      <w:pPr>
        <w:spacing w:after="0" w:line="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Certificate of Incorporation, our amended and restated Bylaws (the “Bylaws”) and Delaware law contain provisions which could have the effect of rendering more difficult, delaying or preventing an acquisition deemed undesirable by our Board. These provisions include:</w:t>
      </w:r>
    </w:p>
    <w:p>
      <w:pPr>
        <w:spacing w:after="0" w:line="1" w:lineRule="exact"/>
        <w:rPr>
          <w:sz w:val="20"/>
          <w:szCs w:val="20"/>
          <w:color w:val="auto"/>
        </w:rPr>
      </w:pPr>
    </w:p>
    <w:p>
      <w:pPr>
        <w:ind w:left="1020" w:hanging="503"/>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without stockholder approval and may contain voting, liquidation, dividend and other rights superior to the Common Stock;</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and exculpation rights to, our directors and officers;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vacancies on our Board may be filled only by a majority of directors then in office of our Board, even though less than a quorum;</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the ability of our stockholders to call special meetings;</w:t>
      </w:r>
    </w:p>
    <w:p>
      <w:pPr>
        <w:spacing w:after="0" w:line="6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procedures for stockholder proposals to be brought before an annual meeting, including proposed nominations of persons for election to our Board;</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once there are no longer any outstanding shares of the Class B Common Stock, any action to be taken by our stockholders be effected at a duly called annual or special meeting and not by written consent;</w:t>
      </w:r>
    </w:p>
    <w:p>
      <w:pPr>
        <w:spacing w:after="0" w:line="1"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that special meetings of our stockholders can be called only by a majority of our Board, the chair of our Board, or our Chief Executive Officer;</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holders of at least two-thirds of the outstanding voting securities to amend the Bylaws and certain provisions of the Certificate of Incorporation once there are no longer any outstanding shares of Class B Common Stock;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two classes of Common Stock.</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because we are incorporated in Delaware, we are governed by the provisions of Section 203 of the Delaware General Corporation Law (“DGCL”),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subject to limited exceptions, that the Court of Chancery of the State of Delaware and the federal district courts of the United States will be the sole and exclusive forum for certain stockholder litigation matters, which could limit our stockholders’ ability to obtain a chosen judicial forum for disputes with us or our directors, officers, employees or stockholders.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Bylaws provide that, unless otherwise consented to by us in writing, the Court of Chancery of the State of Delaware (or, if the Court of Chancery does not have jurisdiction, another State court in Delaware or the federal district court for the District of Delaware) shall, to the fullest extent permitted by law, be the sole and exclusive forum for the following types of actions or proceedings: (i) any derivative action or proceeding brought on behalf of the Company; (ii) any action asserting a claim of breach of a fiduciary duty owed by, or otherwise wrongdoing by, any of our directors, officers, or other employees to us or our stockholders; (iii) any action arising pursuant to any provision of the DGCL or the Certificate of Incorporation or the Bylaws; (iv) any action to interpret, apply, enforce or determine the validity of the Certificate of Incorporation or the Bylaws; or (v) any other action asserting a claim that is governed by the internal affairs doctrine, in all cases subject to the court having jurisdiction over indispensable parties named as defendants. The Bylaws further provide that, unless otherwise consented to by the Company in writing, the federal district courts of the United States will be the sole and exclusive forum for the resolution of any complaint asserting a cause of action arising under the Securities Act against any person in connection with any offering of the Company’s securities, including any auditor, underwriter, expert, control person or other defendant. These provisions would not apply to suits brought to enforce a duty or liability created by the Exchange Act.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our securities shall be deemed to have notice of and consented to these provisions. These choice of forum provisions may limit a stockholder’s ability to bring a claim in a judicial forum of its choosing for disputes with the Company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provisions contained in the Bylaws to be inapplicable or unenforceable in an action, we may incur additional costs associated with resolving such action in other jurisdictions, which could harm our business, operating results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our Common Stock in the foreseeable future. Consequently, investors may need to rely on sales of their shares after price appreciation, which may never occur, as the only way to realize any future gains on their investment.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employees and qualified personnel, our ability to compete could be harmed.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executive officers, key employees and other qualified personnel. Achieving this objective may be difficult due to many factors, including fluctuations in global economic and industry conditions, management or organizational changes, the availability of qualified employees, evolving immigration and export control policies and restrictions, the attractiveness of our compensation and benefit programs, our career growth and development opportunities, and our employment policies. Specifically, as we build our brand and become more well known, there is increased risk that competitors or other companies will seek to hire our personnel. None of our employees are bound by a non-competition agreement. The failure to attract, integrate, train, motivate and retain these personnel could seriously disrupt our operations and harm our business and prospects. Further, any future reduction in force may yield unintended consequences, such as making future retention and recruiting of qualified personnel more difficult, attrition beyond our planned reduction in workforce, decline in employee productivity and reduced employee morale, which may cause our remaining employees to seek alternative employment.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highly dependent on the services of our senior technical and management personnel, who would be difficult to replace. Any changes in our management team, including if any senior management or key technical personnel were to depart, could negatively impact our prospects, trigger further departures and limit our ability to operate and grow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facilities or operations could be damaged or adversely affected by natural disasters and other catastrophic events outside of our control.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could be adversely affected by events outside of our control, such as natural disasters, wars, epidemics, pandemics, and other calamities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economic, financial or banking crisis, or perceived threat of such a crisis, including a significant decrease in consumer confidence, may materially and adversely affect our business, financial condition and results of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recent years, the United States and global economies suffered dramatic downturns as a result of the COVID-19 pandemic,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and volatility in the capital and credit markets and uncertainty with respect to the health of the U.S. banking system. For example, in 2023, Silicon Valley Bank was closed by the California Department of Financial Protection and Innovation and the Federal Deposit Insurance Corporation was named receiver. Similarly, other institutions have been, and may continue to be, swept into receivership. Uncertainty over liquidity concerns in the broader financial services industry may have unpredictable impacts to our business and our industry. The U.S. and certain foreign governments have taken unprecedented actions in an attempt to address and rectify these extreme market and economic conditions by providing liquidity and stability to the financial markets. If in future crises governments refuse to take such actions or if the actions taken by these governments are not successful, and/or if the uncertainty in the macroeconomic environment, including elevated inflation concerns, elevated interest rates, tighter credit, currency fluctuations, changes in tariffs and trade restrictions, or concerns or speculation about similar banking disruption events or risks, continues, the resulting adverse economic conditions could lead to market-wide liquidity problems and other disruptions, which may negatively impact the demand for our solid-state battery cells and may negatively impact our liquidity and ability to raise capital, if needed, on a timely basis and on acceptable terms or at all.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materially affected by the enactment of legislation implementing changes in the U.S. or foreign taxation of business activities or the adoption of other tax reform policies.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or foreign taxation of such activities may increase our worldwide effective tax rate and harm our business, results of operations, and financial condition. For example, the Organisation for Economic Co-operation and Development ("OECD") has proposed implementing changes to existing tax laws, including a proposed 15% global minimum tax (“Pillar Two”). Numerous countries have enacted or are enacting tax legislation to adopt this global minimum tax. The OECD and participating jurisdictions have recently agreed to a side-by-side system that would allow U.S.-parented multinational corporations to operate under existing U.S. minimum tax rules and be exempt from certain provisions of Pillar Two for fiscal years beginning on or after January 1, 2026. Further, under the One Big Beautiful Bill Act (the “OBBBA”), we are no longer required to capitalize domestic research and experimental expenditures, but we are still required to amortize foreign research and experimental expenditures over 15 years. We do not believe the provisions under the OBBBA had a material impact on our financial statements. However, these changes, and others in the OBBBA or other new legislation may impact our effective tax rate and our cash tax liability in future years.</w:t>
      </w:r>
    </w:p>
    <w:p>
      <w:pPr>
        <w:spacing w:after="0" w:line="2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(the “IRA”) included numerous incentives and tax credits aimed at reducing the effects of climate change, such as the extension and expansion of EV charging infrastructure tax credits under Section 30C of the Internal Revenue Code of 1986 (the “Code”), the expansion of tax credits for EVs under Section 30D of the Code, the expansion of advanced manufacturing facility tax credits under Section 48C of the Code, and enactment of advanced manufacturing production credits for eligible component production in the United States under Section 45X of the Code. Such tax credits may potentially benefit incumbents more than new entrants, and consequently have adverse competitive effects for new entrants. However, several of these provisions were modified by the OBBBA. The Section 30D credit terminated on September 30, 2025, and the Section 30C credit will terminate on July 30, 2026.</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changes made by the OBBBA could materially reduce the demand for EVs, which could adversely impact the battery demand for EVs and have an adverse impact on our business. Other incentives may expire on a particular date, end when the allocated funding is exhausted, or be reduced or terminated as a matter of regulatory or legislative policy. Any other reduction in rebates, tax credits or other financial incentives could materially reduce the demand for EVs, which could adversely impact the battery demand for EVs, or materially reduce the amount of incentives available for the manufacture of our products and have an adverse impact on our business. While certain tax credits and other incentives for EVs have been available in the past, there is no guarantee these programs will be available in the future. The impact of future changes to U.S. and foreign tax law on our business is uncertain and could be adverse, and we will continue to monitor and assess the impact of any such changes.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deferred tax assets to offset future taxable income is subject to certain limitations, which may have a material impact on our business, financial condition or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is subject to limitations on its ability to use its pre-change net operating loss carryforwards (“NOLs”) to offset future taxable income. An “ownership change” is generally defined as a greater than 50 percentage point change (by value) in a corporation’s equity ownership by certain stockholders over a three-year period. Similar provisions of state tax law may also apply to limit our use of accumulated state tax attributes. As a result, even if we earn net taxable income in the future, our ability to use our pre-change NOLs and other tax attributes to offset such future taxable income or tax liability may be subject to limitations. In the event that it is determined that we have in the past experienced an ownership change, or if we experience one or more ownership changes in the future, our ability to use these pre-change NOLs and other pre-change tax attributes to offset U.S. federal taxable liability may be further limited, which could potentially result in increased future tax liability to us.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also a risk that changes in law or regulatory changes, including suspensions on the use of net operating losses or tax credits, possibly with retroactive effect, may result in our existing net operating losses or tax credits expiring or otherwise being unavailable to offset future income tax liabilities. Limitations may also apply under state law. For example, recently enacted California legislation limits the use of state NOLs for tax years beginning on or after January 1, 2024 and before January 1, 2027.</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such limitations and changes in law, certain of our deferred tax assets may expire unutilized or underutilized, which could prevent us from offsetting future taxable income. We continue to assess the realizability of our deferred tax assets in the future. Future adjustments in our valuation allowance may be required, which may have a material impact on our quarterly and annual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protect us from all business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in the ordinary course of business, to losses resulting from products liability, cyber-attacks, accidents, acts of God, and other claims against us, for which we may have no insurance coverage. As a general matter, the policies that we do have may include significant deductibles or self-insured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“QS”. If we were to fail to meet the requirements and standards of Nasdaq and if Nasdaq were to consequently delist our Class A Common Stock from trading on its exchange and we are not able to list such securities on another national securities exchange, we expect such securities could be quoted on an over-the-counter market. If this were to occur, we and our stockholders could face significant material adverse consequences including: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expenses and administrative burdens as a public company, which could have an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administrative and other costs and expenses associated with being subject to the reporting requirements of the Exchange Act, corporate governance requirements and listing standards. In addition, the Sarbanes-Oxley Act of 2002 (the “Sarbanes-Oxley Act”), including the requirements of Section 404, as well as rules and regulations subsequently implemented by the SEC, the Dodd-Frank Wall Street Reform and Consumer Protection Act of 2010 and any rules and regulations promulgated and to be promulgated thereunder, the PCAOB and the securities exchanges, impose additional reporting and other obligations on public companies. Meeting the standards and controls required of a public company in the United States requires significant ongoing costs. It is possible that we will be required to further expand our employee base and hire additional employees to support our operations, particularly as such standards and controls continue to change over time, which will increase our operating costs in future periods.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Compliance with evolving public company requirements may continue to increase costs and make certain activities more time-consuming. In addition, expenses associated with SEC reporting requirements have been and will continue to be incurred. Furthermore, if any issues in complying with those requirements are identified, such as a material weakness in our internal controls that requires a restatement of previously issued consolidated financial statements, we could incur additional costs rectifying those or new issues, and the existence of these issues could adversely affect our reputation or investor perceptions of it. The cost of director and officer liability insurance is significant and risks associated with our status as a public company may make it more difficult to attract and retain qualified persons to serve on our Board or as executive officers. The reporting and other obligations imposed by these rules and regulations have resulted in and may continue to result in significant accounting, administrative, financial compliance and legal costs. These costs have required and may continue to require us to divert a significant amount of money that could otherwise be used to expand the business and achieve strategic objectives. Advocacy efforts by stockholders and third parties have prompted and in the future may also prompt additional changes in governance and reporting requirements, which could further increase costs.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our business could be adversely affected, and we may not be able to accurately report our financial condition or results of operations which may adversely affect investor confidence in us and, as a result, the value of our Class A Common Stock.</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under Section 404 of the Sarbanes-Oxley Act, to furnish annual reports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2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Sarbanes-Oxley Act and the rules and regulations promulgated by the SEC, we are required to furnish in this Report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we have previously identified and had to remediate a material weakness and the effectiveness of our internal controls in future periods is subject to the risk that our controls may become inadequate because of changes in conditions. Establishing, testing and maintaining an effective system of internal control over financial reporting requires significant resources and time commitments on the part of our management and our finance staff, which may require additional staffing and infrastructure investments and would increase our costs of doing business.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federal securities laws, our auditors are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Class A Common Stock to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risks arising from the complexity of financial transactions and the associated accounting and financial reporting requirements.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involves complex financial transactions, including but not limited to stock-based compensation, lease accounting, and income tax provisions. The accounting rules and regulations governing these areas are frequently changing and require significant judgment in their application. As our operations grow in scale and complexity, the risk of material errors or omissions in our financial statements increases. For example, in July 2025, we amended the Collaboration Agreement with the goal of funding certain part of the research and development under the PowerCo Collaboration Agreement. The arrangement involved complex accounting judgments under U.S. GAAP, including classification of payments received from PowerCo with no contractually stated repayment terms as a liability, as well as derecognition of the liability to shareholders’ equity upon extinguishment, driven by the significant related party relationship with Volkswagen Group, which creates a presumption of a repayment obligation.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properly interpret or apply accounting standards could result in restatements of prior financial statements, regulatory scrutiny, loss of investor confidence, or reputational harm. Additionally, maintaining compliance with these complex accounting requirements requires significant internal resources, including skilled personnel and robust systems. Any failure in our internal controls over financial reporting could adversely impact our ability to produce accurate and timely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the market in which we operate, or if they change their recommendations regarding our securities adversely, the price and trading volume of our securities could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cover us change their recommendation regarding our shares of Class A Common Stock adversely, or provide more favorable relative recommendations about our competitors, the price of our shares of Class A Common Stock would likely decline. If any analyst who covers us were to cease our coverage of us or fails to regularly publish reports on us, we could lose visibility in the financial markets, which in turn could cause the price or trading volume of our Class A Common Stock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managing and disclosing, as necessary, risks from cybersecurity threats, and have integrated these processes into our overall risk management systems and processes as described below.</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routinely assess material risks from cybersecurity threats, including from any potential unauthorized occurrence on or conducted through our information systems that may result in adverse effects on the confidentiality, integrity, or availability of our information systems or any information residing therein. These risk assessments are designed to identify internal and external risks, the likelihood and potential damage that could result from such risks, and the sufficiency of existing policies, procedures, systems, and safeguards in place to manage such risks. Following these risk assessments, we evaluate whether and how to re-design, implement, and maintain safeguards intended to address and minimize identified risks and continue monitoring and testing the effectiveness of such safeguards.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devote significant resources and have designated senior management to manage the cybersecurity and information security risk assessment and mitigation process. We have established an internal security committee that includes members of our information security/technology, internal audit/compliance, finance and accounting, people operations, and legal teams, to instill a thoughtful security culture across our Company. Our employees and contractors are made aware of our cybersecurity policies through mandatory trainings during onboarding and on an annual basis. We also engage and consult with third parties in connection with our risk assessment processes, including advisors, consultants and auditors. These service providers assist us to design and implement our cybersecurity policies and procedures, as well as to monitor and test our safeguards.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deploys multiple tools and processes to monitor the prevention, detection, mitigation, and remediation of cybersecurity incidents, both internal and associated with the use of any third-party service provider.</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experienced a material security breach in our systems, and, to our knowledge, there have not been any material compromises of our confidential information in our third-parties’ systems, nor have we incurred any significant expenses or penalties to resolve or settle any security breach in the past three years. For additional information regarding whether any risks from cybersecurity threats are reasonably likely to materially affect our Company, including our business strategy, results of operations, or financial condition, please refer to Item 1A, “Risk Factors – Our Business Risks – Our ability to manage our business is highly dependent on IT systems and our website, systems, and data we maintain may be subject to intentional or inadvertent disruption, security incidents, or alleged violations of laws, regulations, or other obligations relating to data handling that could adversely impact our reputation and future sales,” in this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well as through the audit committee, which has been tasked with such oversight in the audit committee charter. The audit committee of our board of directors reviews cybersecurity and information security risks and mitigation strategies; the audit committee receives periodic updates on information security and privacy, and the full board receives at least an annual update.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information security team has many years of experience implementing cybersecurity at technology and research and development companies, and together with our internal information security committee, is primarily responsible for assessing and managing our material risks from cybersecurity threats.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head of information security periodically provides briefings to our internal security committee and to the audit committee and board of directors on an annual basis regarding our Company’s cybersecurity risks and activities, including, as applicable, any recent cybersecurity incidents and related responses and remediation efforts, cybersecurity systems testing, activities of third parties, policies and the like. We have internal guidelines governing our identification, assessment, communication, and escalation upon the occurrence of a cybersecurity incident. Depending on the nature and severity of an incident, this process provides for escalating notification to a special executive security committee and the chair of the audit committee, among others as needed, to manage the Company’s response. These governance and escalation processes are designed to facilitate decision-making, promote accountability, and support the oversight and management of the Company’s cybersecurity risk.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headquartered in San Jose, California. Our facilities, which are primarily in San Jose, California include certain leased properties for our offices and engineering, research and development, and cell build pilot line.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legal proceedings is available in Note 7, Commitments and Contingencies, to the consolidated financial statements in this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51" w:name="page52"/>
    <w:bookmarkEnd w:id="51"/>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December 23, 2025, our Class A Common Stock was listed and began trading on Nasdaq under the symbol “QS”. From November 27, 2020 through December 22, 2025, our Class A Common Stock was listed on the NYSE under the symbol “QS”. Prior to November 27, 2020, there was no public trading market for our Class A Common Stock. Our Class B Common Stock is neither listed nor traded.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18, 2026, there were approximately 57 holders of record of our shares of Class A Common Stock and approximately 4 holders of record of our shares of Class B Common Stock. The actual number of stockholders of our common stock is greater than this number of record holders and includes stockholders who are beneficial owners but whose shares of common stock are held in street name by banks, brokers and other nominees.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do not anticipate declaring any cash dividends to holders of our common stock in the foreseeable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Historically, we have compared the cumulative total return on our Class A Common Stock with that of the NYSE Composite Index, the Russell 1000 and the PBW - Invesco WilderHill Clean Energy ETF. In connection with our listing transfer from the NYSE to the Nasdaq in December 2025, we have replaced the NYSE Composite Index with the Nasdaq Composite Index. In accordance with Item 201(e) of Regulation S-K, the NYSE Composite Index is included in the performance graph for the year ended December 31, 2025 for comparability purposes but will not be included in future filings.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chart compares the changes in cumulative total return on our Class A Common Stock with the changes in cumulative total returns of the Nasdaq Composite Index, the Russell 1000 Index, the PBW - Invesco WilderHill Clean Energy ETF, and the NYSE Composite Index for the period from December 31, 2020 through December 31, 2025. The chart assumes $100 was invested in each of the Company's common stock, the Nasdaq Composite Index, the Russell 1000 Index, the PBW - Invesco WilderHill Clean Energy ETF, and the NYSE Composite Index on December 31, 2020. The comparisons in this chart are required by the SEC and are not intended to forecast or be indicative of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59690</wp:posOffset>
            </wp:positionV>
            <wp:extent cx="4217670" cy="3402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1767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audited consolidated financial statements and the related notes appearing elsewhere in this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as set forth in this Report. Unless the context otherwise requires, references in this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to “the Company”, “we”, “us” and “our” refer to the business and operations of QuantumScape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its consolidated subsidiaries.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developing next-generation solid-state lithium-metal battery technology for EVs and other applications. We believe that our technology will enable a new category of battery that meets the requirements for broader market adoption. The lithium-metal solid-state battery technology that we are developing is being designed to offer greater energy density, faster charging, and greater safety when compared to today’s conventional lithium-ion batteries.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development-stage company with no revenue to date, have incurred a net loss from operations of approximately $472.6 million for the year ended December 31, 2025, and an accumulated deficit of approximately $3.8 billion from our inception through December 31, 2025. We expect to incur significant expenses and continuing losses for the foreseeable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pre-revenue company. We believe that our performance and future success depend on several factors that present significant opportunities for us but also pose significant risks and challenges, including those discussed below and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appearing elsewhere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demonstrated capabilities of our solid-state separator and battery technology in single-layer and multilayer cell cycling data, and in 2022, shipped our first A0 prototype battery cells to multiple OEMs for testing. Following that shipment, we continued focusing our research and development on subsequent generations of prototype samples incorporating advances in cell functionality, process and reliability, as well as bringing online our pilot line in San Jose, California. In 2023, we announced our first targeted commercial product, the QSE-5, a cell with a capacity of approximately 5 amp-hours as further described under the “Research and Development” section in Item 1 above. In 2024, we began producing low volumes of our first B-sample cells, and we began shipping these cells for automotive customer testing. These are B-samples of our first product, QSE-5, with an energy density of over 800 Wh/L and &lt;15 minute 10% to 80% fast-charging capability. In 2025, together with Volkswagen and PowerCo, we had the first live demonstration of our solid-state lithium-metal battery technology powering a Ducati V21L electric motorcycle at the IAA Mobility event that included B1 samples of our QSE-5 cell from our more efficient separator production processes.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Development</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Our architecture depends on our proprietary solid-state ceramic separator. Though our separator’s design is unique, our early-generation process relied on established or similar high-volume production processes already deployed in other industries. We, together with our partners, are developing subsequent, proprietary higher-volume separator production processes that seek to further reduce cost, increase throughput, and improve quality.</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separator is being designed to enable our ‘anode-free’ architecture. As manufactured, our solid-state battery cell has no anode; the lithium-metal anode is formed during the first charge of the cell. The lithium that forms the anode comes from the cathode material we purchase. Eliminating the anode bill of materials and associated manufacturing costs found in conventional lithium-ion cells could result in a meaningful cost of goods sold (COGS) advantage once sufficient scale and process maturity are achieved. In addition, our solid-state battery cell is being designed to reduce the time and capital-intensity of the formation and aging process step as compared to conventional lithium-ion manufacturing.</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focused on the throughput and capability of our pilot line in San Jose, California. As part of the continued expansion of our throughput we are automating our production process and purchasing higher throughput battery-cell production equipment.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Our pilot line is intended to serve four purposes. First, to provide a sufficient quantity of separators and cells for internal development and customer sampling and testing. Second, to provide the basis for continued production process development and to help inform equipment selection and specifications for future production activities by us or our partners. Third, we target the initial production of QSE-5 cells from the pilot line. Fourth, to support collaboration and future technology transfer activities as part of the collaboration and licensing arrangements with PowerCo as well as potential future commercial arrangements. Delays in the successful start-up and continued development of our pilot line may impact both our development and future scale-up timelines.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achieve significant cost savings in battery design and production, in addition to the cost savings associated with the elimination of an anode from our solid-state battery cells as manufactured, while controlling costs associated with the manufacture of our separator, including achieving substantial improvements in quality, consistency, reliability, throughput and safety required to hit commercial targets. Further, we will need to capture industry cost savings in the materials, components, equipment, facilities design, and processes for products we develop, notably in the cathode and cell design. As we advance our licensing business model, we anticipate our partners will need to achieve similar cost savings in battery design and production, and capture industry cost savings.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and Market Focus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focused on automotive EV applications, which have among the most stringent sets of requirements for batteries. Meanwhile, we see opportunities for our solid-state battery technology in other large and growing markets including consumer electronics, data centers, defense, and others and we intend to explore such opportunities as appropriate. The automotive qualification process generally includes several major delivery milestones of A, B and C samples. Each major sampling stage may consist of several generations of increasingly mature prototypes. The timelines for each stage involve uncertainty and will be influenced by a number of factors, including product and process development risks; the specification, ordering, and qualification of production equipment; other supply chain dynamics; and OEM validation timeframes.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demonstrated capabilities of our solid-state separator and battery technology in single-layer and multilayer solid-state cells in commercially relevant areas (ranging from approximately 60x75mm to 70x85mm). We will work to continue improving quality, consistency, reliability, throughput, and safety and optimize all components of the cell. We will continue to work to further develop our production processes to enable increasing volumes of prototype shipments and, through successful technology transfer, high volume manufacturing by our licensing partners.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2024, we entered into the Collaboration Agreement with the goal of PowerCo industrializing QS technology based on QSE-5. PowerCo was formed by Volkswagen in 2022 as a company intended to consolidate Volkswagen’s activities in the development and production of battery cells. In connection with the Collaboration Agreement and subject to the completion of certain milestones, we and PowerCo intend to enter into the PowerCo IP License Agreement under which we will grant PowerCo a non-exclusive, limited, royalty-bearing license to use the QS technology based on QSE-5 for the purpose of manufacturing and selling batteries primarily for automotive applications, and PowerCo will pre-pay an initial royalty fee of $130 million, against which any future royalties due will be credited. The initial royalty is subject to a time-based diminishing clawback if the PowerCo IP License Agreement is terminated early by PowerCo under certain conditions. In July 2025, we entered into an amendment and restatement of the Collaboration Agreement and entered into a statement of work outlining the scope and responsibilities of the joint scale-up team working at our battery development pilot line in San Jose, California for the development, validation, demonstration, and initial commercialization of QS battery cell technology based on QSE-5 and toward the transfer of such technology into cell size determined by PowerCo (the “Project”). PowerCo has agreed to contribute up to $130.7 million for the Project over the next two years, subject to the completion of certain milestones by the joint scale-up team.</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signed agreements with PowerCo with the goal of commercializing our battery technology, we intend to continue working closely with automotive OEMs to make our solid-state battery cells widely available over time. We have also signed agreements, including customer sampling, technology evaluation and joint development agreements, with a number of OEMs, ranging from leading manufacturers by global revenue to premium performance and luxury carmakers, to collaborate with us in the testing and validating of our solid-state battery cells with the goal to include such cells into pre-production prototype vehicles and ultimately into serial production vehicles.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technology enables a variety of business models and presents opportunities with a variety of potential customers, such as automotive OEMs, end-users, and licensees, as applicable. In addition to the collaboration with PowerCo, which contemplates a licensing arrangement, we may operate solely-owned manufacturing facilities, license technology to other manufacturers, or enter into joint venture arrangements, among other approaches. We intend to continue to invest in research and development to improve battery cell performance, improve production processes, and reduce cost.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our cash and cash equivalents and marketable securities were approximately $970.8 million. Changes to our technology development, operating costs and scale-up, including our ability to meet the milestones for entry into the PowerCo IP License Agreement, receipt of the related initial royalty fee from PowerCo, and achievement of the Project milestones for receipt of Project contributions from PowerCo, could materially impact us and the availability of our capital resources. We may also need additional cash resources due to changed business conditions or other developments, including unanticipated delays in negotiations with automotive OEMs or other customers and tier-one automotive suppliers or other suppliers, supply chain challenges, competitive pressures, inflation, instability in global economic markets, increased trade tariffs, and regulatory developments, among others. To the extent that our current resources are insufficient to satisfy our cash requirements, we may need to seek additional equity or debt financing. If such financing is not available, or if the financing terms are onerous or less desirable than we expect, we may be forced to decrease our level of investment in product development or scale back our operations, which could have an adverse impact on our business and financial prospects.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an industry that is subject to many established environmental regulations, which have generally become more stringent over time, particularly in hazardous waste generation and disposal and pollution control. Regulations in our target markets include economic incentives to purchasers of EVs, tax credits for EV manufacturers, and economic penalties that may apply to a car manufacturer based on its fleet-wide emissions which may indirectly benefit us to the extent that the regulations expand the market size of EVs. While we also expect environmental regulations to provide a tailwind to our growth, it is possible for certain regulations to result in margin pressures. Trade restrictions and tariffs, while historically minimal between the European Union and the United States where most of our production and sales are initially expected, are subject to unknown and unpredictable changes that could impact our ability to meet projected sales or margins. In addition, there are government regulations pertaining to battery safety, transportation of batteries, use of batteries in cars, and factory safety. We will ultimately have to comply with these regulations to sell our batteries into the market. The license and sale of our battery technologies abroad is likely to be subject to more stringent export controls in the future.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of ATM Offering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we filed a prospectus supplement to a shelf registration statement on Form S-3 (the “Form S-3”) for the issuance and sale of our Class A Common Stock from time to time for an aggregate offering price of up to $400 million (the “ATM offering”). During the year ended December 31, 2024, 24.9 million shares of our Class A Common Stock were sold pursuant to the ATM offering for aggregate proceeds of approximately $128.5 million, net of issuance costs paid. During the year ended December 31, 2025, 29.5 million shares of Class A Common Stock were sold pursuant to the ATM offering for aggregate proceeds of approximately $264.2 million, net of issuance costs including the commission fees to the sales agents of approximately $4.0 million, completing our ATM offering.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and were conducted primarily in the United States. Our historical results are reported under United States of America generally accepted accounting principles (“U.S. GAAP”) and in U.S. dollars. Upon commencement of commercial operations, we expect to expand our global operations substantially, including in the United States and the European Union, and as a result we expect our future results to be sensitive to foreign currency transaction and translation risks and other financial risks that are not reflected in our historical financial statements. As a result, we expect that the financial results we report for periods after we begin commercial operations will not be comparable to the financial results included in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research and development stage company and we have not generated any revenues to date.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our research and development expenses have consisted primarily of personnel-related expenses for scientists, experienced engineers and technicians as well as costs associated with the construction and ramp up of our pilot line in San Jose, including the material and supplies to support the product development and process engineering efforts. As we ramp up our engineering operations to complete the development of our solid-state, lithium-metal batteries and required process engineering to meet automotive cost targets, we anticipate that research and development expenses will increase significantly for the foreseeable future as we continue to invest in additional plant and equipment for product development (e.g., multilayer cell stacking, packaging engineering), building prototypes, and testing of battery cells as our team works to meet the full set of automotive product requirements. We also recognize significant non-cash stock-based compensation to employees directly involved in research and development activities. For stock-based compensation awards with performance conditions, such as the restricted stock units with performance conditions (“PSUs”), the non-cash expense recognized is based on a probability assessment of the performance conditions, and as such, research and development expenses may fluctuate in the future as the performance conditions are re-assessed at each reporting period. For more information on the PSUs, see Note 8, Stockholders’ Equity, to our consolidated financial statements included elsewhere in this Report.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ramp toward commercialization of our technology, we will begin to incur expenses that are directly associated with such, including allocation of indirect costs from research and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mainly of personnel-related expenses for our executive, sales and marketing, insurance and other administrative functions as well as outside professional services, including legal, accounting and other advisory services. We are continuing to expand our supporting systems, in anticipation of planning for and supporting the commercialization of our technology and due to the ongoing requirements of being a public company. Accordingly, we expect our general and administrative expenses to increase in the near term and for the foreseeable future. Upon commencement of commercial operations, we also expect general and administrative expenses to include customer and sales support and advertising costs. We also recognize significant non-cash stock-based compensation to executives and certain employees. The non-cash expenses recognized for PSUs are based on a probability assessment of the performance conditions, and as such, general and administrative expenses may fluctuate in the future as the performance conditions are re-assessed at each reporting period.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ramp toward commercialization of our technology, we will begin to incur expenses that are directly associated with such, including allocation of indirect costs from general and administrative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associated with our finance lease for one of our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primarily of interest income from marketable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income (expense) consists of miscellaneous income and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consists of an estimate for U.S. federal and state income taxes and foreign income tax based on enacted rates, as adjusted for allowable credits, deductions, uncertain tax positions, changes in deferred tax assets and liabilities, and changes in tax law. We maintain a valuation allowance against the full value of our U.S. federal and state net deferred tax assets because we believe the recoverability of the tax assets is not more likely than not.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this section, we discuss the results of our operations for the year ended December 31, 2025 compared to the year ended December 31, 2024. For a </w:t>
      </w:r>
      <w:hyperlink r:id="rId79">
        <w:r>
          <w:rPr>
            <w:rFonts w:ascii="Times New Roman" w:cs="Times New Roman" w:eastAsia="Times New Roman" w:hAnsi="Times New Roman"/>
            <w:sz w:val="18"/>
            <w:szCs w:val="18"/>
            <w:color w:val="auto"/>
          </w:rPr>
          <w:t xml:space="preserve">discussion of the year ended December 31, 2024 and the year ended December 31, 2023, please refer to </w:t>
        </w:r>
        <w:r>
          <w:rPr>
            <w:rFonts w:ascii="Times New Roman" w:cs="Times New Roman" w:eastAsia="Times New Roman" w:hAnsi="Times New Roman"/>
            <w:sz w:val="18"/>
            <w:szCs w:val="18"/>
            <w:u w:val="single" w:color="auto"/>
            <w:color w:val="0000FF"/>
          </w:rPr>
          <w:t>Part II, Item 7, “Management’s Discussion and</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FF"/>
          </w:rPr>
          <w:t>Analysis of Financial Condition and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our Annual Report on Form 10-K for the year ended December 31, 2024, which was filed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the SEC on February 26, 2025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-311150</wp:posOffset>
            </wp:positionV>
            <wp:extent cx="22028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27686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 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375,608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382,971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347,945</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35,026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96,996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142,236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131,085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11,151</w:t>
            </w: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472,604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525,207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479,030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(52,603)</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46,177</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(472,604)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(525,207)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(479,030)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52,603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3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44,705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42,892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3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Net (loss) income attributable to non-</w:t>
            </w:r>
          </w:p>
        </w:tc>
        <w:tc>
          <w:tcPr>
            <w:tcW w:w="16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vMerge w:val="restart"/>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vMerge w:val="restart"/>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controlling interest, net of tax of $0</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(435,050)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(477,857)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(445,145)</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42,807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-1713865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-1713865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-1713865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-1713865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-1713865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-1713865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-1422400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-1422400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-1422400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-1422400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-1422400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-1422400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-865505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-865505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-865505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-865505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-865505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-865505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-582295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-582295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-582295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-582295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-582295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-582295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research and development expense in the year ended December 31, 2025 compared to the year ended December 31, 2024 primarily resulted from a decrease of $14.8 million in non-cash stock-based compensation expense primarily due to the full amortization of awards, forfeitures, lower headcount, and changes in the estimated milestones for performance based awards, a decrease of $14.4 million in personnel cost primarily due to lower headcount, and a decrease of $3.3 million in material supplies, offset primarily by an increase of $13.2 million in write-off of fixed assets no longer in use, including the leasehold improvements associated with the lease termination, an increase of $7.9 million related to depreciation and amortization, and an increase of $4.1 million in expensed equipment.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general and administrative expenses in the year ended December 31, 2025 compared to the year ended December 31, 2024 primarily due to a net $24.5 million litigation settlement charged in the year December 31, 2024 associated with the class action lawsuits that were filed beginning January 2021, a decrease of $18.6 million in charges related to other legal matters, professional fees, outside services and office administration, and a decrease of $2.3 million in non-cash stock-based compensation expense primarily due to the full amortization, forfeitures, lower headcount, and changes in the estimated milestones for performance based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interest income during the year ended December 31, 2025 compared to the year ended December 31, 2024 was mainly due to the decrease in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for the years ended December 31, 2025 and 2024 consisted of miscellaneous income and expense that were not material individually or in aggregate.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2025 and the income tax benefit for the year ended December 31, 2024 were not material.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our cash and cash equivalents and marketable securities were approximately $970.8 million and $910.8 million, respectively. Our cash equivalents are invested in U.S. money market funds, U.S. Treasury bonds and commercial paper. Our marketable securities are invested in U.S. Treasury notes and bonds, commercial paper, and corporate notes and bonds.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To date, we have funded our capital expenditure and working capital requirements through equity as further discussed below. Our ability to successfully develop our products, commence commercial operations and expand our business will depend on many factors, including our working capital needs, the availability of equity or debt financing and, over time, our ability to generate cash flows from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completed a public offering of 37.5 million shares of our Class A Common Stock and received net proceeds of $288.2 million (the “August 2023 Public Offering”).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sold 24.9 million shares of our Class A Common Stock pursuant to the ATM offering and received approximately $128.5 million in proceeds, net of issuance costs paid.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sold 29.5 million shares of our Class A Common Stock pursuant to the ATM offering and received approximately $264.2 million in proceeds, net of issuance costs paid.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cash on hand will be sufficient to meet our working capital and capital expenditure requirements for a period of at least twelve months from the date of this Report. Our future capital requirements are influenced by any changes to our technology development, operating costs and scale-up, including our ability to meet the milestones to enable customer payments or the entry into the PowerCo IP License Agreement and related receipt of the initial royalty fee from PowerCo. We may need additional cash resources due to changed business conditions or other developments, including unanticipated delays in negotiations with automotive OEMs or other customers and tier-one automotive suppliers or other suppliers, supply chain challenges, competitive pressures, inflation, and regulatory developments, among others. To the extent that our current resources are insufficient to satisfy our cash requirements, we may need to seek additional funding through the issuance of equity or debt financing. If such financing is not available, or if the financing terms are onerous or less desirable than we expect, we may be forced to decrease our level of investment in product development or scale back our operations, which could have an adverse impact on our business and financial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Material 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data for the periods indicated (amounts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4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(242,473)</w:t>
            </w:r>
          </w:p>
        </w:tc>
        <w:tc>
          <w:tcPr>
            <w:tcW w:w="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(274,555)</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(240,025)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128,869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(152,532)</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312,806</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144,028</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300,213</w:t>
            </w:r>
          </w:p>
        </w:tc>
      </w:tr>
      <w:tr>
        <w:trPr>
          <w:trHeight w:val="648"/>
        </w:trPr>
        <w:tc>
          <w:tcPr>
            <w:tcW w:w="4580" w:type="dxa"/>
            <w:vAlign w:val="bottom"/>
          </w:tcPr>
          <w:p>
            <w:pPr>
              <w:spacing w:after="0"/>
              <w:rPr>
                <w:sz w:val="24"/>
                <w:szCs w:val="24"/>
                <w:color w:val="auto"/>
              </w:rPr>
            </w:pPr>
          </w:p>
        </w:tc>
        <w:tc>
          <w:tcPr>
            <w:tcW w:w="2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used in operating activities to date have been primarily driven by the growth in our underlying business to support the research and development of next-generation battery technology. As of December 31, 2025, our operating lease commitments are approximately $7.1 million during the next twelve months and approximately $41.5 million thereafter. From time to time, we also enter into non-cancellable service and purchase commitments. We are expecting cash used in operating activities to include payments of approximately $2.6 million in the next twelve months and approximately $2.2 million thereafter through 2027 for our non-cancellable commitments as of December 31,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2025 was primarily driven by a net loss of $435.1 million, offset by non-cash expense of $127.5 million related to stock-based compensation, non-cash expense of $65.6 million related to depreciation and amortization, non-cash expense of $26.6 million related to the write-off of property and equipment, non-cash lease expense and amortization of right-of-use assets of $7.7 million. Cash used in the operating activities was further driven by $19.0 million related to accretion of discounts on marketable securities, a decrease of $6.8 million in accounts payable, accrued liabilities and accrued compensation and benefits, and a decrease of $4.8 million in operating lease liabilities.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2024 was primarily driven by a net loss of $477.9 million, offset by non-cash expense of $144.7 million related to stock-based compensation, non-cash expense of $57.8 million related to depreciation and amortization, non-cash expense of $13.3 million related to the write-off of property and equipment, non-cash lease expense and amortization of right-of-use assets of $8.0 million. Cash used in the operating activities was further driven by $29.3 million related to amortization of premiums and accretion of discounts on marketable securities and a decrease of $5.1 million in operating lease liabilities, and offset by an increase of $15.0 million in accounts payable, accrued liabilities and accrued compensation and benefits.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during the year ended December 31, 2023 was primarily driven by a net loss of $445.1 million, offset by non-cash expense of $166.3 million related to stock-based compensation, non-cash expense of $42.0 million related to depreciation and amortization, non-cash expense of $21.5 million related to the write-off of property and equipment, and non-cash lease expense and amortization of right-of-use assets of $7.8 million. These were partially adjusted by $18.9 million related to amortization of premiums and accretion of discounts on marketable securities, and an increase of $7.5 million in prepaid expenses and other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from investing activities to date have been comprised of purchases of property and equipment and purchases, maturities and sales of our marketable securities. We expect the level of capital investment to increase substantially in the near future as we acquire the property and equipment for and build out our pilot line.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2025 primarily consists of proceeds from the maturity of marketable securities of $1.13 billion. These were offset by $1.08 billion used for the purchase of marketable securities and $36.3 million used for the purchase of various property and equipment, primarily to support our research and development activities.</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2024 primarily consists of proceeds from the maturity and sale of marketable securities of $1.5 billion and $1.2 million, respectively. These were offset by $1.3 billion used for the purchase of marketable securities and $62.1 million used for the purchase of various property and equipment, primarily to support our research and development activities.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2023 primarily consists of $1.1 billion used for the purchase of marketable securities and $84.5 million used for the purchase of various property and equipment, primarily to support our research and development activities. These were offset by the proceeds from the maturity and sale of marketable securities of $1.0 billion and $1.5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cash flows from financing activities primarily consist of proceeds from the issuance of common stock and exercise of stock options. Finance lease commitment for one of our buildings will result in net cash payments of $5.4 million in the next twelve months and payments of $33.6 million thereafter.</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2025 is primarily due to approximately $264.2 million in net proceeds from the ATM offering, $32.3 million received from the exercise of stock options and our employee stock purchase plan, and $19.5 million capital contribution received under the PowerCo Collaboration Agreement with no shares issued.</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2024 is primarily due to approximately $128.5 million in net proceeds from the ATM offering and $20.1 million received from the exercise of stock options and our employee stock purchase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ind w:right="260"/>
        <w:spacing w:after="0" w:line="282" w:lineRule="auto"/>
        <w:rPr>
          <w:sz w:val="20"/>
          <w:szCs w:val="20"/>
          <w:color w:val="auto"/>
        </w:rPr>
      </w:pPr>
      <w:r>
        <w:rPr>
          <w:rFonts w:ascii="Times New Roman" w:cs="Times New Roman" w:eastAsia="Times New Roman" w:hAnsi="Times New Roman"/>
          <w:sz w:val="18"/>
          <w:szCs w:val="18"/>
          <w:color w:val="auto"/>
        </w:rPr>
        <w:t>The cash provided by financing activities during the year ended December 31, 2023 is primarily due to $288.2 million in net proceeds received from the August 2023 Public Offering and, $14.0 million received from the exercise of stock options and our employee stock purchase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In the preparation of these consolidated financial statements, we are required to use judgment in making estimates and assumptions that affect the reported amounts of assets and liabilities and the disclosure of contingent assets and liabilities as of the date of the consolidated financial statements, as well as the reported expenses incurred during the reporting periods.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Summary of Significant Accounting Policies, to our audited consolidated financial statements included elsewhere in this Report. We believe that the following accounting estimates are the most critical to fully understand and evaluate our reported financial results, as they require our most subjective or complex management judgments, resulting from the need to make estimates about the effect of matters that are inherently uncertain and unpredictable.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share-based awards under our equity plans include stock options, restricted stock units with service conditions only (“RSU”), PSU and performance-based awards under the EPA Program. We recognize the cost of share-based awards granted to employees and directors based on the estimated grant-date fair value of the awards, and compensation expense is recognized on a straight-line basis over the requisite service period. For share-based awards with only service conditions, the requisite service period is generally the vesting period. We reverse previously recognized costs for unvested awards in the period that forfeitures occur.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RSUs and PSUs are measured on the grant date based on the closing fair market value of our common stock.</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values of options granted with performance (e.g., business milestone) and market conditions (e.g., stock price target) are estimated at the grant date using a Monte Carlo simulation model.</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performance-based awards with a vesting schedule based entirely on the attainment of both performance and market conditions, each quarter the Company assesses whether it is probable that it will achieve each performance condition that has not previously been achieved or deemed probable of achievement and if so, the future time when the Company expects to achieve that business milestone, or its “expected business milestone achievement time.” When the Company first determines that a business milestone has become probable of being achieved, the Company allocates on a straight-line basis the entire expense for the related tranche over the number of quarters between the grant date and the then-applicable “expected vesting date,” which represents the requisite service period. The requisite service period at any given time is generally the period between the grant date and the later of (i) the expected time when the performance condition will be achieved (if the related performance condition has not yet been achieved) and (ii) the expected time when the market condition will be achieved (if the related market condition has not yet been achieved). The Company immediately recognizes a cumulative catch-up expense for all accumulated expense for the quarters from the grant date through the quarter in which the performance condition was first deemed probable of being achieved. Each quarter thereafter, the Company recognizes the then-remaining expense for the tranche through the end of the requisite service period except that upon vesting of a tranche, all remaining expense for that tranche is immediately recognized. The Company accounts for forfeitures when they occur. The fair value of such awards is estimated on the grant date using Monte Carlo simulations, which is impacted by the following assumptions: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—We estimated the expected term based on the midpoint between the time of vesting and the remaining time to expiration.</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—Given the limited market trading history of our common stock, volatility is based on a weighted blend of (i)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peer companies within the automotive and energy storage industries multiplied by a ratio of our volatility based on available stock price data as compared to the average volatility of our peer companies over the same period and (ii) our implied volatility from exchange traded options.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Equity</w:t>
      </w:r>
      <w:r>
        <w:rPr>
          <w:rFonts w:ascii="Times New Roman" w:cs="Times New Roman" w:eastAsia="Times New Roman" w:hAnsi="Times New Roman"/>
          <w:sz w:val="18"/>
          <w:szCs w:val="18"/>
          <w:color w:val="auto"/>
        </w:rPr>
        <w:t>—Cost of equity is calculated using (i) risk-free rate, (ii) average peer group market beta and (iii) the market-risk premium.</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stock-based compensation expense is based on the probability assessment of the performance conditions, we may experience significant fluctuation in the non-cash stock-based compensation recognized quarter over quarter. Although the potential stock-based compensation expense that may be recognized over the remaining term of the performance award may be estimated at each of the applicable grant date and the amount is expected to be material to the financial statements in the aggregate, the actual expense recognized may range from zero to the maximum; the actual expense may be recognized over a period less than the remaining term of the performance award; and the amount recognized quarter over quarter is expected to be material and may significantly fluctuate.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3, Recent Accounting Pronouncements, to the audited consolidated financial statements included elsewhere in this Report for more information about recent accounting pronouncements, the timing of their adoption, and, to the extent it has made one, of their potential impact on our financial condition and its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interest risk in our financial instruments and our financial positions represents the potential loss arising from adverse changes in interest rates. As of December 31, 2025, we had cash and cash equivalents and marketable securities of $970.8 million, consisting of interest-bearing money market accounts and marketable securities, for which the fair market value would be affected by change in the general level of U.S. interest rates. As of December 31, 2025, an immediate increase of 100 basis points in interest rates would have resulted in a decline in the fair value of our marketable securities of approximately $3 million. This estimate is based on a sensitivity model that measures market value changes when changes in interest rates occur. Such losses would only be realized if we sold the investments prior to maturity.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could be adversely impacted by inflation, primarily from higher material, labor, and construction costs. To date, we do not believe that inflation has had a material impact to our results of operations, capital resources or liquidity, however, we have experienced increases in prices of raw materials, components and labor costs. Our future mitigation strategies may include considering alternative vendors, vertically integrating certain aspects of our supply chain and redesigning our product or production process. At this time, it is difficult to determine what impact these inflationary pressures will have on our long-term growth strategies, as there is uncertainty regarding how long higher levels of inflation may persist, and to what level we will be successful in passing these increased costs to our customers upon commercialization of our technology. If we are not able to fully offset higher costs through price increases or other corrective measures, this may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functional currency is the U.S. dollar, while certain of our future subsidiaries may have other functional currencies, reflecting their principal operating markets. To date, we have not had material exposure to foreign currency fluctuations and have not hedged such exposure, although we may do so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34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Report of Independent Registered Public Accounting Firm</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(PCAOB ID No.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777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6777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Consolidated Balance Sheets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508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9508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Consolidated Statements of Operations and Comprehensive Income (Loss)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006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006465" cy="8255"/>
                    </a:xfrm>
                    <a:prstGeom prst="rect">
                      <a:avLst/>
                    </a:prstGeom>
                    <a:noFill/>
                  </pic:spPr>
                </pic:pic>
              </a:graphicData>
            </a:graphic>
          </wp:anchor>
        </w:drawing>
      </w: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0563C1"/>
        </w:rPr>
        <w:t>Consolidated Statements of Redeemable Non-Controlling Interest and Stockholders’ Equity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65614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561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2286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42" w:lineRule="exact"/>
        <w:rPr>
          <w:sz w:val="20"/>
          <w:szCs w:val="20"/>
          <w:color w:val="auto"/>
        </w:rPr>
      </w:pPr>
    </w:p>
    <w:p>
      <w:pPr>
        <w:ind w:right="3360"/>
        <w:spacing w:after="0" w:line="532" w:lineRule="auto"/>
        <w:rPr>
          <w:sz w:val="20"/>
          <w:szCs w:val="20"/>
          <w:color w:val="auto"/>
        </w:rPr>
      </w:pPr>
      <w:r>
        <w:rPr>
          <w:rFonts w:ascii="Times New Roman" w:cs="Times New Roman" w:eastAsia="Times New Roman" w:hAnsi="Times New Roman"/>
          <w:sz w:val="18"/>
          <w:szCs w:val="18"/>
          <w:u w:val="single" w:color="auto"/>
          <w:color w:val="0563C1"/>
        </w:rPr>
        <w:t>Consolidated Statements of Cash Flows for the Years ended December 31, 2025, 2024 and 2023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44107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4410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1998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142"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2">
            <w:col w:w="10320" w:space="720"/>
            <w:col w:w="180"/>
          </w:cols>
          <w:pgMar w:left="320" w:top="981"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QuantumScape 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QuantumScape Corporation (the Company) as of December 31, 2025 and 2024, the related consolidated statements of operations and comprehensive income (loss), redeemable non-controlling interest and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performance-based equity awards (Performance-based Stock Units) – stock-based compensation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As discussed in Note 2 and Note 8 to the consolidated financial statements, the Company granted</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performance-based restricted stock units (“PSUs”) to members of the Company’s management team</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and certain other employees in the years ended December 31, 2023, 2024 and 2025. The PSUs vest</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upon the achievement of performance (business milestones) conditions by tranche.</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When the Company determines achievement of a tranche’s related performance condition is</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considered probable, the stock-based compensation expense is recognized over the expected vesting</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period which is the time to achieve the performance condition assuming the service condition has</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also been met. The Company recorded stock-based compensation expense of $14.4 million during the</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year-ended December 31, 2025, fair value of PSU’s vested of $44.2 million, and had $14.0 million of</w:t>
            </w:r>
          </w:p>
        </w:tc>
      </w:tr>
      <w:tr>
        <w:trPr>
          <w:trHeight w:val="216"/>
        </w:trPr>
        <w:tc>
          <w:tcPr>
            <w:tcW w:w="288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unrecognized compensation costs related to unvested PSUs as of December 31, 2025 for the tranches</w:t>
            </w:r>
          </w:p>
        </w:tc>
      </w:tr>
      <w:tr>
        <w:trPr>
          <w:trHeight w:val="234"/>
        </w:trPr>
        <w:tc>
          <w:tcPr>
            <w:tcW w:w="2880" w:type="dxa"/>
            <w:vAlign w:val="bottom"/>
          </w:tcPr>
          <w:p>
            <w:pPr>
              <w:spacing w:after="0"/>
              <w:rPr>
                <w:sz w:val="20"/>
                <w:szCs w:val="20"/>
                <w:color w:val="auto"/>
              </w:rPr>
            </w:pPr>
          </w:p>
        </w:tc>
        <w:tc>
          <w:tcPr>
            <w:tcW w:w="8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that were considered probable for PSU awards.</w:t>
            </w:r>
          </w:p>
        </w:tc>
      </w:tr>
      <w:tr>
        <w:trPr>
          <w:trHeight w:val="459"/>
        </w:trPr>
        <w:tc>
          <w:tcPr>
            <w:tcW w:w="2880" w:type="dxa"/>
            <w:vAlign w:val="bottom"/>
          </w:tcPr>
          <w:p>
            <w:pPr>
              <w:spacing w:after="0"/>
              <w:rPr>
                <w:sz w:val="24"/>
                <w:szCs w:val="24"/>
                <w:color w:val="auto"/>
              </w:rPr>
            </w:pPr>
          </w:p>
        </w:tc>
        <w:tc>
          <w:tcPr>
            <w:tcW w:w="83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62</w:t>
            </w:r>
          </w:p>
        </w:tc>
      </w:tr>
      <w:tr>
        <w:trPr>
          <w:trHeight w:val="763"/>
        </w:trPr>
        <w:tc>
          <w:tcPr>
            <w:tcW w:w="288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jc w:val="both"/>
        <w:ind w:left="3860"/>
        <w:spacing w:after="0" w:line="266" w:lineRule="auto"/>
        <w:rPr>
          <w:sz w:val="20"/>
          <w:szCs w:val="20"/>
          <w:color w:val="auto"/>
        </w:rPr>
      </w:pPr>
      <w:r>
        <w:rPr>
          <w:rFonts w:ascii="Times New Roman" w:cs="Times New Roman" w:eastAsia="Times New Roman" w:hAnsi="Times New Roman"/>
          <w:sz w:val="18"/>
          <w:szCs w:val="18"/>
          <w:color w:val="auto"/>
        </w:rPr>
        <w:t>Auditing the Company’s accounting for PSUs is challenging and judgmental due to the subjectivity of management’s assessment of the probability and timing of performance conditions being met for each tranche of the award.</w:t>
      </w:r>
    </w:p>
    <w:p>
      <w:pPr>
        <w:sectPr>
          <w:pgSz w:w="11900" w:h="16838" w:orient="portrait"/>
          <w:cols w:equalWidth="0" w:num="1">
            <w:col w:w="11200"/>
          </w:cols>
          <w:pgMar w:left="320" w:top="1012" w:right="379" w:bottom="1440" w:gutter="0" w:footer="0" w:header="0"/>
        </w:sectPr>
      </w:pP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over the Company’s assessment of the probability and timing of performance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met.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substantive audit procedures included, among others, evaluation of the judgments made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 determining the estimated probability and timing of each performance condition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discussing status with internal operational personnel and comparing the achievement of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milestones to the Company’s annual plan.</w:t>
      </w:r>
    </w:p>
    <w:p>
      <w:pPr>
        <w:spacing w:after="0" w:line="200" w:lineRule="exact"/>
        <w:rPr>
          <w:sz w:val="20"/>
          <w:szCs w:val="20"/>
          <w:color w:val="auto"/>
        </w:rPr>
      </w:pPr>
    </w:p>
    <w:p>
      <w:pPr>
        <w:sectPr>
          <w:pgSz w:w="11900" w:h="16838" w:orient="portrait"/>
          <w:cols w:equalWidth="0" w:num="2">
            <w:col w:w="3220" w:space="640"/>
            <w:col w:w="7340"/>
          </w:cols>
          <w:pgMar w:left="320" w:top="1012" w:right="37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QuantumScape 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QuantumScape Corporation’s internal control over financial reporting as of December 31, 2025, based on criteria established in Internal Control—Integrated Framework issued by the Committee of Sponsoring Organizations of the Treadway Commission (2013 framework) (the COSO criteria). In our opinion, QuantumScape Corporation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2025 consolidated financial statements of the Company and our report dated February 25, 2026 expressed an unqualified opinion thereon.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ind w:left="4520"/>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3"/>
                <w:szCs w:val="13"/>
                <w:color w:val="auto"/>
              </w:rPr>
            </w:pP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7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230,524</w:t>
            </w:r>
          </w:p>
        </w:tc>
        <w:tc>
          <w:tcPr>
            <w:tcW w:w="7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140,866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740,283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769,901</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10,835</w:t>
            </w:r>
          </w:p>
        </w:tc>
        <w:tc>
          <w:tcPr>
            <w:tcW w:w="1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11,519</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981,642</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922,286</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251,449</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299,992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34,078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51,472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 finance lease</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19,394</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22,267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21,593</w:t>
            </w: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26,378</w:t>
            </w: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1,308,156</w:t>
            </w:r>
          </w:p>
        </w:tc>
        <w:tc>
          <w:tcPr>
            <w:tcW w:w="7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1,322,395</w:t>
            </w: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11,819</w:t>
            </w: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6,466</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14,521</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17,447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26,969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32,212</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short-term</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4,653</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5,526</w:t>
            </w:r>
          </w:p>
        </w:tc>
      </w:tr>
      <w:tr>
        <w:trPr>
          <w:trHeight w:val="216"/>
        </w:trPr>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Finance lease liability, short-term</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3,584</w:t>
            </w:r>
          </w:p>
        </w:tc>
        <w:tc>
          <w:tcPr>
            <w:tcW w:w="1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3,233</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61,546</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64,884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34,481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52,913</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28,282</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31,865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14,874</w:t>
            </w: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14,886</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139,183</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164,548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 and contingencies (see Note 7)</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 shares authorized, none issued and outstanding as of</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$0.0001 par value; 1,250,000 shares authorized (1,000,000 Class A and</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250,000 Class B); 570,128 Class A and 37,502 Class B shares issued and outstanding as of December</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2025, 487,883 Class A and 54,666 Class B shares issued and outstanding as of December 31, 2024</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4,961,832</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4,515,879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(3,793,564)</w:t>
            </w: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(3,358,514)</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1,168,973</w:t>
            </w:r>
          </w:p>
        </w:tc>
        <w:tc>
          <w:tcPr>
            <w:tcW w:w="1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1,157,847</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1,308,156</w:t>
            </w: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1,322,395</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-4217035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-3376930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-3359785</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-2390775</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42"/>
        </w:trPr>
        <w:tc>
          <w:tcPr>
            <w:tcW w:w="59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375,608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382,971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347,945</w:t>
            </w: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96,996</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142,236</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131,085</w:t>
            </w:r>
          </w:p>
        </w:tc>
      </w:tr>
      <w:tr>
        <w:trPr>
          <w:trHeight w:val="209"/>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472,604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525,207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479,030</w:t>
            </w: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(472,604)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(525,207)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(479,030)</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36,488</w:t>
            </w: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2,505</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(433,506)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(445,059)</w:t>
            </w: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(435,050)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(445,079)</w:t>
            </w: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 net of tax of $0</w:t>
            </w:r>
          </w:p>
        </w:tc>
        <w:tc>
          <w:tcPr>
            <w:tcW w:w="9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(435,050)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(477,857)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(445,145)</w:t>
            </w:r>
          </w:p>
        </w:tc>
      </w:tr>
      <w:tr>
        <w:trPr>
          <w:trHeight w:val="20"/>
        </w:trPr>
        <w:tc>
          <w:tcPr>
            <w:tcW w:w="5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7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(435,050)</w:t>
            </w:r>
          </w:p>
        </w:tc>
        <w:tc>
          <w:tcPr>
            <w:tcW w:w="50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(477,942)</w:t>
            </w:r>
          </w:p>
        </w:tc>
        <w:tc>
          <w:tcPr>
            <w:tcW w:w="48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(445,079)</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14,996</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(434,834)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(430,083)</w:t>
            </w: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w:t>
            </w:r>
          </w:p>
        </w:tc>
        <w:tc>
          <w:tcPr>
            <w:tcW w:w="9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common stockholders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(434,834)</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(474,552)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(430,149)</w:t>
            </w:r>
          </w:p>
        </w:tc>
      </w:tr>
      <w:tr>
        <w:trPr>
          <w:trHeight w:val="20"/>
        </w:trPr>
        <w:tc>
          <w:tcPr>
            <w:tcW w:w="5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weighted-average common shares outstanding</w:t>
            </w:r>
          </w:p>
        </w:tc>
        <w:tc>
          <w:tcPr>
            <w:tcW w:w="94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575,950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508,102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-2865755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-2865755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-2025650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-2025650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-1459865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-1459865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-876935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-876935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-593725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-593725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Non-Controlling Interest and Stockholders’ Equity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04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104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3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1,704</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437,959</w:t>
            </w:r>
          </w:p>
        </w:tc>
        <w:tc>
          <w:tcPr>
            <w:tcW w:w="880" w:type="dxa"/>
            <w:vAlign w:val="bottom"/>
            <w:gridSpan w:val="2"/>
            <w:shd w:val="clear" w:color="auto" w:fill="CFF0FC"/>
          </w:tcPr>
          <w:p>
            <w:pPr>
              <w:jc w:val="right"/>
              <w:ind w:right="6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44</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3,771,181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(2,435,512)</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(17,873)</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1,317,840</w:t>
            </w:r>
          </w:p>
        </w:tc>
        <w:tc>
          <w:tcPr>
            <w:tcW w:w="0" w:type="dxa"/>
            <w:vAlign w:val="bottom"/>
          </w:tcPr>
          <w:p>
            <w:pPr>
              <w:spacing w:after="0"/>
              <w:rPr>
                <w:sz w:val="1"/>
                <w:szCs w:val="1"/>
                <w:color w:val="auto"/>
              </w:rPr>
            </w:pPr>
          </w:p>
        </w:tc>
      </w:tr>
      <w:tr>
        <w:trPr>
          <w:trHeight w:val="136"/>
        </w:trPr>
        <w:tc>
          <w:tcPr>
            <w:tcW w:w="31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Exercise of stock option and employee stock purchase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plan</w:t>
            </w:r>
          </w:p>
        </w:tc>
        <w:tc>
          <w:tcPr>
            <w:tcW w:w="120" w:type="dxa"/>
            <w:vAlign w:val="bottom"/>
          </w:tcPr>
          <w:p>
            <w:pPr>
              <w:spacing w:after="0"/>
              <w:rPr>
                <w:sz w:val="14"/>
                <w:szCs w:val="14"/>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7,935</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14,022</w:t>
            </w: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Shares issued upon vesting of restricted stock units</w:t>
            </w:r>
          </w:p>
        </w:tc>
        <w:tc>
          <w:tcPr>
            <w:tcW w:w="12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9,637</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1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common stock, net of issuance costs of</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$11.8 million</w:t>
            </w:r>
          </w:p>
        </w:tc>
        <w:tc>
          <w:tcPr>
            <w:tcW w:w="120" w:type="dxa"/>
            <w:vAlign w:val="bottom"/>
          </w:tcPr>
          <w:p>
            <w:pPr>
              <w:spacing w:after="0"/>
              <w:rPr>
                <w:sz w:val="14"/>
                <w:szCs w:val="14"/>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37,500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288,150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288,154</w:t>
            </w: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148,540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148,540</w:t>
            </w: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(445,145)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(445,145)</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14,996</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14,996</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1,770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493,031</w:t>
            </w:r>
          </w:p>
        </w:tc>
        <w:tc>
          <w:tcPr>
            <w:tcW w:w="880" w:type="dxa"/>
            <w:vAlign w:val="bottom"/>
            <w:gridSpan w:val="2"/>
          </w:tcPr>
          <w:p>
            <w:pPr>
              <w:jc w:val="right"/>
              <w:ind w:right="6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49</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4,221,892</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(2,880,657)</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(2,877)</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1,338,407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20" w:type="dxa"/>
            <w:vAlign w:val="bottom"/>
            <w:shd w:val="clear" w:color="auto" w:fill="CFF0FC"/>
          </w:tcPr>
          <w:p>
            <w:pPr>
              <w:ind w:left="60"/>
              <w:spacing w:after="0" w:line="116" w:lineRule="exact"/>
              <w:rPr>
                <w:sz w:val="20"/>
                <w:szCs w:val="20"/>
                <w:color w:val="auto"/>
              </w:rPr>
            </w:pPr>
            <w:r>
              <w:rPr>
                <w:rFonts w:ascii="Times New Roman" w:cs="Times New Roman" w:eastAsia="Times New Roman" w:hAnsi="Times New Roman"/>
                <w:sz w:val="13"/>
                <w:szCs w:val="13"/>
                <w:color w:val="auto"/>
              </w:rPr>
              <w:t>Exercise of stock options and employee stock</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purchase plan</w:t>
            </w: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9,996</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20,091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20,091</w:t>
            </w: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issued upon vesting of restricted stock units</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14,575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23,107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23,109</w:t>
            </w:r>
          </w:p>
        </w:tc>
        <w:tc>
          <w:tcPr>
            <w:tcW w:w="0" w:type="dxa"/>
            <w:vAlign w:val="bottom"/>
          </w:tcPr>
          <w:p>
            <w:pPr>
              <w:spacing w:after="0"/>
              <w:rPr>
                <w:sz w:val="1"/>
                <w:szCs w:val="1"/>
                <w:color w:val="auto"/>
              </w:rPr>
            </w:pPr>
          </w:p>
        </w:tc>
      </w:tr>
      <w:tr>
        <w:trPr>
          <w:trHeight w:val="136"/>
        </w:trPr>
        <w:tc>
          <w:tcPr>
            <w:tcW w:w="31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Shares issued under At-The-Market Offering, net of</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issuance costs</w:t>
            </w: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24,947</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128,439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128,442</w:t>
            </w: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122,350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122,350</w:t>
            </w: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(477,857)</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(477,857)</w:t>
            </w: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3,305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3,305</w:t>
            </w:r>
          </w:p>
        </w:tc>
        <w:tc>
          <w:tcPr>
            <w:tcW w:w="0" w:type="dxa"/>
            <w:vAlign w:val="bottom"/>
          </w:tcPr>
          <w:p>
            <w:pPr>
              <w:spacing w:after="0"/>
              <w:rPr>
                <w:sz w:val="1"/>
                <w:szCs w:val="1"/>
                <w:color w:val="auto"/>
              </w:rPr>
            </w:pPr>
          </w:p>
        </w:tc>
      </w:tr>
      <w:tr>
        <w:trPr>
          <w:trHeight w:val="148"/>
        </w:trPr>
        <w:tc>
          <w:tcPr>
            <w:tcW w:w="3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Dissolution of joint venture</w:t>
            </w:r>
          </w:p>
        </w:tc>
        <w:tc>
          <w:tcPr>
            <w:tcW w:w="1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542,549</w:t>
            </w:r>
          </w:p>
        </w:tc>
        <w:tc>
          <w:tcPr>
            <w:tcW w:w="880" w:type="dxa"/>
            <w:vAlign w:val="bottom"/>
            <w:gridSpan w:val="2"/>
          </w:tcPr>
          <w:p>
            <w:pPr>
              <w:jc w:val="right"/>
              <w:ind w:right="6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54</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4,515,879</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(3,358,514)</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428</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1,157,847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20" w:type="dxa"/>
            <w:vAlign w:val="bottom"/>
            <w:shd w:val="clear" w:color="auto" w:fill="CFF0FC"/>
          </w:tcPr>
          <w:p>
            <w:pPr>
              <w:ind w:left="60"/>
              <w:spacing w:after="0" w:line="116" w:lineRule="exact"/>
              <w:rPr>
                <w:sz w:val="20"/>
                <w:szCs w:val="20"/>
                <w:color w:val="auto"/>
              </w:rPr>
            </w:pPr>
            <w:r>
              <w:rPr>
                <w:rFonts w:ascii="Times New Roman" w:cs="Times New Roman" w:eastAsia="Times New Roman" w:hAnsi="Times New Roman"/>
                <w:sz w:val="13"/>
                <w:szCs w:val="13"/>
                <w:color w:val="auto"/>
              </w:rPr>
              <w:t>Exercise of stock options and employee stock</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purchase plan</w:t>
            </w: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15,693</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32,345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32,347</w:t>
            </w: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issued upon vesting of restricted stock units</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19,894</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20,264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20,266</w:t>
            </w:r>
          </w:p>
        </w:tc>
        <w:tc>
          <w:tcPr>
            <w:tcW w:w="0" w:type="dxa"/>
            <w:vAlign w:val="bottom"/>
          </w:tcPr>
          <w:p>
            <w:pPr>
              <w:spacing w:after="0"/>
              <w:rPr>
                <w:sz w:val="1"/>
                <w:szCs w:val="1"/>
                <w:color w:val="auto"/>
              </w:rPr>
            </w:pPr>
          </w:p>
        </w:tc>
      </w:tr>
      <w:tr>
        <w:trPr>
          <w:trHeight w:val="136"/>
        </w:trPr>
        <w:tc>
          <w:tcPr>
            <w:tcW w:w="31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Shares issued under At-the-Market Offering, net of</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issuance costs</w:t>
            </w: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29,494</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264,173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264,176</w:t>
            </w: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109,645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109,645</w:t>
            </w:r>
          </w:p>
        </w:tc>
        <w:tc>
          <w:tcPr>
            <w:tcW w:w="0" w:type="dxa"/>
            <w:vAlign w:val="bottom"/>
          </w:tcPr>
          <w:p>
            <w:pPr>
              <w:spacing w:after="0"/>
              <w:rPr>
                <w:sz w:val="1"/>
                <w:szCs w:val="1"/>
                <w:color w:val="auto"/>
              </w:rPr>
            </w:pPr>
          </w:p>
        </w:tc>
      </w:tr>
      <w:tr>
        <w:trPr>
          <w:trHeight w:val="136"/>
        </w:trPr>
        <w:tc>
          <w:tcPr>
            <w:tcW w:w="31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Capital contribution under collaboration agreement -</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related party</w:t>
            </w: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19,526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19,526</w:t>
            </w:r>
          </w:p>
        </w:tc>
        <w:tc>
          <w:tcPr>
            <w:tcW w:w="0" w:type="dxa"/>
            <w:vAlign w:val="bottom"/>
          </w:tcPr>
          <w:p>
            <w:pPr>
              <w:spacing w:after="0"/>
              <w:rPr>
                <w:sz w:val="1"/>
                <w:szCs w:val="1"/>
                <w:color w:val="auto"/>
              </w:rPr>
            </w:pPr>
          </w:p>
        </w:tc>
      </w:tr>
      <w:tr>
        <w:trPr>
          <w:trHeight w:val="149"/>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(435,050)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(435,050)</w:t>
            </w:r>
          </w:p>
        </w:tc>
        <w:tc>
          <w:tcPr>
            <w:tcW w:w="0" w:type="dxa"/>
            <w:vAlign w:val="bottom"/>
          </w:tcPr>
          <w:p>
            <w:pPr>
              <w:spacing w:after="0"/>
              <w:rPr>
                <w:sz w:val="1"/>
                <w:szCs w:val="1"/>
                <w:color w:val="auto"/>
              </w:rPr>
            </w:pPr>
          </w:p>
        </w:tc>
      </w:tr>
      <w:tr>
        <w:trPr>
          <w:trHeight w:val="148"/>
        </w:trPr>
        <w:tc>
          <w:tcPr>
            <w:tcW w:w="3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216</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607,630</w:t>
            </w:r>
          </w:p>
        </w:tc>
        <w:tc>
          <w:tcPr>
            <w:tcW w:w="880" w:type="dxa"/>
            <w:vAlign w:val="bottom"/>
            <w:gridSpan w:val="2"/>
          </w:tcPr>
          <w:p>
            <w:pPr>
              <w:jc w:val="right"/>
              <w:ind w:right="6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61</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4,961,832</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(3,793,564)</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644</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1,168,973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-3140710</wp:posOffset>
            </wp:positionV>
            <wp:extent cx="3365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655" cy="12827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-2176780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-2176780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-2176780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-2176780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-2176780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-2180590</wp:posOffset>
            </wp:positionV>
            <wp:extent cx="8128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1280" cy="1454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-1199515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-1199515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-1199515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-1199515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-1199515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-1306195</wp:posOffset>
            </wp:positionV>
            <wp:extent cx="81280" cy="2482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1280" cy="24828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-234950</wp:posOffset>
            </wp:positionV>
            <wp:extent cx="81280"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1280" cy="12827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-128270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-128270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-128270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-128270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-128270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ind w:left="4520"/>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2"/>
        </w:trPr>
        <w:tc>
          <w:tcPr>
            <w:tcW w:w="6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(435,050)</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(477,942)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(445,079)</w:t>
            </w: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65,570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57,781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41,958</w:t>
            </w: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 and non-cash lease expense</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7,652</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7,791</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w:t>
            </w: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127,462</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144,653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166,297</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Write-off of property and equipment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26,574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21,528</w:t>
            </w: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and other assets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liabilities and accrued compensation and benefits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(274,555)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(240,025)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(84,624)</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1,125,864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1,484,857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1,041,528</w:t>
            </w: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(1,077,048)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(1,111,027)</w:t>
            </w:r>
          </w:p>
        </w:tc>
      </w:tr>
      <w:tr>
        <w:trPr>
          <w:trHeight w:val="216"/>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2,393</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14,932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128,869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(152,532)</w:t>
            </w: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32,347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14,022</w:t>
            </w: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268,654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131,346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300,010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 costs paid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w:t>
            </w: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payment for finance lease</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under collaboration agreement - related party</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19,526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Dissolution of joint venture</w:t>
            </w: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312,806</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144,028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300,213</w:t>
            </w: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85,265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(92,344)</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158,914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160,572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252,916</w:t>
            </w:r>
          </w:p>
        </w:tc>
      </w:tr>
      <w:tr>
        <w:trPr>
          <w:trHeight w:val="25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244,179</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158,914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160,572</w:t>
            </w:r>
          </w:p>
        </w:tc>
      </w:tr>
      <w:tr>
        <w:trPr>
          <w:trHeight w:val="196"/>
        </w:trPr>
        <w:tc>
          <w:tcPr>
            <w:tcW w:w="6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2,039</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1,778</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9,696</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-2128520</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-2128520</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-1022350</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-1022350</wp:posOffset>
            </wp:positionV>
            <wp:extent cx="939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-448310</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-431165</wp:posOffset>
            </wp:positionV>
            <wp:extent cx="1028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-448310</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-431165</wp:posOffset>
            </wp:positionV>
            <wp:extent cx="93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Company’s cash, cash equivalents and restricted cash by category in the Company’s Consolidated Balance Sheets (amounts in thousands):</w:t>
      </w:r>
    </w:p>
    <w:tbl>
      <w:tblPr>
        <w:tblLayout w:type="fixed"/>
        <w:tblInd w:w="0" w:type="dxa"/>
        <w:tblCellMar>
          <w:top w:w="0" w:type="dxa"/>
          <w:left w:w="0" w:type="dxa"/>
          <w:bottom w:w="0" w:type="dxa"/>
          <w:right w:w="0" w:type="dxa"/>
        </w:tblCellMar>
      </w:tblPr>
      <w:tr>
        <w:trPr>
          <w:trHeight w:val="156"/>
        </w:trPr>
        <w:tc>
          <w:tcPr>
            <w:tcW w:w="4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2"/>
        </w:trPr>
        <w:tc>
          <w:tcPr>
            <w:tcW w:w="4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230,524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140,866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142,524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13,655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18,048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18,048</w:t>
            </w:r>
          </w:p>
        </w:tc>
      </w:tr>
      <w:tr>
        <w:trPr>
          <w:trHeight w:val="230"/>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244,179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158,914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160,572</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r>
        <w:trPr>
          <w:trHeight w:val="215"/>
        </w:trPr>
        <w:tc>
          <w:tcPr>
            <w:tcW w:w="9660" w:type="dxa"/>
            <w:vAlign w:val="bottom"/>
            <w:gridSpan w:val="7"/>
          </w:tcPr>
          <w:p>
            <w:pPr>
              <w:jc w:val="center"/>
              <w:ind w:left="149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4"/>
        </w:trPr>
        <w:tc>
          <w:tcPr>
            <w:tcW w:w="4540" w:type="dxa"/>
            <w:vAlign w:val="bottom"/>
          </w:tcPr>
          <w:p>
            <w:pPr>
              <w:spacing w:after="0"/>
              <w:rPr>
                <w:sz w:val="24"/>
                <w:szCs w:val="24"/>
                <w:color w:val="auto"/>
              </w:rPr>
            </w:pPr>
          </w:p>
        </w:tc>
        <w:tc>
          <w:tcPr>
            <w:tcW w:w="21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-933450</wp:posOffset>
            </wp:positionV>
            <wp:extent cx="946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-916305</wp:posOffset>
            </wp:positionV>
            <wp:extent cx="946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946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946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QuantumScape Corporation, now named QuantumScape Battery, Inc. (“Legacy QuantumScape”), a wholly owned subsidiary of the Company (as defined below), was founded in 2010 with the mission to revolutionize energy storage to enable a sustainable future. In 2020, QuantumScape became a publicly traded company through a business combination with a special purpose acquisition company named Kensington Capital Acquisition Corp. (“Kensington”) which changed its name to QuantumScape Corporation upon closing in November 2020 (the “Business Combination”). As a result of the Business Combination, QuantumScape Battery Inc. survived and became a wholly owned subsidiary of QuantumScape Corporation (the “Company”).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focused on the development and commercialization of its solid-state lithium-metal batteries. Planned principal operations have not yet commenced. As of December 31, 2025, the Company had not derived revenue from its principal business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accounting principles generally accepted in the United States of America (“U.S. GAAP”) as determined by the Financial Accounting Standards Board (the “FASB”) Accounting Standards Codification (“ASC”) and pursuant to the regulations of the U.S. Securities and Exchange Commission (the “SEC”). Certain prior period balances have been reclassified to conform to the current period presentation in the consolidated financial statements and the accompanying notes.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2012, the Company has had a relationship with the Volkswagen Group, including its affiliates Volkswagen Group of America, Inc. (“VWGoA”) and Volkswagen Group of America Investments, LLC (“VGA”), collectively referred to as “Volkswagen.” Volkswagen, as a related party, is an approximately 26.2% and 24.0% voting interest holder of the Company as of December 31, 2025 and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are eliminated in consolidation.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disclosure of commitments and contingencies at the date of the financial statements as well as reported amounts of expenses during the reporting periods. Estimates made by the Company include, but are not limited to, those related to the determination of business milestone achievement dates related to stock awards with performance conditions,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could differ materially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and marketable securities. As of December 31, 2025 and 2024, approximately $117.8 million and $78.7 million of our total cash and cash equivalents and marketable securities, are held in U.S. money market funds, and $590.8 million and $695.5 million are invested in U.S. government and agency securities, respectively. The Company seeks to mitigate its credit risk with respect to cash and cash equivalents and marketable securities by making deposits with what we believe to be large, reputable financial institutions and investing in high credit rated shorter-term instruments.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is maintained under an agreement that legally restricts the use of such funds and is reported within other assets as the date of availability or disbursement for all restricted cash is more than one year from December 31,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is comprised of $13.7 million and $18.0 million as of December 31, 2025 and 2024, respectively, all of which is pledged as a form of security for the Company’s lease agreements for its facilities. The restricted cash is maintained in certificates of deposits as of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securities. The Company does not buy and hold securities principally for the purpose of selling them in the near future. The Company’s policy is focused on the preservation of capital, liquidity, and return. From time to time, the Company may sell certain securities, but the objectives are generally not to generate profits on short-term differences in price.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securities are carried at estimated fair value with unrealized gains and losses included in other comprehensive gain/loss in stockholders’ equity until realized. Gains and losses on marketable security transactions are reported on the specific-identification method. Dividend and interest income are recognized when earned.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measured on a recurring and nonrecurring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accounting guidance established a fair value hierarchy based on three levels of inputs, of which the first two are considered observable and the last unobservable, used to determine the fair value of its financial instruments.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that the entity has the ability to access.</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historical cost, less accumulated depreciation. Depreciation is computed using the straight-line method over the estimated useful life of the related asset. Improvements that increase functionality of the fixed asset are capitalized and depreciated over the asset’s remaining useful life. Deposits for purchases of property and equipment are included in construction-in-progress. Construction-in-progress is not depreciated until the asset is placed in service. Fully depreciated assets are retained in property and equipment, net, until removed from service.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the estimated useful lives of its fixed assets on an ongoing basis. The estimated useful lives of assets are generally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hardware, and software</w:t>
            </w: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32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32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30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7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Shorter of the lease term (including estimated renewals) or the estimated</w:t>
            </w:r>
          </w:p>
        </w:tc>
      </w:tr>
      <w:tr>
        <w:trPr>
          <w:trHeight w:val="234"/>
        </w:trPr>
        <w:tc>
          <w:tcPr>
            <w:tcW w:w="4520" w:type="dxa"/>
            <w:vAlign w:val="bottom"/>
          </w:tcPr>
          <w:p>
            <w:pPr>
              <w:spacing w:after="0"/>
              <w:rPr>
                <w:sz w:val="20"/>
                <w:szCs w:val="20"/>
                <w:color w:val="auto"/>
              </w:rPr>
            </w:pPr>
          </w:p>
        </w:tc>
        <w:tc>
          <w:tcPr>
            <w:tcW w:w="67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useful lives of the improvements</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when indicators of impairment exist. The carrying value of a long-lived asset is considered impaired when the estimated separately identifiable, undiscounted cash flows from such an asset are less than the carrying value of the asset. In that event, a loss is recognized based on the amount by which the carrying value exceeds the fair value of the long-lived asset. The long-lived assets outside of U.S. are not material as of December 31, 2025. During the years ended December 31, 2025, 2024, and 2023, the Company wrote off approximately $26.6 million, $13.3 million and $21.5 million of property and equipment for assets with no remaining future benefit, respectively. These charges are recorded in Research and Development expense in the Consolidated Statements of Operations and Comprehensive Income (Loss).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classifies arrangements meeting the definition of a lease as operating or financing leases, and leases are recorded on the Consolidated Balance Sheets as both a right-of-use (“ROU”) asset and lease liability, calculated by discounting fixed lease payments over the lease term at the rate implicit in the lease or the Company’s incremental borrowing rate which is the rate incurred to borrow on a collateralized basis over a similar term. ROU assets also include any prepaid lease payments and lease incentives. Lease liabilities are increased by interest and reduced by payments each period, and the ROU asset is reduced over the lease term. For operating leases, interest on the lease liability and the non-cash lease expense result in straight-line rent expense over the lease term. For finance leases, interest on the lease liability and the amortization of the ROU asset results in front-loaded expense over the lease term. Variable lease expenses, including common maintenance fees, insurance and property tax, are recorded when incurred.</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and elects to exclude short-term leases having terms of twelve months or less.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CODM is its Chief Executive Officer.</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determined that it operates in one operating segment and one reportable segment, as the CODM reviews financial information presented on a consolidated basis. The operating segment has not derived revenue from its business activities as of December 31, 2025. The CODM uses net loss for purposes of making operating decisions, allocating resources, and evaluating financial performance. Significant expenses for the years ended December 31, 2025, 2024, and 2023, respectively, include non-cash stock-based compensation of $127.5 million, $144.7 million, and $166.3 million, depreciation and amortization of $65.6 million, $57.8 million, and $42.0 million, write-off of property and equipment of $26.6 million, $13.3 million, and $21.5 million, which are reflected in the Consolidated Statement of Cash Flows. Significant expenses for the years ended December 31, 2025, 2024, and 2023, respectively, also include personnel costs of $140.0 million, $153.1 million, and $135.3 million, and professional services and legal contingency of $14.2 million, $58.6 million and $27.2 million. Other expenses include materials, facilities, other research, development, and administrative expenses, which are recorded within operating expenses. Other segment items included in consolidated net loss are interest income, interest expense, and other income (expense), which are reflected in the Consolidated Statements of Operations and Comprehensive Income (Loss) for the years ended December 31, 2025, 2024 and 2023.</w:t>
      </w:r>
    </w:p>
    <w:p>
      <w:pPr>
        <w:spacing w:after="0" w:line="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long-lived assets outside of United States are not material as of December 31, 2025. The measure of segment assets is reported on the consolidated balance sheet as total assets. Refer to the Consolidated Balance Sheets as of December 31, 2025 and 2024 for total consolidated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related to research and development are expensed as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represent costs incurred by the Company in managing the business, including salary, benefits, incentive compensation, marketing, insurance, professional fees and other operating costs associated with the Company’s non-research and development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made to employees and directors, including stock options, restricted stock units and restricted shares, based on estimated fair values recognized over the requisite service period. The Company accounts for forfeitures when they occur.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options granted with only service conditions are estimated on the grant date using the Black-Scholes option pricing model. This valuation model for stock-based compensation expense requires the Company to make assumptions and judgments about the variables used in the calculation, including the expected term (weighted-average period of time that the options granted are expected to be outstanding), the volatility of the Company’s common stock, and an assumed risk-free interest rate. The Company recognizes compensation expense for all options with only service conditions on a straight-line basis over the requisite service period of the awards, which is generally the option vesting term of four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options granted with performance (e.g., business milestone) and market conditions (e.g., stock price target) are estimated at the grant date using a Monte Carlo simulation model. The model determined the grant date fair value of each vesting tranche and the future date when the market condition for such tranche is expected to be achieved. The Monte Carlo valuation requires the Company to make assumptions and judgements about the variables used in the calculation including the expected term, volatility of the Company’s common stock, an assumed risk-free interest rate, and cost of equity.</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performance-based options with a vesting schedule based on the attainment of both performance and market conditions, along with service conditions, each quarter the Company assesses whether it is probable that it will achieve each performance condition that has not previously been achieved or deemed probable of achievement and if so, the future time when the Company expects to achieve that business milestone, or its “expected business milestone achievement time.” When the Company first determines that a business milestone has become probable of being achieved, the Company allocates the entire expense for the related tranche over the number of quarters between the grant date and the then-applicable “expected vesting date,” which represents the requisite service period. The requisite service period at any given time is generally the period between the grant date and the later of (i) the expected time when the performance condition will be achieved (if the related performance condition has not yet been achieved) and (ii) the expected time when the market condition will be achieved (if the related market condition has not yet been achieved). The Company immediately recognizes a cumulative catch-up expense for all accumulated expense for the quarters from the grant date through the quarter in which the performance condition was first deemed probable of being achieved. Each quarter thereafter, the Company recognizes the then-remaining expense for the tranche through the end of the requisite service period except that upon vesting of a tranche, all remaining expense for that tranche is immediately recognized.</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restricted stock units granted with service conditions only are based on the closing price of the Company’s Class A Common Stock on the date of grant. The Company recognizes compensation expense for restricted stock units with only service conditions on a straight-line basis over the requisite service period of the awards, which is generally the award vesting term of four years.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restricted stock units granted with service and performance conditions are based on the closing price of the Company’s Class A Common Stock on the grant date. The vesting schedule of such awards is based entirely on the attainment of both service and performance conditions. Each quarter the Company assesses whether it is probable that it will achieve each performance condition and if so, the future time when the Company expects to achieve that performance condition, the “expected vesting date”. When the Company first determines that a performance condition has become probable of being achieved, the Company allocates the entire expense for the related tranche over the number of quarters between the grant date and expected vesting date, which represents the requisite service period. The requisite service period at any given time is generally the period between the grant date and the expected time when the performance condition will be achieved with the service condition also being met.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2020 Employee Stock Purchase Plan (the “ESPP”) is compensatory in accordance with ASC 718-50-25. The Company measures and recognizes compensation expense for shares to be issued under the ESPP based on estimated grant date fair value recognized on a straight-line basis over the offering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ESPP provides eligible employees with the opportunity to purchase shares of the Company’s Class A Common Stock at a discount through payroll deductions. There were approximately 1.2 million shares purchased under the ESPP during the year ended December 31, 2025. As of December 31, 2025, 8.1 million shares of Class A Common Stock were reserved for future issuance under the ESPP.</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the corporate bonus plan since 2023 to settle in the form of restricted stock units to eligible employees upon the achievement of certain service and performance conditions (“the Bonus Plan”). The awards under the Bonus Plan are classified as a liability prior to the settlement of vested restricted stock units, upon which the liability is reclassified into equity. The Company recognizes compensation expense for the annual Bonus Plan to be settled in restricted stock units on a straight-line basis over the requisite service period of approximately a year. The Bonus Plan awards are measured at the grant date fair value, i.e., the closing price of the Company’s Class A Common Stock on the grant date, which is the settlement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reflect the net tax effects of temporary differences between the carrying amounts of assets and liabilities for financial reporting purposes and the amounts used for income tax purposes and operating loss carryforwards, measured by applying currently enacted tax laws. Valuation allowances are provided when necessary to reduce net deferred tax assets to an amount that is more likely than not to be realized.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tax liabilities based upon its estimate of whether, and the extent to which, additional taxes will be due when such estimates are more likely than not to be sustained. An uncertain income tax position will not be recognized if it has less than a 50% likelihood of being sustained.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 material provision for income taxes for the years ended December 31, 2025, 2024 and 2023. The Company has no material current tax expense from losses and no deferred expense from the valuation allowance. The Company’s effective tax rate differs from the U.S. statutory rate primarily due to a valuation allowance against its net deferred tax assets as it is more likely than not that some or all of the deferred tax assets will not be realized.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during the period.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loss per share adjusts basic earnings per share for the potentially dilutive impact of stock awards. For awards that are liability-classified, during the periods when the impact is dilutive, the Company assumes share settlement of the instruments as of the period end date and adjusts the denominator to include the dilutive shares calculated using the treasury stock method.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enhances the transparency and decision usefulness of income tax disclosures. The ASU is effective for all public business entities for annual periods beginning after December 15, 2024. The Company adopted this guidance in the fourth quarter of fiscal 2025. The adoption of such guidance did not have a material impact on its consolidated financial statements. See Note 10, Income Taxes, to the consolidated financial statements for more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of specified information about certain costs and expenses in the notes to financial statements at interim and annual reporting periods. The ASU is effective for all public business entities for annual periods beginning after December 15, 2026 and interim periods within annual reporting periods beginning after December 15, 2027. Early adoption is permitted for annual financial statements that have not yet been issued or made available for issuance. The Company is currently evaluating the impact that the adoption of this standard will have on its consolidated financial statements.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eliminates accounting consideration of software project development stages and clarifies the threshold applied to begin capitalizing costs. The ASU is effective for fiscal years beginning after December 15, 2027 and interim periods within those fiscal years, and permits prospective, modified prospective, or retrospective adoption. Early adoption is permitted. The Company is currently evaluating the impact of this guidance on its consolidated financial statements.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which provides updated guidance on how to recognize, measure, and present government grants. The ASU is effective for all public business entities for annual reporting periods beginning after December 15, 2028, and interim reporting periods within those annual reporting periods. Early adoption is permitted. The Company is currently evaluating the impact of this guidance on its consolidated financial statements.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interim disclosure requirements and the applicability of Topic 270. The ASU also includes a disclosure principle that requires entities to disclose events since the end of the last annual reporting period that have a material impact on the entity. The ASU is effective all public business entities for interim periods within annual reporting periods beginning after December 15, 2027. Early adoption is permitted. The Company is currently evaluating the impact of this guidance on its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for such measurements were as follows (amounts in thousands):</w:t>
      </w: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040" w:type="dxa"/>
            <w:vAlign w:val="bottom"/>
            <w:tcBorders>
              <w:bottom w:val="single" w:sz="8" w:color="auto"/>
            </w:tcBorders>
            <w:gridSpan w:val="5"/>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Measured as of December 31, 2025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included in:</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117,773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117,773</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141,108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141,108</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U.S. government and agency securities</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590,808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590,808</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Corporate notes and bonds</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99,608</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99,608</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117,773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831,524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949,297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304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included in:</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78,736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78,736</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61,926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61,926</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U.S. government and agency securities</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695,504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695,504</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Corporate notes and bonds</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54,615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54,615</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78,736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812,045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890,781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-1370965</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-1370965</wp:posOffset>
            </wp:positionV>
            <wp:extent cx="93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Money market funds are included in cash and cash equivalents on the Consolidated Balance Sheets.</w:t>
      </w:r>
    </w:p>
    <w:p>
      <w:pPr>
        <w:spacing w:after="0" w:line="26" w:lineRule="exact"/>
        <w:rPr>
          <w:rFonts w:ascii="Times New Roman" w:cs="Times New Roman" w:eastAsia="Times New Roman" w:hAnsi="Times New Roman"/>
          <w:sz w:val="16"/>
          <w:szCs w:val="16"/>
          <w:color w:val="auto"/>
        </w:rPr>
      </w:pPr>
    </w:p>
    <w:p>
      <w:pPr>
        <w:jc w:val="both"/>
        <w:ind w:left="760" w:hanging="378"/>
        <w:spacing w:after="0" w:line="276" w:lineRule="auto"/>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securities consist of commercial paper, U.S. government and agency securities, corporate notes and bonds. As of December 31, 2025 and 2024, marketable securities with original maturities of three months or less of $91.2 million and $42.1 million, respectively, are included in cash and cash equivalents on the Consolidated Balance Sheets.</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assets: </w:t>
      </w:r>
      <w:r>
        <w:rPr>
          <w:rFonts w:ascii="Times New Roman" w:cs="Times New Roman" w:eastAsia="Times New Roman" w:hAnsi="Times New Roman"/>
          <w:sz w:val="18"/>
          <w:szCs w:val="18"/>
          <w:color w:val="auto"/>
        </w:rPr>
        <w:t>Money market funds are classified as Level 1 within the fair value hierarchy, as fair value is based on unadjusted quoted prices in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for identical assets.</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assets: </w:t>
      </w:r>
      <w:r>
        <w:rPr>
          <w:rFonts w:ascii="Times New Roman" w:cs="Times New Roman" w:eastAsia="Times New Roman" w:hAnsi="Times New Roman"/>
          <w:sz w:val="18"/>
          <w:szCs w:val="18"/>
          <w:color w:val="auto"/>
        </w:rPr>
        <w:t>Investments in commercial paper, U.S. government and agency securities, and corporate notes and bonds are classified as Level 2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financial liabilities subject to fair value measurements on a recurring basis as of December 31, 2025 and 2024.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during the year ended December 31, 2025. As of December 31, 2025 and 2024, the carrying values of cash and cash equivalents, accounts payable and accrued liabilities approximate their respective fair values due to their short-term nature.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by major security type, the Company’s assets that are measured at fair value on a recurring basis and are categorized using the fair value hierarchy. Amortized cost net of unrealized gain (loss) is equal to fair value as of December 31, 2025 and 2024. The fair value as of December 31, 2025 and 2024 are as follows (amounts in thousands):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820" w:type="dxa"/>
            <w:vAlign w:val="bottom"/>
          </w:tcPr>
          <w:p>
            <w:pPr>
              <w:jc w:val="center"/>
              <w:ind w:left="22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 securities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117,773</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117,773</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 securities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141,108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141,108</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590,215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590,808</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99,557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99,608</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948,653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949,297</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820" w:type="dxa"/>
            <w:vAlign w:val="bottom"/>
          </w:tcPr>
          <w:p>
            <w:pPr>
              <w:jc w:val="center"/>
              <w:ind w:left="22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 securities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78,736</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78,736</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 securities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61,926</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695,082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695,504</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54,609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54,615</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890,353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890,781</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-1456690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-1439545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-1456690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-1439545</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-1456690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-1439545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gains and losses and interest income from the investment are included in interest income.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available-for-sale marketable securities in an unrealized loss position and evaluates the current expected credit loss by considering factors such as historical experience, market data, issuer-specific factors, and current economic conditions. The following tables display additional information regarding gross unrealized losses and fair value by major security type for the 3 and 17 marketable securities in unrealized loss positions held by the Company as of December 31, 2025 and 2024, respectively (amounts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4"/>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Consecutive Months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4"/>
          </w:tcPr>
          <w:p>
            <w:pPr>
              <w:jc w:val="center"/>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12 Consecutive Months or Longer</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17,253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17,253</w:t>
            </w: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17,253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17,253</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4"/>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Consecutive Months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4"/>
          </w:tcPr>
          <w:p>
            <w:pPr>
              <w:jc w:val="center"/>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12 Consecutive Months or Longer</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96,988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96,988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33,111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34,174</w:t>
            </w:r>
          </w:p>
        </w:tc>
        <w:tc>
          <w:tcPr>
            <w:tcW w:w="0" w:type="dxa"/>
            <w:vAlign w:val="bottom"/>
          </w:tcPr>
          <w:p>
            <w:pPr>
              <w:spacing w:after="0"/>
              <w:rPr>
                <w:sz w:val="1"/>
                <w:szCs w:val="1"/>
                <w:color w:val="auto"/>
              </w:rPr>
            </w:pPr>
          </w:p>
        </w:tc>
      </w:tr>
      <w:tr>
        <w:trPr>
          <w:trHeight w:val="25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130,099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1,063</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131,162</w:t>
            </w:r>
          </w:p>
        </w:tc>
        <w:tc>
          <w:tcPr>
            <w:tcW w:w="0" w:type="dxa"/>
            <w:vAlign w:val="bottom"/>
          </w:tcPr>
          <w:p>
            <w:pPr>
              <w:spacing w:after="0"/>
              <w:rPr>
                <w:sz w:val="1"/>
                <w:szCs w:val="1"/>
                <w:color w:val="auto"/>
              </w:rPr>
            </w:pPr>
          </w:p>
        </w:tc>
      </w:tr>
      <w:tr>
        <w:trPr>
          <w:trHeight w:val="628"/>
        </w:trPr>
        <w:tc>
          <w:tcPr>
            <w:tcW w:w="29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-1936750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-1919605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-1936750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-1919605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-1936750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-1919605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-1936750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-1919605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-1936750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-1919605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-933450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-916940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-933450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-916940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-933450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-916940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-933450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-916940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-933450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-916940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unrealized losses were attributable to changes in interest rates that impacted the value of the investments, and not increased credit risk. There were no sales of available-for-sale marketable securities during the year ended December 31, 2025. During the years ended December 31, 2024 and 2023, the Company received proceeds of $1.2 million and $1.5 million, including interest, from the sale of available-for-sale marketable securities, respectively. The Company realized immaterial gains as a result of such sales. The Company does not intend to sell the investments that are in an unrealized loss position, nor is it more likely than not that the Company will be required to sell the investments before the recovery of the amortized cost basis, which may be its maturity. Accordingly, the Company did not record an allowance for credit losses associated with these investments.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amortized cost and fair value of available-for-sale securities by contractual maturity as of December 31, 2025 are as follows (amounts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40" w:type="dxa"/>
            <w:vAlign w:val="bottom"/>
            <w:tcBorders>
              <w:bottom w:val="single" w:sz="8" w:color="auto"/>
            </w:tcBorders>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943,707</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944,352</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and through five years</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4,946</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4,945</w:t>
            </w:r>
          </w:p>
        </w:tc>
      </w:tr>
      <w:tr>
        <w:trPr>
          <w:trHeight w:val="249"/>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948,653</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949,297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as of December 31, 2025 and 2024 consisted of the following (amounts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hardware, and software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7,275</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7,831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123,806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107,886</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110,693</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115,879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160,009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161,460</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41,782</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61,935</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443,565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454,991</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(192,116)</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(154,999)</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251,449</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299,992</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$64.7 million, $57.0 million and $41.4 million for the years ended December 31, 2025, 2024 and 2023,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as of December 31, 2025 and 2024 consisted of the following (amounts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Litigation-related accrual</w:t>
            </w:r>
          </w:p>
        </w:tc>
        <w:tc>
          <w:tcPr>
            <w:tcW w:w="47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3,900</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11,950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4,243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7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6,378</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7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14,521</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17,447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78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76</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1111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as of December 31, 2025 and 2024 consisted of the following (amounts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4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13,710</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12,371</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Long-term advance payments and others</w:t>
            </w:r>
          </w:p>
        </w:tc>
        <w:tc>
          <w:tcPr>
            <w:tcW w:w="24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1,164</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2,515</w:t>
            </w:r>
          </w:p>
        </w:tc>
      </w:tr>
      <w:tr>
        <w:trPr>
          <w:trHeight w:val="229"/>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14,874</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14,886</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its facilities and certain equipment, with current lease terms running through 2032. Many leases include options to renew. The Company did not include renewal options in the calculation of the lease liability and right-of use asset at the lease inception unless the exercise of such options was reasonably certain. Fixed rent generally escalates each year, and the Company is responsible for a portion of the landlords’ operating expenses such as property tax, insurance and common area maintenance.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leases include various operating leases expiring at various dates through September 2032 and a finance lease expiring September 2032 for one of our buildings in San Jose. The Company’s leases do not have any contingent rent payments and do not contain residual value guarantees.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Company entered into a Lease Termination Agreement to terminate the Company’s lease for certain premises outside of the Company’s headquarters, consisting of approximately 80,641 rentable square feet of space located in San Jose, California, effective in August 2025. The original term of the Lease commenced on November 1, 2021 and was to expire on September 30, 2032. The Company recognized a loss of approximately $8.3 million on its Consolidated Statements of Operations and Comprehensive Income (Loss) for the year ended December 31, 2025, which includes the write-off of approximately $7.6 million related to leasehold improvements and a lease termination loss of approximately $0.7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Company entered into an agreement to sublease certain premises outside of its headquarters through the duration of the lease term which expires on September 30, 2032, unless terminated earlier in accordance with its terms. Under the sublease, the Company expects to receive approximately $11.5 million as base rent over the term of the sublease. During the year ended December 31, 2025, sublease income recognized was immaterial.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related expense are as follows (amounts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2,873</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9,047</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3,256</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17,347</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18,072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supplemental cash and non-cash information related to leases are as follows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outgoing cash flows - finance lease</w:t>
            </w:r>
          </w:p>
        </w:tc>
        <w:tc>
          <w:tcPr>
            <w:tcW w:w="20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Financing outgoing cash flows - finance lease</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2,907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1,973</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outgoing cash flows - operating lease</w:t>
            </w: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8,832</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7,428</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5460" w:type="dxa"/>
            <w:vAlign w:val="bottom"/>
          </w:tcPr>
          <w:p>
            <w:pPr>
              <w:spacing w:after="0"/>
              <w:rPr>
                <w:sz w:val="24"/>
                <w:szCs w:val="24"/>
                <w:color w:val="auto"/>
              </w:rPr>
            </w:pPr>
          </w:p>
        </w:tc>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77</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displays additional information for leases as of December 31, 2025 and 2024:</w:t>
      </w:r>
    </w:p>
    <w:p>
      <w:pPr>
        <w:spacing w:after="0" w:line="21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87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Finance lease</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1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148"/>
        </w:trPr>
        <w:tc>
          <w:tcPr>
            <w:tcW w:w="8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lease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9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future minimum payments during the next five years and thereafter are as follows (amounts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4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Lease</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7,071</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5,417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5,566</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7,100</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5,719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7,343</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6,038</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12,730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10,433</w:t>
            </w:r>
          </w:p>
        </w:tc>
      </w:tr>
      <w:tr>
        <w:trPr>
          <w:trHeight w:val="209"/>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48,602</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39,049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w:t>
            </w: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8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39,134</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31,866</w:t>
            </w: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lease agreements do not provide an implicit rate, the Company used an estimated incremental borrowing rate that will be incurred to borrow on a collateralized basis over a similar term at the lease commencement date or modification date in determining the present value of lease payments.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establishes assets and liabilities for the present value of estimated future costs to return certain of our leased facilities to their original condition upon the termination or expiration of a lease. The recognition of an asset retirement obligation requires the Company to make assumptions and judgments including the actions required to satisfy the liability, inflation rates and the credit-adjusted risk-free rate. The initially recognized asset retirement cost is amortized using the same method and useful life as the long-lived asset to which it relates. Accretion expense is recognized over time as the discounted liability is accreted to its expected settlement value. The Company recorded asset retirement obligation of approximately $13.7 million and $12.4 million as of December 31, 2025 and 2024, respectively, in Other liabilities in the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is subject to certain claims, charges and litigation concerning matters arising in connection with the conduct of the Company’s business activities.</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Shareholder Derivative Litigation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Two shareholder derivative suits were filed in February 2021 in the United States District Court for the Northern District of California against 11 officers and directors of the Company and have been consolidated into one action, with the first-filed complaint being designated the operative one. The Company is the nominal defendant. The complaint alleges that the individual defendants breached various duties to the Company and contains similar allegations to the settled and dismissed securities class action brought against the Company and three of its executives in January 2021, in which it was alleged that materially false and misleading statements were made concerning the Company’s business, operations, and prospects, including information regarding its battery technology. VGA is also named as a defendant in the derivative litigation. The action is currently stayed. A shareholder derivative suit was filed in October 2024 in the United States District Court for the Northern District of California against current and former officers and directors of the Company and VGA alleging breaches of duties to the Company. The Company is the nominal defendant. The action was deemed related to the consolidated action and is currently stayed.</w:t>
      </w:r>
    </w:p>
    <w:p>
      <w:pPr>
        <w:spacing w:after="0" w:line="8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 June through August 2022, four shareholder derivative suits were filed in the Court of Chancery of the State of Delaware against current and former directors and officers of the Company. The Company is the nominal defendant. The complaints allege that the individual defendants breached various duties to the Company. VGA is also named as a defendant in three of those actions. In September 2022, the four actions were consolidated and stayed. A consolidated amended complaint was filed on July 30, 2024.</w:t>
      </w:r>
    </w:p>
    <w:p>
      <w:pPr>
        <w:spacing w:after="0" w:line="7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 shareholder derivative action was filed in the United States District Court for the District of Delaware on February 22, 2024, against current and former directors and officers of the Company. The Company is the nominal defendant. The complaint alleges that the individual defendants breached various duties to the Company and includes a claim for contribution related to the securities class action that was brought against the Company and three of its executives in January 2021 and subsequently settled and dismissed. The complaint also alleges that plaintiff previously sent a litigation demand to the Board and alleges that the demand has effectively been rejected. The action is currently stayed.</w:t>
      </w:r>
    </w:p>
    <w:p>
      <w:pPr>
        <w:spacing w:after="0" w:line="7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Two additional shareholder derivative actions were filed in the Court of Chancery of the State of Delaware in May 2024 and October 2024, against current and former directors and officers of the Company. The Company is the nominal defendant. The complaints allege that the individual defendants breached various duties to the Company. The complaints also allege that the plaintiffs previously sent a litigation demand to the Board and allege that the demands had effectively been rejected. The action filed in May 2024 is currently stayed.</w:t>
      </w:r>
    </w:p>
    <w:p>
      <w:pPr>
        <w:spacing w:after="0" w:line="7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 settlement in principle to resolve all the above-described derivative actions was reached in February 2026. This pending settlement is subject to final documentation, notice to stockholders, and preliminary and final approval of the court.</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Private Attorneys General Actions</w:t>
      </w:r>
    </w:p>
    <w:p>
      <w:pPr>
        <w:spacing w:after="0" w:line="11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is a defendant in two Private Attorneys General Act (“PAGA”) wage-and-hour actions filed in Santa Clara County Superior Court by former employees, along with a related class action in arbitration. The complaints allege violations of California’s Labor Code. The actions are presently stayed. The Company denies the allegations. In April 2025, the parties reached an agreement in principle to settle the claims.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many legal matters, particularly those in early stages, the Company cannot reasonably estimate the possible loss (or range of loss), if any. The Company records an accrual for legal matters at the time or times it determines that a loss is both probable and reasonably estimable. As of December 31, 2025 and 2024, the amount accrued for each matter was individually not material, and the aggregate amount accrued was approximately $4 million as of December 31, 2025 and $12 million as of December 31, 2024. Regarding matters for which no accrual has been made (including the potential for losses in excess of amounts accrued), the Company currently believes, based on its own investigations, that any losses (or ranges of losses) that are reasonably possible and estimable will not, in the aggregate, have a material adverse effect on its financial position, results of operations, or cash flows. However, the ultimate outcome of legal proceedings involves judgments, estimates, and inherent uncertainties and cannot be predicted with certainty. Should the ultimate outcome of any legal matter be unfavorable, the Company’s business, financial condition, results of operations, or cash flows could be materially and adversely affected. The Company may also incur substantial legal fees, which are expensed as incurred, in defending against legal claims.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minimum purchase commitments consist of non-cancellable agreements to purchase goods and services, primarily for materials, and licenses and hosting services, entered into in the ordinary course of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4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December 31, 2025, future minimum purchase commitments in aggregate during the next five years and thereafter are as follows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Minimum Purchase</w:t>
            </w:r>
          </w:p>
        </w:tc>
      </w:t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2,646</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4,828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1,350,000,000 shares, $0.0001 par value per share are authorized, of which, 1,000,000,000 shares are designated as Class A Common Stock, 250,000,000 shares are designated as Class B Common Stock, and 100,000,000 shares are designated as Preferred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dividends when, as, and if, declared by the Company’s Board of Directors (the “Board”), subject to the rights of the holders of all classes of stock outstanding having priority rights to dividends. As of December 31, 2025, the Company had not declared any dividends. The holder of each share of Class A Common Stock is entitled to one vote, and the holder of each share of Class B Common Stock is entitled to ten votes.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completed an underwritten public offering of 37.5 million shares of its Class A Common Stock for an aggregate purchase price of $288.2 million, net of issuance costs of $11.8 million (the “August 2023 Public Offering”).</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separate Distribution Agreements with J.P. Morgan Securities LLC, Cowen and Company, LLC, Deutsche Bank Securities Inc. and UBS Securities LLC, as sales agents, pursuant to which the Company issued and sold, from time to time, common stock with an aggregate offering price of $400 million (the “ATM offering”) under the prospectus supplement dated February 28, 2023 to a shelf registration statement on Form S-3 (the “Form S-3”). During the year ended December 31, 2024, 24.9 million shares of the Company’s Class A Common Stock were sold pursuant to the ATM offering for aggregate proceeds of approximately $128.5 million, net of issuance costs paid. During the year ended December 31, 2025, 29.5 million shares of the Company’s Class A Common Stock were sold pursuant to the ATM offering for aggregate proceeds of approximately $264.2 million, net of issuance costs paid completing the ATM offering.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Business Combination, the Company maintained its 2010 Equity Incentive Plan (the “2010 Plan”), under which the Company granted options and restricted stock units to purchase or directly issue shares of common stock to employees, directors, and non-employees.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closing of the Business Combination, awards under the 2010 Plan were converted at an exchange ratio of 4.02175014920, and assumed into the 2020 Equity Incentive Award Plan (the “2020 Plan”, and together with the 2010 Plan, the “Plans”). The 2020 Plan permits the granting of awards in the form of incentive stock options, nonqualified stock options, stock appreciation rights, restricted shares, restricted stock units and performance awards to employees, directors, and non-employees.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136,592,934 shares of Class A Common Stock are authorized for issuance pursuant to awards under the 2020 Plan, plus any shares of Class A Common Stock subject to stock options, restricted stock units or other awards that were assumed in the Business Combination and terminate as a result of being unexercised or are forfeited or repurchased by the Company, with the maximum number of shares to be added to the 2020 Plan equal to 69,846,580 shares of Class A Common Stock. As of December 31, 2025, 58,843,980 shares of Class A Common Stock are reserved and available for future issuance under the 2020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Plans, including the EPA Program discussed below,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3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Balance as of December 31, 2024 </w:t>
            </w:r>
            <w:r>
              <w:rPr>
                <w:rFonts w:ascii="Times New Roman" w:cs="Times New Roman" w:eastAsia="Times New Roman" w:hAnsi="Times New Roman"/>
                <w:sz w:val="24"/>
                <w:szCs w:val="24"/>
                <w:color w:val="auto"/>
                <w:vertAlign w:val="superscript"/>
              </w:rPr>
              <w:t>(1)</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24,043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7.36</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Cancelled and forfeited </w:t>
            </w:r>
            <w:r>
              <w:rPr>
                <w:rFonts w:ascii="Times New Roman" w:cs="Times New Roman" w:eastAsia="Times New Roman" w:hAnsi="Times New Roman"/>
                <w:sz w:val="24"/>
                <w:szCs w:val="24"/>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4,469</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7.22</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24,883</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Vested and expected to vest as of December 31, 2025</w:t>
            </w:r>
            <w:r>
              <w:rPr>
                <w:rFonts w:ascii="Times New Roman" w:cs="Times New Roman" w:eastAsia="Times New Roman" w:hAnsi="Times New Roman"/>
                <w:sz w:val="24"/>
                <w:szCs w:val="24"/>
                <w:color w:val="auto"/>
                <w:vertAlign w:val="superscript"/>
              </w:rPr>
              <w:t>(3)</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3,965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5.21</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24,883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2025</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3,629</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3.56</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24,883</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140" w:type="dxa"/>
            <w:vAlign w:val="bottom"/>
            <w:tcBorders>
              <w:top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-316865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-316865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-316865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857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includes 5.9 million options outstanding as of December 31, 2024 pursuant to the EPA Program.</w:t>
      </w:r>
    </w:p>
    <w:p>
      <w:pPr>
        <w:spacing w:after="0" w:line="1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options cancelled and forfeited under the EPA Program.</w:t>
      </w:r>
    </w:p>
    <w:p>
      <w:pPr>
        <w:spacing w:after="0" w:line="18" w:lineRule="exact"/>
        <w:rPr>
          <w:rFonts w:ascii="Times New Roman" w:cs="Times New Roman" w:eastAsia="Times New Roman" w:hAnsi="Times New Roman"/>
          <w:sz w:val="16"/>
          <w:szCs w:val="16"/>
          <w:color w:val="auto"/>
        </w:rPr>
      </w:pPr>
    </w:p>
    <w:p>
      <w:pPr>
        <w:ind w:right="20" w:firstLine="8"/>
        <w:spacing w:after="0" w:line="288" w:lineRule="auto"/>
        <w:tabs>
          <w:tab w:leader="none" w:pos="22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includes 0.3 million options granted pursuant to the EPA Program that are expected to vest as of December 31, 2025. None of the options granted pursuant to the EPA Program were vested and exercisable as of December 31,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 ended December 31, 2025, 2024 or 2023.</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 ended December 31, 2025, 2024 and 2023 was $77.8 million, $39.9 million and $49.8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options outstanding as of December 31, 2025,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3"/>
                <w:szCs w:val="13"/>
                <w:color w:val="auto"/>
              </w:rPr>
            </w:pPr>
          </w:p>
        </w:tc>
        <w:tc>
          <w:tcPr>
            <w:tcW w:w="19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20" w:type="dxa"/>
            <w:vAlign w:val="bottom"/>
          </w:tcPr>
          <w:p>
            <w:pPr>
              <w:spacing w:after="0"/>
              <w:rPr>
                <w:sz w:val="13"/>
                <w:szCs w:val="13"/>
                <w:color w:val="auto"/>
              </w:rPr>
            </w:pPr>
          </w:p>
        </w:tc>
        <w:tc>
          <w:tcPr>
            <w:tcW w:w="19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 per Share</w:t>
            </w:r>
          </w:p>
        </w:tc>
        <w:tc>
          <w:tcPr>
            <w:tcW w:w="160" w:type="dxa"/>
            <w:vAlign w:val="bottom"/>
            <w:vMerge w:val="restart"/>
          </w:tcPr>
          <w:p>
            <w:pPr>
              <w:spacing w:after="0"/>
              <w:rPr>
                <w:sz w:val="12"/>
                <w:szCs w:val="12"/>
                <w:color w:val="auto"/>
              </w:rPr>
            </w:pPr>
          </w:p>
        </w:tc>
        <w:tc>
          <w:tcPr>
            <w:tcW w:w="2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0" w:type="dxa"/>
            <w:vAlign w:val="bottom"/>
          </w:tcPr>
          <w:p>
            <w:pPr>
              <w:spacing w:after="0"/>
              <w:rPr>
                <w:sz w:val="1"/>
                <w:szCs w:val="1"/>
                <w:color w:val="auto"/>
              </w:rPr>
            </w:pPr>
          </w:p>
        </w:tc>
      </w:tr>
      <w:tr>
        <w:trPr>
          <w:trHeight w:val="173"/>
        </w:trPr>
        <w:tc>
          <w:tcPr>
            <w:tcW w:w="50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19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$1.05 - $1.35</w:t>
            </w:r>
          </w:p>
        </w:tc>
        <w:tc>
          <w:tcPr>
            <w:tcW w:w="2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658</w:t>
            </w:r>
          </w:p>
        </w:tc>
        <w:tc>
          <w:tcPr>
            <w:tcW w:w="54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1.32</w:t>
            </w:r>
          </w:p>
        </w:tc>
        <w:tc>
          <w:tcPr>
            <w:tcW w:w="204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2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1,676</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2.38</w:t>
            </w:r>
          </w:p>
        </w:tc>
        <w:tc>
          <w:tcPr>
            <w:tcW w:w="2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2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1,295</w:t>
            </w:r>
          </w:p>
        </w:tc>
        <w:tc>
          <w:tcPr>
            <w:tcW w:w="54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6.23</w:t>
            </w:r>
          </w:p>
        </w:tc>
        <w:tc>
          <w:tcPr>
            <w:tcW w:w="204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5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$23.04</w:t>
            </w:r>
          </w:p>
        </w:tc>
        <w:tc>
          <w:tcPr>
            <w:tcW w:w="2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49"/>
        </w:trPr>
        <w:tc>
          <w:tcPr>
            <w:tcW w:w="50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-25400</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768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based on the grant-date fair value. The Company recognizes compensation expense for awards with only service conditions on a straight-line basis over the requisite service period of the awards, which is generally the option vesting term of four years.</w:t>
      </w:r>
    </w:p>
    <w:p>
      <w:pPr>
        <w:spacing w:after="0" w:line="162" w:lineRule="exact"/>
        <w:rPr>
          <w:sz w:val="20"/>
          <w:szCs w:val="20"/>
          <w:color w:val="auto"/>
        </w:rPr>
      </w:pPr>
    </w:p>
    <w:p>
      <w:pPr>
        <w:ind w:right="120"/>
        <w:spacing w:after="0" w:line="375" w:lineRule="auto"/>
        <w:rPr>
          <w:sz w:val="20"/>
          <w:szCs w:val="20"/>
          <w:color w:val="auto"/>
        </w:rPr>
      </w:pPr>
      <w:r>
        <w:rPr>
          <w:rFonts w:ascii="Times New Roman" w:cs="Times New Roman" w:eastAsia="Times New Roman" w:hAnsi="Times New Roman"/>
          <w:sz w:val="18"/>
          <w:szCs w:val="18"/>
          <w:color w:val="auto"/>
        </w:rPr>
        <w:t xml:space="preserve">Excluding options granted pursuant to the EPA Program, as of December 31, 2025, there was no unrecognized compensation cost related to stock options. </w:t>
      </w:r>
      <w:r>
        <w:rPr>
          <w:rFonts w:ascii="Times New Roman" w:cs="Times New Roman" w:eastAsia="Times New Roman" w:hAnsi="Times New Roman"/>
          <w:sz w:val="18"/>
          <w:szCs w:val="18"/>
          <w:i w:val="1"/>
          <w:iCs w:val="1"/>
          <w:color w:val="auto"/>
        </w:rPr>
        <w:t>EPA Program</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the Company granted stock options for the purchase of an aggregate of approximately 14.7 million shares of the Company’s Class A Common Stock to the Company’s Chief Executive Officer at the time and other members of the Company’s management team pursuant to the EPA Program that was approved by the Company’s stockholders in December 2021. In December 2022, the remaining 2.1 million stock options under the EPA Program were granted to members of the Company’s management team under the same terms as those in the initial grant in 2021, representing the final grant pursuant to the EPA Program approved in December 2021. The EPA Program consists of five equal tranches (each a “Tranche”) that vest if the Company meets certain business milestones (performance conditions) and stock price targets (market conditions).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the compensation expense associated with each Tranche when it determines that achievement of a related business milestone is considered probable. As of December 31, 2025, the business milestone for one Tranche had been achieved; however, because the related stock price target has not yet been achieved, no shares have vested to date. As of December 31, 2025, one other Tranche was considered probable.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certain named executive officers and certain other senior employees entered into agreements with the Company to waive the stock options granted to them under the Company’s 2021 Extraordinary Performance Award Program. The total number of shares of the Company’s Class A Common Stock underlying such waived stock options was 3,989,584. As such, these stock options were cancelled in February 2025. The remaining number of shares outstanding under the EPA Program is approximately 0.8 million as of December 31, 2025.</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the Company recorded stock-based compensation expense of $4.8 million related to the EPA Program, net of expense including $5.7 million for the EPA awards cancelled in February 2025 where the unamortized expense was fully recognized offset by the forfeitures of awards. For the years ended December 31, 2024 and 2023, the Company recorded a credit in stock-based compensation expense of $13.4 million, primarily due to the reversal of the previously recognized expense for the options where the requisite service period had not been completed at the time of forfeiture and stock-based compensation expense of $26.3 million, respectively, related to the EPA Program. As of December 31, 2025, the Company had immaterial unrecognized stock-based compensation expense for the business milestones currently achieved or considered probable of achievement, which will be recognized over an estimated weighted-average period of 1.4 years. As of December 31, 2025, the Company had approximately $4.4 million of total unrecognized stock-based compensation expense for the business milestones currently considered not probable of achievement.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2024, and 2025, the Company granted 4.4 million, 4.2 million, and 5.4 million shares of restricted stock units with service and performance conditions (“PSU”), respectively, to members of the Company’s management team and certain other employees under the Company’s 2020 Plan. The performance conditions for these PSUs are related to the Company’s product development, operational, and business milestones through May 2026, May 2027, and May 2028, respectively. These PSUs will expire in May 2026, May 2027, and May 2028, respectively, if performance conditions are not met. For the years ended December 31, 2025, 2024 and 2023, the Company recorded stock-based compensation expense of $14.4 million, $24.3 million and $15.8 million, respectively, related to these PSUs, for the milestones achieved or considered probable of achievement.</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Bonus Plan is settled in the form of restricted stock units to eligible employees upon the achievement of certain service and performance conditions. These performance conditions are related to the Company’s product development, operational, and business milestones for the year. The stock-based compensation expense related to the Bonus Plan were recorded as liabilities under Accrued compensation and benefits prior to the settlement of vested restricted stock units, upon which the liability is reclassified into equity. For the years ended December 31, 2025, 2024 and 2023, the Company recorded stock-based compensation expense of $17.8 million, $22.3 million and $20.7 million, respectively, related to the Bonus Plans. In February 2025, approximately 4.3 million restricted stock units were granted and vested under the 2024 Bonus Plan for final settlement, resulting in approximately $20.3 million in additional paid in capital, of which $16.9 million was reclassified from Accrued compensation. This represents a non-cash financing activity during the year ended December 31, 2025. Stock-based compensation expense related to the 2025 Bonus Plan of approximately $14.5 million are recorded as liabilities under Accrued compensation and benefits in the Consolidated Balance Sheets as of December 31, 2025, and will be reclassified to additional paid-in capital upon issuance of the restricted stock units. On February 24, 2026, approximately 2.3 million restricted stock units were granted and vested under the 2025 Bonus Plan for the settlement, and as a result, approximately $14.3 million will be reclassified to additional paid-in capital in the first fiscal quarter of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with service conditions only (“RSU”) and PSU activities under the Plans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10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PSUs Outstanding</w:t>
            </w:r>
          </w:p>
        </w:tc>
      </w:tr>
      <w:tr>
        <w:trPr>
          <w:trHeight w:val="117"/>
        </w:trPr>
        <w:tc>
          <w:tcPr>
            <w:tcW w:w="5100" w:type="dxa"/>
            <w:vAlign w:val="bottom"/>
          </w:tcPr>
          <w:p>
            <w:pPr>
              <w:spacing w:after="0"/>
              <w:rPr>
                <w:sz w:val="10"/>
                <w:szCs w:val="10"/>
                <w:color w:val="auto"/>
              </w:rPr>
            </w:pPr>
          </w:p>
        </w:tc>
        <w:tc>
          <w:tcPr>
            <w:tcW w:w="146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144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r>
      <w:tr>
        <w:trPr>
          <w:trHeight w:val="148"/>
        </w:trPr>
        <w:tc>
          <w:tcPr>
            <w:tcW w:w="5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3"/>
        </w:trPr>
        <w:tc>
          <w:tcPr>
            <w:tcW w:w="5100" w:type="dxa"/>
            <w:vAlign w:val="bottom"/>
          </w:tcPr>
          <w:p>
            <w:pPr>
              <w:spacing w:after="0"/>
              <w:rPr>
                <w:sz w:val="15"/>
                <w:szCs w:val="15"/>
                <w:color w:val="auto"/>
              </w:rPr>
            </w:pPr>
          </w:p>
        </w:tc>
        <w:tc>
          <w:tcPr>
            <w:tcW w:w="14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26,875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7.51</w:t>
            </w:r>
          </w:p>
        </w:tc>
        <w:tc>
          <w:tcPr>
            <w:tcW w:w="154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6,575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21,195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3.91</w:t>
            </w:r>
          </w:p>
        </w:tc>
        <w:tc>
          <w:tcPr>
            <w:tcW w:w="154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9,698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7.65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5.19</w:t>
            </w:r>
          </w:p>
        </w:tc>
      </w:tr>
      <w:tr>
        <w:trPr>
          <w:trHeight w:val="25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28,957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5.17</w:t>
            </w:r>
          </w:p>
        </w:tc>
        <w:tc>
          <w:tcPr>
            <w:tcW w:w="154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7,376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4.75</w:t>
            </w:r>
          </w:p>
        </w:tc>
      </w:tr>
      <w:tr>
        <w:trPr>
          <w:trHeight w:val="629"/>
        </w:trPr>
        <w:tc>
          <w:tcPr>
            <w:tcW w:w="5100" w:type="dxa"/>
            <w:vAlign w:val="bottom"/>
            <w:tcBorders>
              <w:top w:val="single" w:sz="8" w:color="CFF0FC"/>
            </w:tcBorders>
          </w:tcPr>
          <w:p>
            <w:pPr>
              <w:spacing w:after="0"/>
              <w:rPr>
                <w:sz w:val="24"/>
                <w:szCs w:val="24"/>
                <w:color w:val="auto"/>
              </w:rPr>
            </w:pPr>
          </w:p>
        </w:tc>
        <w:tc>
          <w:tcPr>
            <w:tcW w:w="1460" w:type="dxa"/>
            <w:vAlign w:val="bottom"/>
            <w:tcBorders>
              <w:top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spacing w:after="0"/>
              <w:rPr>
                <w:sz w:val="24"/>
                <w:szCs w:val="24"/>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-933450</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-916305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RSUs which vested during the years ended December 31, 2025, 2024 and 2023 was $97.5 million, $58.3 million and $68.1 million, respectively. The fair value of PSUs which vested during the year ended December 31, 2025 was $44.2 million in total, consisting of the final settlement under the 2024 Bonus Plan and the PSUs granted to the management team and certain other employees. The fair value of PSUs which vested during the year ended December 31, 2024 was $29.3 million in total, consisting of the final settlement under the 2023 Bonus Plan, the interim settlement under the 2024 Bonus Plan, and the PSUs granted to members of the Company’s management team and certain other employees. The fair value of PSUs which vested during the year ended December 31, 2023 was $2.9 million, which was the interim settlement under the 2023 Bonus Plan.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costs related to unvested RSUs and PSUs were $135.6 million and $14.0 million, respectively, and are expected to be recognized over a weighted average period of 2.6 years and 1.2 years,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accompanying Consolidated Statements of Operations and Comprehensive Loss for all awards is as follows (amounts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4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83,099</w:t>
            </w: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97,947</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94,285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44,363</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46,706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72,012</w:t>
            </w: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127,462</w:t>
            </w: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144,653</w:t>
            </w:r>
          </w:p>
        </w:tc>
        <w:tc>
          <w:tcPr>
            <w:tcW w:w="1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166,297</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during the period. Diluted earnings per share adjusts basic earnings per share for the potentially dilutive impact of stock options. As the Company has reported a loss for the year ended December 31, 2025, potentially dilutive securities, are antidilutive and accordingly, basic net loss per share equals diluted net loss per share.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Class A Common Stock and Class B Common Stock (amounts in thousands,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(435,050)</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(477,857)</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(445,145)</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Class A and Class B Common Stock outstanding - Basic and Diluted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575,950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508,102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462,239</w:t>
            </w:r>
          </w:p>
        </w:tc>
      </w:tr>
      <w:tr>
        <w:trPr>
          <w:trHeight w:val="198"/>
        </w:trPr>
        <w:tc>
          <w:tcPr>
            <w:tcW w:w="65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 - Basic and</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34"/>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were the same for each period presented as the inclusion of all potential Class A Common Stock and Class B Common Stock outstanding would have been anti-dilutive.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as of the periods presented because including them would have been antidilutive (amounts in thousands):</w:t>
      </w:r>
    </w:p>
    <w:p>
      <w:pPr>
        <w:spacing w:after="0" w:line="15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7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4,469</w:t>
            </w:r>
          </w:p>
        </w:tc>
        <w:tc>
          <w:tcPr>
            <w:tcW w:w="15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24,043</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42,141</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28,957</w:t>
            </w:r>
          </w:p>
        </w:tc>
        <w:tc>
          <w:tcPr>
            <w:tcW w:w="15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26,875</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23,003</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9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10,541</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7,259</w:t>
            </w:r>
          </w:p>
        </w:tc>
        <w:tc>
          <w:tcPr>
            <w:tcW w:w="0" w:type="dxa"/>
            <w:vAlign w:val="bottom"/>
          </w:tcPr>
          <w:p>
            <w:pPr>
              <w:spacing w:after="0"/>
              <w:rPr>
                <w:sz w:val="1"/>
                <w:szCs w:val="1"/>
                <w:color w:val="auto"/>
              </w:rPr>
            </w:pPr>
          </w:p>
        </w:tc>
      </w:tr>
      <w:tr>
        <w:trPr>
          <w:trHeight w:val="209"/>
        </w:trPr>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42,396</w:t>
            </w:r>
          </w:p>
        </w:tc>
        <w:tc>
          <w:tcPr>
            <w:tcW w:w="15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61,459</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72,403</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-1079500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-1079500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 U.S. provision for income taxes for the years ended December 31, 2025, 2024 and 2023 due to net operating losses generated and full valuation allowance against US deferred tax assets. The Company has a subsidiary in Japan and the foreign tax provision (benefit) in Japan for the years ended December 31, 2025, 2024 and 2023 are $1.5 million, $(0.3) million and $20 thousand, respectively, which are presented in the Consolidated Statements of Operations and Comprehensive Income (Loss).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update requires annual disclosure of disaggregated rate reconciliation categories and income taxes paid by jurisdiction. The amendments are effective for public business entities for fiscal years beginning after December 15, 2024. Accordingly, this guidance is effective for the Company for the calendar year beginning January 1, 2025, on a prospective basis. Early adoption and retrospective application are permitted. Therefore, the Company has adopted a retrospective approach for the effective tax rate disclosure requirement.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from U.S. statutory rate of 21% to the effective rate and the reconciling item threshold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13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2"/>
                <w:szCs w:val="12"/>
                <w:color w:val="auto"/>
              </w:rPr>
            </w:pPr>
          </w:p>
        </w:tc>
      </w:tr>
      <w:tr>
        <w:trPr>
          <w:trHeight w:val="124"/>
        </w:trPr>
        <w:tc>
          <w:tcPr>
            <w:tcW w:w="4320" w:type="dxa"/>
            <w:vAlign w:val="bottom"/>
          </w:tcPr>
          <w:p>
            <w:pPr>
              <w:spacing w:after="0"/>
              <w:rPr>
                <w:sz w:val="10"/>
                <w:szCs w:val="10"/>
                <w:color w:val="auto"/>
              </w:rPr>
            </w:pPr>
          </w:p>
        </w:tc>
        <w:tc>
          <w:tcPr>
            <w:tcW w:w="1380" w:type="dxa"/>
            <w:vAlign w:val="bottom"/>
            <w:tcBorders>
              <w:top w:val="single" w:sz="8" w:color="auto"/>
            </w:tcBorders>
          </w:tcPr>
          <w:p>
            <w:pPr>
              <w:jc w:val="right"/>
              <w:ind w:right="453"/>
              <w:spacing w:after="0" w:line="124"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top w:val="single" w:sz="8" w:color="auto"/>
            </w:tcBorders>
          </w:tcPr>
          <w:p>
            <w:pPr>
              <w:jc w:val="right"/>
              <w:ind w:right="372"/>
              <w:spacing w:after="0" w:line="124"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0"/>
                <w:szCs w:val="10"/>
                <w:color w:val="auto"/>
              </w:rPr>
            </w:pPr>
          </w:p>
        </w:tc>
        <w:tc>
          <w:tcPr>
            <w:tcW w:w="1140" w:type="dxa"/>
            <w:vAlign w:val="bottom"/>
            <w:tcBorders>
              <w:top w:val="single" w:sz="8" w:color="auto"/>
            </w:tcBorders>
          </w:tcPr>
          <w:p>
            <w:pPr>
              <w:jc w:val="right"/>
              <w:ind w:right="359"/>
              <w:spacing w:after="0" w:line="124"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top w:val="single" w:sz="8" w:color="auto"/>
            </w:tcBorders>
          </w:tcPr>
          <w:p>
            <w:pPr>
              <w:jc w:val="right"/>
              <w:ind w:right="352"/>
              <w:spacing w:after="0" w:line="124"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0"/>
                <w:szCs w:val="10"/>
                <w:color w:val="auto"/>
              </w:rPr>
            </w:pPr>
          </w:p>
        </w:tc>
        <w:tc>
          <w:tcPr>
            <w:tcW w:w="1140" w:type="dxa"/>
            <w:vAlign w:val="bottom"/>
            <w:tcBorders>
              <w:top w:val="single" w:sz="8" w:color="auto"/>
            </w:tcBorders>
          </w:tcPr>
          <w:p>
            <w:pPr>
              <w:jc w:val="right"/>
              <w:ind w:right="379"/>
              <w:spacing w:after="0" w:line="124"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jc w:val="right"/>
              <w:ind w:right="372"/>
              <w:spacing w:after="0" w:line="124"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(91,036)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(100,424)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(93,462)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3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1,557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(5,242)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(8,618)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(8,962)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 - Federal</w:t>
            </w: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90,691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97,484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70,246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(13,743)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4,076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(643)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Sec. 162(m) wage limitation</w:t>
            </w:r>
          </w:p>
        </w:tc>
        <w:tc>
          <w:tcPr>
            <w:tcW w:w="13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13,093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7,155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32,363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 deductible expense under collaboration agreement</w:t>
            </w: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6,201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tcBorders>
              <w:bottom w:val="single" w:sz="8" w:color="auto"/>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128</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Borders>
              <w:bottom w:val="single" w:sz="8" w:color="auto"/>
            </w:tcBorders>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469</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1,544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(269)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-10795</wp:posOffset>
            </wp:positionV>
            <wp:extent cx="439737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439737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as of December 31, 2025 and December 31, 2024, are as follows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704,009</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479,714</w:t>
            </w:r>
          </w:p>
        </w:tc>
      </w:tr>
      <w:tr>
        <w:trPr>
          <w:trHeight w:val="216"/>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93,045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84,574</w:t>
            </w: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stock-based compensation</w:t>
            </w:r>
          </w:p>
        </w:tc>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16,343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25,875</w:t>
            </w:r>
          </w:p>
        </w:tc>
      </w:tr>
      <w:tr>
        <w:trPr>
          <w:trHeight w:val="216"/>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3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22,894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28,714</w:t>
            </w: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174 capitalized research &amp; development</w:t>
            </w:r>
          </w:p>
        </w:tc>
        <w:tc>
          <w:tcPr>
            <w:tcW w:w="3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117,456</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838,037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736,333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(785,595)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(674,155)</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52,442</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62,178</w:t>
            </w:r>
          </w:p>
        </w:tc>
      </w:tr>
      <w:tr>
        <w:trPr>
          <w:trHeight w:val="210"/>
        </w:trPr>
        <w:tc>
          <w:tcPr>
            <w:tcW w:w="4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3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(20,273)</w:t>
            </w: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4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3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(39,803)</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(61,087)</w:t>
            </w:r>
          </w:p>
        </w:tc>
      </w:tr>
      <w:tr>
        <w:trPr>
          <w:trHeight w:val="24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1,091</w:t>
            </w:r>
          </w:p>
        </w:tc>
      </w:tr>
      <w:tr>
        <w:trPr>
          <w:trHeight w:val="628"/>
        </w:trPr>
        <w:tc>
          <w:tcPr>
            <w:tcW w:w="4580" w:type="dxa"/>
            <w:vAlign w:val="bottom"/>
            <w:tcBorders>
              <w:top w:val="single" w:sz="8" w:color="CFF0FC"/>
            </w:tcBorders>
          </w:tcPr>
          <w:p>
            <w:pPr>
              <w:spacing w:after="0"/>
              <w:rPr>
                <w:sz w:val="24"/>
                <w:szCs w:val="24"/>
                <w:color w:val="auto"/>
              </w:rPr>
            </w:pPr>
          </w:p>
        </w:tc>
        <w:tc>
          <w:tcPr>
            <w:tcW w:w="316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-1782445</wp:posOffset>
            </wp:positionV>
            <wp:extent cx="1111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-1224915</wp:posOffset>
            </wp:positionV>
            <wp:extent cx="111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1111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1111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Recognition of deferred tax assets is appropriate when realization of such assets is more likely than not. Based upon the weight of available evidence, which includes the Company’s historical operating performance, cumulative net losses since inception, and financial conditions of the consolidated group, the Company has provided a full valuation allowance against all deferred tax assets as of December 31, 2025. The Company’s valuation allowance increased by $111.4 million and $129.7 million for the years ended December 31, 2025 and 2024, respectively. A reconciliation of the beginning and ending balances of the valuation allowance is as follows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the year</w:t>
            </w:r>
          </w:p>
        </w:tc>
        <w:tc>
          <w:tcPr>
            <w:tcW w:w="3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(674,155)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(544,408)</w:t>
            </w:r>
          </w:p>
        </w:tc>
      </w:tr>
      <w:tr>
        <w:trPr>
          <w:trHeight w:val="21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w:t>
            </w:r>
          </w:p>
        </w:tc>
        <w:tc>
          <w:tcPr>
            <w:tcW w:w="3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(111,440)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(129,747)</w:t>
            </w: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the year</w:t>
            </w:r>
          </w:p>
        </w:tc>
        <w:tc>
          <w:tcPr>
            <w:tcW w:w="30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(785,595)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(674,155)</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U.S. federal and state net operating loss carryforwards of approximately $2.60 billion and $2.35 billion, respectively. The U.S. federal net operating loss carryforwards of $170.2 million generated prior to 2018 will expire at various dates beginning in 2030, if not utilized. The remaining U.S. federal net operating loss carryforwards of $2.43 billion can be carried forward indefinitely. The state net operating loss carryforwards will expire at various dates beginning in 2030, if not utilized.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change in ownership, as defined under federal and state tax laws, the Company’s net operating loss and tax credit carryforwards could be subject to annual limitations. The annual limitations could result in the expiration of the net operating loss and tax credit carryforwards prior to utilization.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also has U.S. federal and California research and development credits of $111.5 million and $81.4 million, respectively. The U.S. federal tax credit carryforwards will expire beginning in 2031 if not utilized. The state tax credit carryforwards do not expire.</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unrecognized tax benefits in accordance with ASC 740-10,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740-10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unrecognized tax benefits is as follows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the year</w:t>
            </w:r>
          </w:p>
        </w:tc>
        <w:tc>
          <w:tcPr>
            <w:tcW w:w="8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6"/>
              </w:rPr>
              <w:t>81,395</w:t>
            </w:r>
          </w:p>
        </w:tc>
        <w:tc>
          <w:tcPr>
            <w:tcW w:w="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68,057</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52,802</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Increase—current year positions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10,036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15,113</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Decrease—current year positions</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Increase—prior year positions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Decrease—prior year positions</w:t>
            </w: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End of the year</w:t>
            </w:r>
          </w:p>
        </w:tc>
        <w:tc>
          <w:tcPr>
            <w:tcW w:w="820" w:type="dxa"/>
            <w:vAlign w:val="bottom"/>
            <w:gridSpan w:val="2"/>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90,827</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81,395</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68,057</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Company’s full valuation allowance, the unrecognized tax benefits would not materially impact the Company’s effective tax rate when recognized.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classify interest and penalties associated with uncertain tax positions, if any, as a component of its income tax provision. For the years ended December 31, 2025, 2024 and 2023, the Company had no interest or penalties related to unrecognized tax benefits.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federal, state and Japan income tax returns remain open under the statute of limitations, as all years since the Company’s formation are subject to potential tax examinations. To the extent the Company has tax attribute carryforwards, the tax years in which the attribute was generated may still be adjusted upon examination by the IRS or state tax authorities to the extent utilized in a future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President signed into law the One Big Beautiful Bill Act (the “OBBBA”), which includes numerous changes to existing tax law including extending or making permanent certain business and international tax measures initially established under the 2017 Tax Cuts and Jobs Act that were set to expire. For example, the OBBBA permanently eliminates the requirement to capitalize and amortize U.S.-based research and experimental expenditures over five years, allowing these expenditures to be fully deductible in the tax year they were incurred. The OBBBA also permanently extends the full expensing of qualifying assets through accelerated bonus depreciation in the tax year such amounts were acquired. Given that the Company maintains a full valuation allowance, the impact of the tax law changes to the financial statements is not material.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entered into an Amended and Restated Collaboration Agreement (the “PowerCo Amendment”) with PowerCo SE (“PowerCo”), a battery cell company wholly owned by the Volkswagen Group, which is a major investor in the Company, for the industrialization by PowerCo of QS technology based on QSE-5.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Amendment, QS and PowerCo entered into a statement of work outlining the scope and responsibilities of the joint scale-up team working on the Company’s battery development. PowerCo has agreed that it will contribute up to $130.7 million for the project over the next two years, subject to the completion of certain technical milestones and other project goals by the joint scale-up team. The Amendment does not require the Company to repay funds contributed under the statement of work, and there are no restrictions on the use of the cash receipts.</w:t>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such payments should be accounted for in accordance with ASC 730-20 </w:t>
      </w:r>
      <w:r>
        <w:rPr>
          <w:rFonts w:ascii="Times New Roman" w:cs="Times New Roman" w:eastAsia="Times New Roman" w:hAnsi="Times New Roman"/>
          <w:sz w:val="18"/>
          <w:szCs w:val="18"/>
          <w:i w:val="1"/>
          <w:iCs w:val="1"/>
          <w:color w:val="auto"/>
        </w:rPr>
        <w:t>Research and Development Arrangements,</w:t>
      </w:r>
      <w:r>
        <w:rPr>
          <w:rFonts w:ascii="Times New Roman" w:cs="Times New Roman" w:eastAsia="Times New Roman" w:hAnsi="Times New Roman"/>
          <w:sz w:val="18"/>
          <w:szCs w:val="18"/>
          <w:color w:val="auto"/>
        </w:rPr>
        <w:t xml:space="preserve"> as there is a presumption of a repayment obligation due to the significant related party relationship between the parties. Further, ASC 470-50 </w:t>
      </w:r>
      <w:r>
        <w:rPr>
          <w:rFonts w:ascii="Times New Roman" w:cs="Times New Roman" w:eastAsia="Times New Roman" w:hAnsi="Times New Roman"/>
          <w:sz w:val="18"/>
          <w:szCs w:val="18"/>
          <w:i w:val="1"/>
          <w:iCs w:val="1"/>
          <w:color w:val="auto"/>
        </w:rPr>
        <w:t>Debt – Modifications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Extinguishments </w:t>
      </w:r>
      <w:r>
        <w:rPr>
          <w:rFonts w:ascii="Times New Roman" w:cs="Times New Roman" w:eastAsia="Times New Roman" w:hAnsi="Times New Roman"/>
          <w:sz w:val="18"/>
          <w:szCs w:val="18"/>
          <w:color w:val="auto"/>
        </w:rPr>
        <w:t>indicates extinguishment transactions between related entities may be in essence capital transactions.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the Company received $19.5 million from PowerCo and such amount was recorded as a capital contribution to Additional Paid-In Capital in the Consolidated Statement of Shareholders’ Equity upon legal extinguishment. No shares were issued related to this capital transaction.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the design and operation of our disclosure controls and procedures as of December 31, 2025, the end of the period covered by this Report. Based upon that evaluation, our principal executive officer and principal financial officer concluded that, as of the end of the period covered by this Report,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Our internal control over financial reporting is designed to provide reasonable assurances regarding the reliability of financial reporting and the preparation of financial statements for external purposes in accordance with U.S. generally accepted accounting principles. Our internal control over financial reporting includes those policies and procedures that:</w:t>
      </w:r>
    </w:p>
    <w:p>
      <w:pPr>
        <w:spacing w:after="0" w:line="7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internal control systems include the controls themselves, actions taken to correct deficiencies as identified, an organizational structure providing for division of responsibilities, careful selection and training of qualified financial personnel and a program of internal audits.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has assessed the effectiveness of our internal control over financial reporting as of December 31, 2025. In making this assessment, management used the criteria established in Internal Control-Integrated Framework issued by the Committee of Sponsoring Organizations of the Treadway Commission (COSO) (2013 framework).</w:t>
      </w:r>
    </w:p>
    <w:p>
      <w:pPr>
        <w:spacing w:after="0" w:line="68" w:lineRule="exact"/>
        <w:rPr>
          <w:sz w:val="20"/>
          <w:szCs w:val="20"/>
          <w:color w:val="auto"/>
        </w:rPr>
      </w:pPr>
    </w:p>
    <w:p>
      <w:pPr>
        <w:ind w:right="960"/>
        <w:spacing w:after="0" w:line="375" w:lineRule="auto"/>
        <w:rPr>
          <w:sz w:val="20"/>
          <w:szCs w:val="20"/>
          <w:color w:val="auto"/>
        </w:rPr>
      </w:pPr>
      <w:r>
        <w:rPr>
          <w:rFonts w:ascii="Times New Roman" w:cs="Times New Roman" w:eastAsia="Times New Roman" w:hAnsi="Times New Roman"/>
          <w:sz w:val="18"/>
          <w:szCs w:val="18"/>
          <w:color w:val="auto"/>
        </w:rPr>
        <w:t xml:space="preserve">Based on this assessment, our management concluded that our internal control over financial reporting was effective as of December 31, 2025. </w:t>
      </w:r>
      <w:r>
        <w:rPr>
          <w:rFonts w:ascii="Times New Roman" w:cs="Times New Roman" w:eastAsia="Times New Roman" w:hAnsi="Times New Roman"/>
          <w:sz w:val="18"/>
          <w:szCs w:val="18"/>
          <w:b w:val="1"/>
          <w:bCs w:val="1"/>
          <w:color w:val="auto"/>
        </w:rPr>
        <w:t>Attestation of Independent Registered Public Accounting Firm</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which has audited and reported on the consolidated financial statements contained in this Report, has issued its report on the effectiveness of the Company’s internal control over financial reporting which is included in Part II. Item 8 - Financial Statements and Supplementary Data.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quarterly period ended December 31, 2025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General Instruction G.(3) of Form 10-K certain information required by this Part III will either be incorporated into this Report by reference to our definitive proxy statement for our 2025 Annual Meeting of Stockholders filed within 120 days after December 31, 2025 or will be included in an amendment to this Report filed within 120 days after December 31,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that is responsive to this Item 10 of Form 10-K will be included in our 2026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that is responsive to this Item 11 of Form 10-K will be included in our 2026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that is responsive to this Item 12 of Form 10-K will be included in our 2026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that is responsive to this Item 13 of Form 10-K will be included in our 2026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that is responsive to this Item 14 of Form 10-K will be included in our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color w:val="auto"/>
        </w:rPr>
        <w:t>(a)</w:t>
        <w:tab/>
        <w:t>List the following documents filed as a part of the report: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80" w:type="dxa"/>
            <w:vAlign w:val="bottom"/>
            <w:gridSpan w:val="7"/>
          </w:tcPr>
          <w:p>
            <w:pPr>
              <w:ind w:left="1020"/>
              <w:spacing w:after="0"/>
              <w:rPr>
                <w:sz w:val="20"/>
                <w:szCs w:val="20"/>
                <w:color w:val="auto"/>
              </w:rPr>
            </w:pPr>
            <w:r>
              <w:rPr>
                <w:rFonts w:ascii="Times New Roman" w:cs="Times New Roman" w:eastAsia="Times New Roman" w:hAnsi="Times New Roman"/>
                <w:sz w:val="18"/>
                <w:szCs w:val="18"/>
                <w:color w:val="auto"/>
              </w:rPr>
              <w:t>(1)  Financial Statements:</w:t>
            </w:r>
          </w:p>
        </w:tc>
        <w:tc>
          <w:tcPr>
            <w:tcW w:w="340" w:type="dxa"/>
            <w:vAlign w:val="bottom"/>
          </w:tcPr>
          <w:p>
            <w:pPr>
              <w:spacing w:after="0"/>
              <w:rPr>
                <w:sz w:val="20"/>
                <w:szCs w:val="20"/>
                <w:color w:val="auto"/>
              </w:rPr>
            </w:pPr>
          </w:p>
        </w:tc>
      </w:tr>
      <w:tr>
        <w:trPr>
          <w:trHeight w:val="392"/>
        </w:trPr>
        <w:tc>
          <w:tcPr>
            <w:tcW w:w="546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9"/>
              </w:rPr>
              <w:t>Report of Independent Registered Public Accounting Firm (PCAOB ID:42)</w:t>
            </w:r>
          </w:p>
        </w:tc>
        <w:tc>
          <w:tcPr>
            <w:tcW w:w="542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2"/>
        </w:trPr>
        <w:tc>
          <w:tcPr>
            <w:tcW w:w="466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Consolidated Balance Sheets as of December 31, 2025 and 2024</w:t>
            </w:r>
          </w:p>
        </w:tc>
        <w:tc>
          <w:tcPr>
            <w:tcW w:w="622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2"/>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563C1"/>
              </w:rPr>
              <w:t>Consolidated Statements of Operations and Comprehensive Income (Loss) for the Years ended December 31, 2025, 2024 and 2023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3160" w:type="dxa"/>
            <w:vAlign w:val="bottom"/>
            <w:shd w:val="clear" w:color="auto" w:fill="0563C1"/>
          </w:tcPr>
          <w:p>
            <w:pPr>
              <w:spacing w:after="0" w:line="20" w:lineRule="exact"/>
              <w:rPr>
                <w:sz w:val="1"/>
                <w:szCs w:val="1"/>
                <w:color w:val="auto"/>
              </w:rPr>
            </w:pPr>
          </w:p>
        </w:tc>
        <w:tc>
          <w:tcPr>
            <w:tcW w:w="3800" w:type="dxa"/>
            <w:vAlign w:val="bottom"/>
            <w:gridSpan w:val="3"/>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563C1"/>
              </w:rPr>
              <w:t>Consolidated Statements of Redeemable Non-Controlling Interest and Stockholders’ Equity for the Years ended December 31, 2025, 2024 and 2023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2"/>
        </w:trPr>
        <w:tc>
          <w:tcPr>
            <w:tcW w:w="696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9"/>
              </w:rPr>
              <w:t>Consolidated Statements of Cash Flows for the Years ended December 31, 2025, 2024 and 2023</w:t>
            </w:r>
          </w:p>
        </w:tc>
        <w:tc>
          <w:tcPr>
            <w:tcW w:w="3740" w:type="dxa"/>
            <w:vAlign w:val="bottom"/>
            <w:tcBorders>
              <w:top w:val="single" w:sz="8" w:color="0563C1"/>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12"/>
        </w:trPr>
        <w:tc>
          <w:tcPr>
            <w:tcW w:w="316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9"/>
              </w:rPr>
              <w:t>Notes to Consolidated Financial Statements</w:t>
            </w:r>
          </w:p>
        </w:tc>
        <w:tc>
          <w:tcPr>
            <w:tcW w:w="772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360" w:lineRule="exact"/>
        <w:rPr>
          <w:sz w:val="20"/>
          <w:szCs w:val="20"/>
          <w:color w:val="auto"/>
        </w:rPr>
      </w:pPr>
    </w:p>
    <w:p>
      <w:pPr>
        <w:ind w:left="1380" w:hanging="353"/>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17" w:lineRule="exact"/>
        <w:rPr>
          <w:rFonts w:ascii="Times New Roman" w:cs="Times New Roman" w:eastAsia="Times New Roman" w:hAnsi="Times New Roman"/>
          <w:sz w:val="18"/>
          <w:szCs w:val="18"/>
          <w:color w:val="auto"/>
        </w:rPr>
      </w:pPr>
    </w:p>
    <w:p>
      <w:pPr>
        <w:ind w:left="1380" w:hanging="353"/>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exhibits </w:t>
      </w:r>
      <w:r>
        <w:rPr>
          <w:rFonts w:ascii="Times New Roman" w:cs="Times New Roman" w:eastAsia="Times New Roman" w:hAnsi="Times New Roman"/>
          <w:sz w:val="18"/>
          <w:szCs w:val="18"/>
          <w:color w:val="212529"/>
        </w:rPr>
        <w:t>listed</w:t>
      </w:r>
      <w:r>
        <w:rPr>
          <w:rFonts w:ascii="Times New Roman" w:cs="Times New Roman" w:eastAsia="Times New Roman" w:hAnsi="Times New Roman"/>
          <w:sz w:val="18"/>
          <w:szCs w:val="18"/>
          <w:color w:val="auto"/>
        </w:rPr>
        <w:t xml:space="preserve"> below are filed as part of this Report </w:t>
      </w:r>
      <w:r>
        <w:rPr>
          <w:rFonts w:ascii="Times New Roman" w:cs="Times New Roman" w:eastAsia="Times New Roman" w:hAnsi="Times New Roman"/>
          <w:sz w:val="18"/>
          <w:szCs w:val="18"/>
          <w:color w:val="212529"/>
        </w:rPr>
        <w:t>are incorporated herein by reference, in each case as indicated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14"/>
          </w:tcPr>
          <w:p>
            <w:pPr>
              <w:ind w:left="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29"/>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2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53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Business Combination Agreement, dated as of September 2, 2020, by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among Kensington Capital Acquisition Corp., Kensington Capital Merger</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Sub Corp. and Legacy QuantumScape.</w:t>
              </w:r>
            </w:hyperlink>
          </w:p>
        </w:tc>
        <w:tc>
          <w:tcPr>
            <w:tcW w:w="2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49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Amendment No. 1 to Business Combination Agreement, dated as of</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September 21, 2020, by and among Kensington Capital Acquisition Corp.,</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Kensington Capital Merger Sub Corp. and Legacy QuantumScape.</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1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Amended and Restated Certificate of Incorporation of the Company, as</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32"/>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amended.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Amended and Restated Bylaws of the Company.</w:t>
              </w:r>
            </w:hyperlink>
          </w:p>
        </w:tc>
        <w:tc>
          <w:tcPr>
            <w:tcW w:w="19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400" w:type="dxa"/>
            <w:vAlign w:val="bottom"/>
            <w:gridSpan w:val="32"/>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Specimen Common Stock Certificate.</w:t>
              </w:r>
            </w:hyperlink>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7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Description of Securities</w:t>
            </w:r>
            <w:r>
              <w:rPr>
                <w:rFonts w:ascii="Times New Roman" w:cs="Times New Roman" w:eastAsia="Times New Roman" w:hAnsi="Times New Roman"/>
                <w:sz w:val="18"/>
                <w:szCs w:val="18"/>
                <w:color w:val="000000"/>
              </w:rPr>
              <w:t>.</w:t>
            </w:r>
          </w:p>
        </w:tc>
        <w:tc>
          <w:tcPr>
            <w:tcW w:w="26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9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Collaboration Agreement, dated as of July 5, 2024, by and between</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360" w:type="dxa"/>
            <w:vAlign w:val="bottom"/>
            <w:gridSpan w:val="16"/>
            <w:vMerge w:val="restart"/>
          </w:tcPr>
          <w:p>
            <w:pPr>
              <w:spacing w:after="0" w:line="196" w:lineRule="exact"/>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QuantumScape Battery, Inc. and PowerCo SE.</w:t>
              </w:r>
            </w:hyperlink>
          </w:p>
        </w:tc>
        <w:tc>
          <w:tcPr>
            <w:tcW w:w="20" w:type="dxa"/>
            <w:vAlign w:val="bottom"/>
            <w:vMerge w:val="restart"/>
          </w:tcPr>
          <w:p>
            <w:pPr>
              <w:spacing w:after="0"/>
              <w:rPr>
                <w:sz w:val="11"/>
                <w:szCs w:val="11"/>
                <w:color w:val="auto"/>
              </w:rPr>
            </w:pPr>
          </w:p>
        </w:tc>
        <w:tc>
          <w:tcPr>
            <w:tcW w:w="202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60" w:type="dxa"/>
            <w:vAlign w:val="bottom"/>
            <w:tcBorders>
              <w:bottom w:val="single" w:sz="8" w:color="0000FF"/>
            </w:tcBorders>
            <w:gridSpan w:val="16"/>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202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0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Amended and Restated Collaboration Agreement dated as of July 17,</w:t>
              </w:r>
            </w:hyperlink>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980" w:type="dxa"/>
            <w:vAlign w:val="bottom"/>
            <w:gridSpan w:val="23"/>
            <w:vMerge w:val="restart"/>
          </w:tcPr>
          <w:p>
            <w:pPr>
              <w:spacing w:after="0" w:line="196"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2025, by and between QuantumScape Battery, Inc. and PowerCo SE.</w:t>
              </w:r>
            </w:hyperlink>
          </w:p>
        </w:tc>
        <w:tc>
          <w:tcPr>
            <w:tcW w:w="20" w:type="dxa"/>
            <w:vAlign w:val="bottom"/>
            <w:vMerge w:val="restart"/>
          </w:tcPr>
          <w:p>
            <w:pPr>
              <w:spacing w:after="0"/>
              <w:rPr>
                <w:sz w:val="11"/>
                <w:szCs w:val="11"/>
                <w:color w:val="auto"/>
              </w:rPr>
            </w:pPr>
          </w:p>
        </w:tc>
        <w:tc>
          <w:tcPr>
            <w:tcW w:w="40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980" w:type="dxa"/>
            <w:vAlign w:val="bottom"/>
            <w:tcBorders>
              <w:bottom w:val="single" w:sz="8" w:color="0000FF"/>
            </w:tcBorders>
            <w:gridSpan w:val="23"/>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Registration Rights and Lock-up Agreement, dated as of September 2,</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48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2020, by and among Kensington Capital Acquisition Corp. and the</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persons named therein.</w:t>
              </w:r>
            </w:hyperlink>
          </w:p>
        </w:tc>
        <w:tc>
          <w:tcPr>
            <w:tcW w:w="37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9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Lease, dated May 31, 2013, by and between SI 55, LLC and Legacy</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vMerge w:val="restart"/>
          </w:tcPr>
          <w:p>
            <w:pPr>
              <w:spacing w:after="0" w:line="196" w:lineRule="exact"/>
              <w:rPr>
                <w:rFonts w:ascii="Times New Roman" w:cs="Times New Roman" w:eastAsia="Times New Roman" w:hAnsi="Times New Roman"/>
                <w:sz w:val="18"/>
                <w:szCs w:val="18"/>
                <w:color w:val="0000FF"/>
                <w:w w:val="97"/>
              </w:rPr>
            </w:pPr>
            <w:hyperlink r:id="rId295">
              <w:r>
                <w:rPr>
                  <w:rFonts w:ascii="Times New Roman" w:cs="Times New Roman" w:eastAsia="Times New Roman" w:hAnsi="Times New Roman"/>
                  <w:sz w:val="18"/>
                  <w:szCs w:val="18"/>
                  <w:color w:val="0000FF"/>
                  <w:w w:val="97"/>
                </w:rPr>
                <w:t>QuantumScape.</w:t>
              </w:r>
            </w:hyperlink>
          </w:p>
        </w:tc>
        <w:tc>
          <w:tcPr>
            <w:tcW w:w="20" w:type="dxa"/>
            <w:vAlign w:val="bottom"/>
            <w:vMerge w:val="restart"/>
          </w:tcPr>
          <w:p>
            <w:pPr>
              <w:spacing w:after="0"/>
              <w:rPr>
                <w:sz w:val="11"/>
                <w:szCs w:val="11"/>
                <w:color w:val="auto"/>
              </w:rPr>
            </w:pPr>
          </w:p>
        </w:tc>
        <w:tc>
          <w:tcPr>
            <w:tcW w:w="4240" w:type="dxa"/>
            <w:vAlign w:val="bottom"/>
            <w:gridSpan w:val="2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0000FF"/>
            </w:tcBorders>
            <w:gridSpan w:val="3"/>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24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1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Amendment to Lease, dated May 19, 2014, by and between SI 55, LLC</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gridSpan w:val="9"/>
            <w:vMerge w:val="restart"/>
          </w:tcPr>
          <w:p>
            <w:pPr>
              <w:spacing w:after="0" w:line="196" w:lineRule="exact"/>
              <w:rPr>
                <w:rFonts w:ascii="Times New Roman" w:cs="Times New Roman" w:eastAsia="Times New Roman" w:hAnsi="Times New Roman"/>
                <w:sz w:val="18"/>
                <w:szCs w:val="18"/>
                <w:color w:val="0000FF"/>
                <w:w w:val="98"/>
              </w:rPr>
            </w:pPr>
            <w:hyperlink r:id="rId296">
              <w:r>
                <w:rPr>
                  <w:rFonts w:ascii="Times New Roman" w:cs="Times New Roman" w:eastAsia="Times New Roman" w:hAnsi="Times New Roman"/>
                  <w:sz w:val="18"/>
                  <w:szCs w:val="18"/>
                  <w:color w:val="0000FF"/>
                  <w:w w:val="98"/>
                </w:rPr>
                <w:t>and Legacy QuantumScape.</w:t>
              </w:r>
            </w:hyperlink>
          </w:p>
        </w:tc>
        <w:tc>
          <w:tcPr>
            <w:tcW w:w="20" w:type="dxa"/>
            <w:vAlign w:val="bottom"/>
            <w:vMerge w:val="restart"/>
          </w:tcPr>
          <w:p>
            <w:pPr>
              <w:spacing w:after="0"/>
              <w:rPr>
                <w:sz w:val="11"/>
                <w:szCs w:val="11"/>
                <w:color w:val="auto"/>
              </w:rPr>
            </w:pPr>
          </w:p>
        </w:tc>
        <w:tc>
          <w:tcPr>
            <w:tcW w:w="3360" w:type="dxa"/>
            <w:vAlign w:val="bottom"/>
            <w:gridSpan w:val="2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20" w:type="dxa"/>
            <w:vAlign w:val="bottom"/>
            <w:tcBorders>
              <w:bottom w:val="single" w:sz="8" w:color="0000FF"/>
            </w:tcBorders>
            <w:gridSpan w:val="9"/>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36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3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Lease Agreement, dated April 2, 2021, between Exeter 1710 Automation,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12"/>
            <w:vMerge w:val="restart"/>
          </w:tcPr>
          <w:p>
            <w:pPr>
              <w:spacing w:after="0" w:line="196" w:lineRule="exact"/>
              <w:rPr>
                <w:rFonts w:ascii="Times New Roman" w:cs="Times New Roman" w:eastAsia="Times New Roman" w:hAnsi="Times New Roman"/>
                <w:sz w:val="18"/>
                <w:szCs w:val="18"/>
                <w:color w:val="0000FF"/>
                <w:w w:val="98"/>
              </w:rPr>
            </w:pPr>
            <w:hyperlink r:id="rId297">
              <w:r>
                <w:rPr>
                  <w:rFonts w:ascii="Times New Roman" w:cs="Times New Roman" w:eastAsia="Times New Roman" w:hAnsi="Times New Roman"/>
                  <w:sz w:val="18"/>
                  <w:szCs w:val="18"/>
                  <w:color w:val="0000FF"/>
                  <w:w w:val="98"/>
                </w:rPr>
                <w:t>LLC and Legacy QuantumScape</w:t>
              </w:r>
            </w:hyperlink>
          </w:p>
        </w:tc>
        <w:tc>
          <w:tcPr>
            <w:tcW w:w="20" w:type="dxa"/>
            <w:vAlign w:val="bottom"/>
            <w:vMerge w:val="restart"/>
          </w:tcPr>
          <w:p>
            <w:pPr>
              <w:spacing w:after="0"/>
              <w:rPr>
                <w:sz w:val="11"/>
                <w:szCs w:val="11"/>
                <w:color w:val="auto"/>
              </w:rPr>
            </w:pPr>
          </w:p>
        </w:tc>
        <w:tc>
          <w:tcPr>
            <w:tcW w:w="3020" w:type="dxa"/>
            <w:vAlign w:val="bottom"/>
            <w:gridSpan w:val="19"/>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60" w:type="dxa"/>
            <w:vAlign w:val="bottom"/>
            <w:tcBorders>
              <w:bottom w:val="single" w:sz="8" w:color="0000FF"/>
            </w:tcBorders>
            <w:gridSpan w:val="12"/>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02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49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Second Amendment to Lease, dated June 22, 2021, between Legacy</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0" w:type="dxa"/>
            <w:vAlign w:val="bottom"/>
            <w:gridSpan w:val="32"/>
            <w:vMerge w:val="restart"/>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QuantumScape and SI 55, LLC.</w:t>
              </w:r>
            </w:hyperlink>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53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Guaranty of Lease, dated June 22, 2021, between Legacy QuantumScape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vMerge w:val="restart"/>
          </w:tcPr>
          <w:p>
            <w:pPr>
              <w:spacing w:after="0" w:line="196" w:lineRule="exact"/>
              <w:rPr>
                <w:rFonts w:ascii="Times New Roman" w:cs="Times New Roman" w:eastAsia="Times New Roman" w:hAnsi="Times New Roman"/>
                <w:sz w:val="18"/>
                <w:szCs w:val="18"/>
                <w:color w:val="0000FF"/>
                <w:w w:val="97"/>
              </w:rPr>
            </w:pPr>
            <w:hyperlink r:id="rId299">
              <w:r>
                <w:rPr>
                  <w:rFonts w:ascii="Times New Roman" w:cs="Times New Roman" w:eastAsia="Times New Roman" w:hAnsi="Times New Roman"/>
                  <w:sz w:val="18"/>
                  <w:szCs w:val="18"/>
                  <w:color w:val="0000FF"/>
                  <w:w w:val="97"/>
                </w:rPr>
                <w:t>and SI 55, LLC.</w:t>
              </w:r>
            </w:hyperlink>
          </w:p>
        </w:tc>
        <w:tc>
          <w:tcPr>
            <w:tcW w:w="20" w:type="dxa"/>
            <w:vAlign w:val="bottom"/>
            <w:vMerge w:val="restart"/>
          </w:tcPr>
          <w:p>
            <w:pPr>
              <w:spacing w:after="0"/>
              <w:rPr>
                <w:sz w:val="11"/>
                <w:szCs w:val="11"/>
                <w:color w:val="auto"/>
              </w:rPr>
            </w:pPr>
          </w:p>
        </w:tc>
        <w:tc>
          <w:tcPr>
            <w:tcW w:w="4220" w:type="dxa"/>
            <w:vAlign w:val="bottom"/>
            <w:gridSpan w:val="2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22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52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Lease, dated November 1, 2021, by and between the 1750 Landlord and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0" w:type="dxa"/>
            <w:vAlign w:val="bottom"/>
            <w:gridSpan w:val="32"/>
            <w:vMerge w:val="restart"/>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the Company.</w:t>
              </w:r>
            </w:hyperlink>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60" w:type="dxa"/>
            <w:vAlign w:val="bottom"/>
            <w:gridSpan w:val="11"/>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51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Lease, dated November 1, 2021, by and between the 1756/62 Landlord</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0" w:type="dxa"/>
            <w:vAlign w:val="bottom"/>
            <w:gridSpan w:val="32"/>
            <w:vMerge w:val="restart"/>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and the Company.</w:t>
              </w:r>
            </w:hyperlink>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gridSpan w:val="5"/>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60" w:type="dxa"/>
            <w:vAlign w:val="bottom"/>
            <w:gridSpan w:val="11"/>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51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Lease Termination Agreement by and between 1750 Landlord and the</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spacing w:after="0" w:line="196" w:lineRule="exact"/>
              <w:rPr>
                <w:rFonts w:ascii="Times New Roman" w:cs="Times New Roman" w:eastAsia="Times New Roman" w:hAnsi="Times New Roman"/>
                <w:sz w:val="18"/>
                <w:szCs w:val="18"/>
                <w:color w:val="0000FF"/>
                <w:w w:val="93"/>
              </w:rPr>
            </w:pPr>
            <w:hyperlink r:id="rId302">
              <w:r>
                <w:rPr>
                  <w:rFonts w:ascii="Times New Roman" w:cs="Times New Roman" w:eastAsia="Times New Roman" w:hAnsi="Times New Roman"/>
                  <w:sz w:val="18"/>
                  <w:szCs w:val="18"/>
                  <w:color w:val="0000FF"/>
                  <w:w w:val="93"/>
                </w:rPr>
                <w:t>Company.</w:t>
              </w:r>
            </w:hyperlink>
          </w:p>
        </w:tc>
        <w:tc>
          <w:tcPr>
            <w:tcW w:w="4660" w:type="dxa"/>
            <w:vAlign w:val="bottom"/>
            <w:gridSpan w:val="3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0000FF"/>
            </w:tcBorders>
            <w:vMerge w:val="continue"/>
          </w:tcPr>
          <w:p>
            <w:pPr>
              <w:spacing w:after="0"/>
              <w:rPr>
                <w:sz w:val="5"/>
                <w:szCs w:val="5"/>
                <w:color w:val="auto"/>
              </w:rPr>
            </w:pPr>
          </w:p>
        </w:tc>
        <w:tc>
          <w:tcPr>
            <w:tcW w:w="466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4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First Amendment to the Lease Agreement by and between 1756/62</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gridSpan w:val="9"/>
            <w:vMerge w:val="restart"/>
          </w:tcPr>
          <w:p>
            <w:pPr>
              <w:spacing w:after="0" w:line="196" w:lineRule="exact"/>
              <w:rPr>
                <w:rFonts w:ascii="Times New Roman" w:cs="Times New Roman" w:eastAsia="Times New Roman" w:hAnsi="Times New Roman"/>
                <w:sz w:val="18"/>
                <w:szCs w:val="18"/>
                <w:color w:val="0000FF"/>
                <w:w w:val="98"/>
              </w:rPr>
            </w:pPr>
            <w:hyperlink r:id="rId303">
              <w:r>
                <w:rPr>
                  <w:rFonts w:ascii="Times New Roman" w:cs="Times New Roman" w:eastAsia="Times New Roman" w:hAnsi="Times New Roman"/>
                  <w:sz w:val="18"/>
                  <w:szCs w:val="18"/>
                  <w:color w:val="0000FF"/>
                  <w:w w:val="98"/>
                </w:rPr>
                <w:t>Landlord and the Company.</w:t>
              </w:r>
            </w:hyperlink>
          </w:p>
        </w:tc>
        <w:tc>
          <w:tcPr>
            <w:tcW w:w="3380" w:type="dxa"/>
            <w:vAlign w:val="bottom"/>
            <w:gridSpan w:val="2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20" w:type="dxa"/>
            <w:vAlign w:val="bottom"/>
            <w:tcBorders>
              <w:bottom w:val="single" w:sz="8" w:color="0000FF"/>
            </w:tcBorders>
            <w:gridSpan w:val="9"/>
            <w:vMerge w:val="continue"/>
          </w:tcPr>
          <w:p>
            <w:pPr>
              <w:spacing w:after="0"/>
              <w:rPr>
                <w:sz w:val="5"/>
                <w:szCs w:val="5"/>
                <w:color w:val="auto"/>
              </w:rPr>
            </w:pPr>
          </w:p>
        </w:tc>
        <w:tc>
          <w:tcPr>
            <w:tcW w:w="338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54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Sublease Agreement by and between the Company and Momentus Inc.</w:t>
            </w:r>
          </w:p>
        </w:tc>
        <w:tc>
          <w:tcPr>
            <w:tcW w:w="0" w:type="dxa"/>
            <w:vAlign w:val="bottom"/>
          </w:tcPr>
          <w:p>
            <w:pPr>
              <w:spacing w:after="0"/>
              <w:rPr>
                <w:sz w:val="1"/>
                <w:szCs w:val="1"/>
                <w:color w:val="auto"/>
              </w:rPr>
            </w:pPr>
          </w:p>
        </w:tc>
      </w:tr>
      <w:tr>
        <w:trPr>
          <w:trHeight w:val="79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Borders>
              <w:top w:val="single" w:sz="8" w:color="0000FF"/>
            </w:tcBorders>
            <w:gridSpan w:val="19"/>
          </w:tcPr>
          <w:p>
            <w:pPr>
              <w:ind w:left="450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9743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5"/>
                <w:szCs w:val="15"/>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76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S-4/A</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333-248930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769"/>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S-4/A</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333-248930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55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26, 2024</w:t>
            </w:r>
          </w:p>
        </w:tc>
      </w:tr>
      <w:tr>
        <w:trPr>
          <w:trHeight w:val="338"/>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338"/>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2020</w:t>
            </w:r>
          </w:p>
        </w:tc>
      </w:tr>
      <w:tr>
        <w:trPr>
          <w:trHeight w:val="78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11, 2024</w:t>
            </w:r>
          </w:p>
        </w:tc>
      </w:tr>
      <w:tr>
        <w:trPr>
          <w:trHeight w:val="55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23, 2025</w:t>
            </w:r>
          </w:p>
        </w:tc>
      </w:tr>
      <w:tr>
        <w:trPr>
          <w:trHeight w:val="661"/>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66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S-4/A</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333-248930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55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S-4/A</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333-248930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55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333-251433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10.34</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10, 2021</w:t>
            </w:r>
          </w:p>
        </w:tc>
      </w:tr>
      <w:tr>
        <w:trPr>
          <w:trHeight w:val="554"/>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2021</w:t>
            </w:r>
          </w:p>
        </w:tc>
      </w:tr>
      <w:tr>
        <w:trPr>
          <w:trHeight w:val="55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2021</w:t>
            </w:r>
          </w:p>
        </w:tc>
      </w:tr>
      <w:tr>
        <w:trPr>
          <w:trHeight w:val="55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5, 2021</w:t>
            </w:r>
          </w:p>
        </w:tc>
      </w:tr>
      <w:tr>
        <w:trPr>
          <w:trHeight w:val="554"/>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5, 2021</w:t>
            </w:r>
          </w:p>
        </w:tc>
      </w:tr>
      <w:tr>
        <w:trPr>
          <w:trHeight w:val="486"/>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55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001-39345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bl>
    <w:p>
      <w:pPr>
        <w:sectPr>
          <w:pgSz w:w="11900" w:h="16838" w:orient="portrait"/>
          <w:cols w:equalWidth="0" w:num="2">
            <w:col w:w="6440" w:space="120"/>
            <w:col w:w="4680"/>
          </w:cols>
          <w:pgMar w:left="320" w:top="981"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8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Offer Letter from Legacy QuantumScape to Timothy Holme, dated</w:t>
              </w:r>
            </w:hyperlink>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400" w:type="dxa"/>
            <w:vAlign w:val="bottom"/>
            <w:gridSpan w:val="36"/>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January 1, 2011.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4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Offer Letter from Legacy QuantumScape to Kevin Hettrich, dated October</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4"/>
              </w:rPr>
            </w:pPr>
            <w:hyperlink r:id="rId307">
              <w:r>
                <w:rPr>
                  <w:rFonts w:ascii="Times New Roman" w:cs="Times New Roman" w:eastAsia="Times New Roman" w:hAnsi="Times New Roman"/>
                  <w:sz w:val="18"/>
                  <w:szCs w:val="18"/>
                  <w:color w:val="0000FF"/>
                  <w:w w:val="94"/>
                </w:rPr>
                <w:t>11, 2011.</w:t>
              </w:r>
            </w:hyperlink>
          </w:p>
        </w:tc>
        <w:tc>
          <w:tcPr>
            <w:tcW w:w="20" w:type="dxa"/>
            <w:vAlign w:val="bottom"/>
            <w:tcBorders>
              <w:bottom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0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Offer Letter from Legacy QuantumScape to Michael McCarthy, dated</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308">
              <w:r>
                <w:rPr>
                  <w:rFonts w:ascii="Times New Roman" w:cs="Times New Roman" w:eastAsia="Times New Roman" w:hAnsi="Times New Roman"/>
                  <w:sz w:val="18"/>
                  <w:szCs w:val="18"/>
                  <w:color w:val="0000FF"/>
                  <w:w w:val="98"/>
                </w:rPr>
                <w:t>December 21, 2012.</w:t>
              </w:r>
            </w:hyperlink>
          </w:p>
        </w:tc>
        <w:tc>
          <w:tcPr>
            <w:tcW w:w="20" w:type="dxa"/>
            <w:vAlign w:val="bottom"/>
            <w:tcBorders>
              <w:bottom w:val="single" w:sz="8" w:color="0000EE"/>
            </w:tcBorders>
          </w:tcPr>
          <w:p>
            <w:pPr>
              <w:spacing w:after="0"/>
              <w:rPr>
                <w:sz w:val="17"/>
                <w:szCs w:val="17"/>
                <w:color w:val="auto"/>
              </w:rPr>
            </w:pPr>
          </w:p>
        </w:tc>
        <w:tc>
          <w:tcPr>
            <w:tcW w:w="39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400" w:type="dxa"/>
            <w:vAlign w:val="bottom"/>
            <w:gridSpan w:val="36"/>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Offer Letter from Legacy QuantumScape to Mohit Singh, dated April 3,</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309">
              <w:r>
                <w:rPr>
                  <w:rFonts w:ascii="Times New Roman" w:cs="Times New Roman" w:eastAsia="Times New Roman" w:hAnsi="Times New Roman"/>
                  <w:sz w:val="18"/>
                  <w:szCs w:val="18"/>
                  <w:color w:val="0000FF"/>
                  <w:w w:val="93"/>
                </w:rPr>
                <w:t>2013.</w:t>
              </w:r>
            </w:hyperlink>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9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Offer Letter from QuantumScape Battery, Inc. to Srinivasan Sivaram</w:t>
              </w:r>
            </w:hyperlink>
          </w:p>
        </w:tc>
        <w:tc>
          <w:tcPr>
            <w:tcW w:w="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4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Offer Letter from QuantumScape Battery, Inc. to Luca Fasoli dated March</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60" w:type="dxa"/>
            <w:vAlign w:val="bottom"/>
            <w:gridSpan w:val="4"/>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26, 2025</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4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Form of Indemnification Agreement by and between the Registrant and its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400" w:type="dxa"/>
            <w:vAlign w:val="bottom"/>
            <w:gridSpan w:val="3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directors and officers.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400" w:type="dxa"/>
            <w:vAlign w:val="bottom"/>
            <w:gridSpan w:val="36"/>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The Registrant’s 2020 Equity Incentive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1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The Registrant’s 2020 Equity Incentive Plan — Form of Stock Option</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7"/>
              </w:rPr>
            </w:pPr>
            <w:hyperlink r:id="rId314">
              <w:r>
                <w:rPr>
                  <w:rFonts w:ascii="Times New Roman" w:cs="Times New Roman" w:eastAsia="Times New Roman" w:hAnsi="Times New Roman"/>
                  <w:sz w:val="18"/>
                  <w:szCs w:val="18"/>
                  <w:color w:val="0000FF"/>
                  <w:w w:val="97"/>
                </w:rPr>
                <w:t>Agreement.</w:t>
              </w:r>
            </w:hyperlink>
          </w:p>
        </w:tc>
        <w:tc>
          <w:tcPr>
            <w:tcW w:w="20" w:type="dxa"/>
            <w:vAlign w:val="bottom"/>
            <w:tcBorders>
              <w:bottom w:val="single" w:sz="8" w:color="0000EE"/>
            </w:tcBorders>
          </w:tcPr>
          <w:p>
            <w:pPr>
              <w:spacing w:after="0"/>
              <w:rPr>
                <w:sz w:val="17"/>
                <w:szCs w:val="17"/>
                <w:color w:val="auto"/>
              </w:rPr>
            </w:pPr>
          </w:p>
        </w:tc>
        <w:tc>
          <w:tcPr>
            <w:tcW w:w="45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3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The Registrant’s 2020 Equity Incentive Plan — Form of Restricted Stock</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400" w:type="dxa"/>
            <w:vAlign w:val="bottom"/>
            <w:gridSpan w:val="36"/>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Unit Agreement.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3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The Registrant’s 2020 Equity Incentive Plan — Form of Restricted Stock</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7"/>
              </w:rPr>
            </w:pPr>
            <w:hyperlink r:id="rId316">
              <w:r>
                <w:rPr>
                  <w:rFonts w:ascii="Times New Roman" w:cs="Times New Roman" w:eastAsia="Times New Roman" w:hAnsi="Times New Roman"/>
                  <w:sz w:val="18"/>
                  <w:szCs w:val="18"/>
                  <w:color w:val="0000FF"/>
                  <w:w w:val="97"/>
                </w:rPr>
                <w:t>Agreement.</w:t>
              </w:r>
            </w:hyperlink>
          </w:p>
        </w:tc>
        <w:tc>
          <w:tcPr>
            <w:tcW w:w="20" w:type="dxa"/>
            <w:vAlign w:val="bottom"/>
            <w:tcBorders>
              <w:bottom w:val="single" w:sz="8" w:color="0000EE"/>
            </w:tcBorders>
          </w:tcPr>
          <w:p>
            <w:pPr>
              <w:spacing w:after="0"/>
              <w:rPr>
                <w:sz w:val="17"/>
                <w:szCs w:val="17"/>
                <w:color w:val="auto"/>
              </w:rPr>
            </w:pPr>
          </w:p>
        </w:tc>
        <w:tc>
          <w:tcPr>
            <w:tcW w:w="45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400" w:type="dxa"/>
            <w:vAlign w:val="bottom"/>
            <w:gridSpan w:val="36"/>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The Registrant’s 2020 Employee Stock Purchase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10.26+</w:t>
            </w:r>
          </w:p>
        </w:tc>
        <w:tc>
          <w:tcPr>
            <w:tcW w:w="52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Form of Performance Stock Option Agreement under the Extraordinary</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120" w:type="dxa"/>
            <w:vAlign w:val="bottom"/>
            <w:gridSpan w:val="13"/>
            <w:vMerge w:val="restart"/>
          </w:tcPr>
          <w:p>
            <w:pPr>
              <w:spacing w:after="0" w:line="19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Performance Award Program</w:t>
              </w:r>
            </w:hyperlink>
          </w:p>
        </w:tc>
        <w:tc>
          <w:tcPr>
            <w:tcW w:w="20" w:type="dxa"/>
            <w:vAlign w:val="bottom"/>
            <w:vMerge w:val="restart"/>
          </w:tcPr>
          <w:p>
            <w:pPr>
              <w:spacing w:after="0"/>
              <w:rPr>
                <w:sz w:val="11"/>
                <w:szCs w:val="11"/>
                <w:color w:val="auto"/>
              </w:rPr>
            </w:pPr>
          </w:p>
        </w:tc>
        <w:tc>
          <w:tcPr>
            <w:tcW w:w="3260" w:type="dxa"/>
            <w:vAlign w:val="bottom"/>
            <w:gridSpan w:val="2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40" w:type="dxa"/>
            <w:vAlign w:val="bottom"/>
          </w:tcPr>
          <w:p>
            <w:pPr>
              <w:spacing w:after="0"/>
              <w:rPr>
                <w:sz w:val="5"/>
                <w:szCs w:val="5"/>
                <w:color w:val="auto"/>
              </w:rPr>
            </w:pPr>
          </w:p>
        </w:tc>
        <w:tc>
          <w:tcPr>
            <w:tcW w:w="2120" w:type="dxa"/>
            <w:vAlign w:val="bottom"/>
            <w:tcBorders>
              <w:bottom w:val="single" w:sz="8" w:color="0000FF"/>
            </w:tcBorders>
            <w:gridSpan w:val="13"/>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26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298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Employee Incentive Compensation Plan.</w:t>
              </w:r>
            </w:hyperlink>
          </w:p>
        </w:tc>
        <w:tc>
          <w:tcPr>
            <w:tcW w:w="24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398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Form of Change in Control and Severance Agreement.</w:t>
              </w:r>
            </w:hyperlink>
          </w:p>
        </w:tc>
        <w:tc>
          <w:tcPr>
            <w:tcW w:w="1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5400" w:type="dxa"/>
            <w:vAlign w:val="bottom"/>
            <w:gridSpan w:val="36"/>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The Registrant’s Outside Director Compensation Policy</w:t>
              </w:r>
            </w:hyperlink>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68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QuantumScape Corporation Insider Trading Policy</w:t>
              </w:r>
            </w:hyperlink>
          </w:p>
        </w:tc>
        <w:tc>
          <w:tcPr>
            <w:tcW w:w="340" w:type="dxa"/>
            <w:vAlign w:val="bottom"/>
            <w:tcBorders>
              <w:top w:val="single" w:sz="8" w:color="0000FF"/>
            </w:tcBorders>
            <w:gridSpan w:val="3"/>
          </w:tcPr>
          <w:p>
            <w:pPr>
              <w:spacing w:after="0"/>
              <w:rPr>
                <w:sz w:val="24"/>
                <w:szCs w:val="24"/>
                <w:color w:val="auto"/>
              </w:rPr>
            </w:pPr>
          </w:p>
        </w:tc>
        <w:tc>
          <w:tcPr>
            <w:tcW w:w="13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6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List of Subsidiaries of the Registrant</w:t>
            </w:r>
          </w:p>
        </w:tc>
        <w:tc>
          <w:tcPr>
            <w:tcW w:w="27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0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Ernst &amp;</w:t>
            </w:r>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Young LLP.</w:t>
            </w:r>
          </w:p>
        </w:tc>
        <w:tc>
          <w:tcPr>
            <w:tcW w:w="44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Power of Attorney (included in signature page).</w:t>
            </w:r>
          </w:p>
        </w:tc>
        <w:tc>
          <w:tcPr>
            <w:tcW w:w="19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Rule 13a-14(a) /15(d)-14(a) Certification of Principal Executive Officer.</w:t>
            </w:r>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Rule 13a-14(a) /15(d)-14(a) Certification of Principal Financial Officer.</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60" w:type="dxa"/>
            <w:vAlign w:val="bottom"/>
            <w:gridSpan w:val="13"/>
            <w:shd w:val="clear" w:color="auto" w:fill="0000FF"/>
          </w:tcPr>
          <w:p>
            <w:pPr>
              <w:spacing w:after="0" w:line="20" w:lineRule="exact"/>
              <w:rPr>
                <w:sz w:val="1"/>
                <w:szCs w:val="1"/>
                <w:color w:val="auto"/>
              </w:rPr>
            </w:pPr>
          </w:p>
        </w:tc>
        <w:tc>
          <w:tcPr>
            <w:tcW w:w="2900" w:type="dxa"/>
            <w:vAlign w:val="bottom"/>
            <w:tcBorders>
              <w:right w:val="single" w:sz="8" w:color="0000EE"/>
            </w:tcBorders>
            <w:gridSpan w:val="1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6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4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4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2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Compensation Recovery Policy</w:t>
              </w:r>
            </w:hyperlink>
          </w:p>
        </w:tc>
        <w:tc>
          <w:tcPr>
            <w:tcW w:w="31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040" w:type="dxa"/>
            <w:vAlign w:val="bottom"/>
          </w:tcPr>
          <w:p>
            <w:pPr>
              <w:spacing w:after="0"/>
              <w:rPr>
                <w:sz w:val="24"/>
                <w:szCs w:val="24"/>
                <w:color w:val="auto"/>
              </w:rPr>
            </w:pPr>
          </w:p>
        </w:tc>
        <w:tc>
          <w:tcPr>
            <w:tcW w:w="4880" w:type="dxa"/>
            <w:vAlign w:val="bottom"/>
            <w:gridSpan w:val="24"/>
          </w:tcPr>
          <w:p>
            <w:pPr>
              <w:ind w:left="45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S-4/A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333-248930</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November 12, 2020</w:t>
            </w:r>
          </w:p>
        </w:tc>
        <w:tc>
          <w:tcPr>
            <w:tcW w:w="0" w:type="dxa"/>
            <w:vAlign w:val="bottom"/>
          </w:tcPr>
          <w:p>
            <w:pPr>
              <w:spacing w:after="0"/>
              <w:rPr>
                <w:sz w:val="1"/>
                <w:szCs w:val="1"/>
                <w:color w:val="auto"/>
              </w:rPr>
            </w:pPr>
          </w:p>
        </w:tc>
      </w:tr>
      <w:tr>
        <w:trPr>
          <w:trHeight w:val="553"/>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S-4/A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333-248930</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10.14</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November 12, 2020</w:t>
            </w:r>
          </w:p>
        </w:tc>
        <w:tc>
          <w:tcPr>
            <w:tcW w:w="0" w:type="dxa"/>
            <w:vAlign w:val="bottom"/>
          </w:tcPr>
          <w:p>
            <w:pPr>
              <w:spacing w:after="0"/>
              <w:rPr>
                <w:sz w:val="1"/>
                <w:szCs w:val="1"/>
                <w:color w:val="auto"/>
              </w:rPr>
            </w:pPr>
          </w:p>
        </w:tc>
      </w:tr>
      <w:tr>
        <w:trPr>
          <w:trHeight w:val="554"/>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S-4/A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333-248930</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10.16</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November 12, 2020</w:t>
            </w:r>
          </w:p>
        </w:tc>
        <w:tc>
          <w:tcPr>
            <w:tcW w:w="0" w:type="dxa"/>
            <w:vAlign w:val="bottom"/>
          </w:tcPr>
          <w:p>
            <w:pPr>
              <w:spacing w:after="0"/>
              <w:rPr>
                <w:sz w:val="1"/>
                <w:szCs w:val="1"/>
                <w:color w:val="auto"/>
              </w:rPr>
            </w:pPr>
          </w:p>
        </w:tc>
      </w:tr>
      <w:tr>
        <w:trPr>
          <w:trHeight w:val="553"/>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S-4/A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333-248930</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10.17</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November 12, 2020</w:t>
            </w:r>
          </w:p>
        </w:tc>
        <w:tc>
          <w:tcPr>
            <w:tcW w:w="0" w:type="dxa"/>
            <w:vAlign w:val="bottom"/>
          </w:tcPr>
          <w:p>
            <w:pPr>
              <w:spacing w:after="0"/>
              <w:rPr>
                <w:sz w:val="1"/>
                <w:szCs w:val="1"/>
                <w:color w:val="auto"/>
              </w:rPr>
            </w:pPr>
          </w:p>
        </w:tc>
      </w:tr>
      <w:tr>
        <w:trPr>
          <w:trHeight w:val="338"/>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October 27, 2023</w:t>
            </w:r>
          </w:p>
        </w:tc>
        <w:tc>
          <w:tcPr>
            <w:tcW w:w="0" w:type="dxa"/>
            <w:vAlign w:val="bottom"/>
          </w:tcPr>
          <w:p>
            <w:pPr>
              <w:spacing w:after="0"/>
              <w:rPr>
                <w:sz w:val="1"/>
                <w:szCs w:val="1"/>
                <w:color w:val="auto"/>
              </w:rPr>
            </w:pPr>
          </w:p>
        </w:tc>
      </w:tr>
      <w:tr>
        <w:trPr>
          <w:trHeight w:val="338"/>
        </w:trPr>
        <w:tc>
          <w:tcPr>
            <w:tcW w:w="6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July 25, 2025</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3"/>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December 2, 2020</w:t>
            </w:r>
          </w:p>
        </w:tc>
        <w:tc>
          <w:tcPr>
            <w:tcW w:w="0" w:type="dxa"/>
            <w:vAlign w:val="bottom"/>
          </w:tcPr>
          <w:p>
            <w:pPr>
              <w:spacing w:after="0"/>
              <w:rPr>
                <w:sz w:val="1"/>
                <w:szCs w:val="1"/>
                <w:color w:val="auto"/>
              </w:rPr>
            </w:pPr>
          </w:p>
        </w:tc>
      </w:tr>
      <w:tr>
        <w:trPr>
          <w:trHeight w:val="338"/>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December 2, 2020</w:t>
            </w:r>
          </w:p>
        </w:tc>
        <w:tc>
          <w:tcPr>
            <w:tcW w:w="0" w:type="dxa"/>
            <w:vAlign w:val="bottom"/>
          </w:tcPr>
          <w:p>
            <w:pPr>
              <w:spacing w:after="0"/>
              <w:rPr>
                <w:sz w:val="1"/>
                <w:szCs w:val="1"/>
                <w:color w:val="auto"/>
              </w:rPr>
            </w:pPr>
          </w:p>
        </w:tc>
      </w:tr>
      <w:tr>
        <w:trPr>
          <w:trHeight w:val="553"/>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December 2, 2020</w:t>
            </w:r>
          </w:p>
        </w:tc>
        <w:tc>
          <w:tcPr>
            <w:tcW w:w="0" w:type="dxa"/>
            <w:vAlign w:val="bottom"/>
          </w:tcPr>
          <w:p>
            <w:pPr>
              <w:spacing w:after="0"/>
              <w:rPr>
                <w:sz w:val="1"/>
                <w:szCs w:val="1"/>
                <w:color w:val="auto"/>
              </w:rPr>
            </w:pPr>
          </w:p>
        </w:tc>
      </w:tr>
      <w:tr>
        <w:trPr>
          <w:trHeight w:val="553"/>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10.10</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December 2, 2020</w:t>
            </w:r>
          </w:p>
        </w:tc>
        <w:tc>
          <w:tcPr>
            <w:tcW w:w="0" w:type="dxa"/>
            <w:vAlign w:val="bottom"/>
          </w:tcPr>
          <w:p>
            <w:pPr>
              <w:spacing w:after="0"/>
              <w:rPr>
                <w:sz w:val="1"/>
                <w:szCs w:val="1"/>
                <w:color w:val="auto"/>
              </w:rPr>
            </w:pPr>
          </w:p>
        </w:tc>
      </w:tr>
      <w:tr>
        <w:trPr>
          <w:trHeight w:val="553"/>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December 2, 2020</w:t>
            </w:r>
          </w:p>
        </w:tc>
        <w:tc>
          <w:tcPr>
            <w:tcW w:w="0" w:type="dxa"/>
            <w:vAlign w:val="bottom"/>
          </w:tcPr>
          <w:p>
            <w:pPr>
              <w:spacing w:after="0"/>
              <w:rPr>
                <w:sz w:val="1"/>
                <w:szCs w:val="1"/>
                <w:color w:val="auto"/>
              </w:rPr>
            </w:pPr>
          </w:p>
        </w:tc>
      </w:tr>
      <w:tr>
        <w:trPr>
          <w:trHeight w:val="338"/>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10.12</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December 2, 2020</w:t>
            </w:r>
          </w:p>
        </w:tc>
        <w:tc>
          <w:tcPr>
            <w:tcW w:w="0" w:type="dxa"/>
            <w:vAlign w:val="bottom"/>
          </w:tcPr>
          <w:p>
            <w:pPr>
              <w:spacing w:after="0"/>
              <w:rPr>
                <w:sz w:val="1"/>
                <w:szCs w:val="1"/>
                <w:color w:val="auto"/>
              </w:rPr>
            </w:pPr>
          </w:p>
        </w:tc>
      </w:tr>
      <w:tr>
        <w:trPr>
          <w:trHeight w:val="319"/>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DEF</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Appendix</w:t>
            </w:r>
          </w:p>
        </w:tc>
        <w:tc>
          <w:tcPr>
            <w:tcW w:w="15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November 8, 2021</w:t>
            </w:r>
          </w:p>
        </w:tc>
        <w:tc>
          <w:tcPr>
            <w:tcW w:w="0" w:type="dxa"/>
            <w:vAlign w:val="bottom"/>
          </w:tcPr>
          <w:p>
            <w:pPr>
              <w:spacing w:after="0"/>
              <w:rPr>
                <w:sz w:val="1"/>
                <w:szCs w:val="1"/>
                <w:color w:val="auto"/>
              </w:rPr>
            </w:pPr>
          </w:p>
        </w:tc>
      </w:tr>
      <w:tr>
        <w:trPr>
          <w:trHeight w:val="126"/>
        </w:trPr>
        <w:tc>
          <w:tcPr>
            <w:tcW w:w="6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14A</w:t>
            </w:r>
          </w:p>
        </w:tc>
        <w:tc>
          <w:tcPr>
            <w:tcW w:w="1300" w:type="dxa"/>
            <w:vAlign w:val="bottom"/>
            <w:vMerge w:val="continue"/>
          </w:tcPr>
          <w:p>
            <w:pPr>
              <w:spacing w:after="0"/>
              <w:rPr>
                <w:sz w:val="10"/>
                <w:szCs w:val="10"/>
                <w:color w:val="auto"/>
              </w:rPr>
            </w:pPr>
          </w:p>
        </w:tc>
        <w:tc>
          <w:tcPr>
            <w:tcW w:w="10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March 15, 2021</w:t>
            </w:r>
          </w:p>
        </w:tc>
        <w:tc>
          <w:tcPr>
            <w:tcW w:w="0" w:type="dxa"/>
            <w:vAlign w:val="bottom"/>
          </w:tcPr>
          <w:p>
            <w:pPr>
              <w:spacing w:after="0"/>
              <w:rPr>
                <w:sz w:val="1"/>
                <w:szCs w:val="1"/>
                <w:color w:val="auto"/>
              </w:rPr>
            </w:pPr>
          </w:p>
        </w:tc>
      </w:tr>
      <w:tr>
        <w:trPr>
          <w:trHeight w:val="338"/>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March 15, 2021</w:t>
            </w:r>
          </w:p>
        </w:tc>
        <w:tc>
          <w:tcPr>
            <w:tcW w:w="0" w:type="dxa"/>
            <w:vAlign w:val="bottom"/>
          </w:tcPr>
          <w:p>
            <w:pPr>
              <w:spacing w:after="0"/>
              <w:rPr>
                <w:sz w:val="1"/>
                <w:szCs w:val="1"/>
                <w:color w:val="auto"/>
              </w:rPr>
            </w:pPr>
          </w:p>
        </w:tc>
      </w:tr>
      <w:tr>
        <w:trPr>
          <w:trHeight w:val="338"/>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10.30</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26, 2025</w:t>
            </w:r>
          </w:p>
        </w:tc>
        <w:tc>
          <w:tcPr>
            <w:tcW w:w="0" w:type="dxa"/>
            <w:vAlign w:val="bottom"/>
          </w:tcPr>
          <w:p>
            <w:pPr>
              <w:spacing w:after="0"/>
              <w:rPr>
                <w:sz w:val="1"/>
                <w:szCs w:val="1"/>
                <w:color w:val="auto"/>
              </w:rPr>
            </w:pPr>
          </w:p>
        </w:tc>
      </w:tr>
      <w:tr>
        <w:trPr>
          <w:trHeight w:val="338"/>
        </w:trPr>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19.1</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26,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tabs>
          <w:tab w:leader="none" w:pos="920" w:val="left"/>
          <w:tab w:leader="none" w:pos="2340" w:val="left"/>
          <w:tab w:leader="none" w:pos="312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001-39345</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February 27, 2024</w:t>
      </w:r>
    </w:p>
    <w:p>
      <w:pPr>
        <w:sectPr>
          <w:pgSz w:w="11900" w:h="16838" w:orient="portrait"/>
          <w:cols w:equalWidth="0" w:num="2">
            <w:col w:w="6440" w:space="220"/>
            <w:col w:w="4520"/>
          </w:cols>
          <w:pgMar w:left="320" w:top="972" w:right="3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860" w:type="dxa"/>
            <w:vAlign w:val="bottom"/>
          </w:tcPr>
          <w:p>
            <w:pPr>
              <w:spacing w:after="0"/>
              <w:rPr>
                <w:sz w:val="20"/>
                <w:szCs w:val="20"/>
                <w:color w:val="auto"/>
              </w:rPr>
            </w:pPr>
          </w:p>
        </w:tc>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r>
      <w:tr>
        <w:trPr>
          <w:trHeight w:val="33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5"/>
        </w:trPr>
        <w:tc>
          <w:tcPr>
            <w:tcW w:w="8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380" w:type="dxa"/>
            <w:vAlign w:val="bottom"/>
          </w:tcPr>
          <w:p>
            <w:pPr>
              <w:spacing w:after="0"/>
              <w:rPr>
                <w:sz w:val="11"/>
                <w:szCs w:val="11"/>
                <w:color w:val="auto"/>
              </w:rPr>
            </w:pPr>
          </w:p>
        </w:tc>
      </w:tr>
    </w:tbl>
    <w:p>
      <w:pPr>
        <w:spacing w:after="0" w:line="99" w:lineRule="exact"/>
        <w:rPr>
          <w:sz w:val="20"/>
          <w:szCs w:val="20"/>
          <w:color w:val="auto"/>
        </w:rPr>
      </w:pPr>
    </w:p>
    <w:p>
      <w:pPr>
        <w:ind w:left="920" w:hanging="912"/>
        <w:spacing w:after="0"/>
        <w:tabs>
          <w:tab w:leader="none" w:pos="920"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Filed herewith.</w:t>
      </w:r>
    </w:p>
    <w:p>
      <w:pPr>
        <w:spacing w:after="0" w:line="2" w:lineRule="exact"/>
        <w:rPr>
          <w:sz w:val="20"/>
          <w:szCs w:val="20"/>
          <w:color w:val="auto"/>
        </w:rPr>
      </w:pPr>
    </w:p>
    <w:p>
      <w:pPr>
        <w:ind w:left="920" w:hanging="912"/>
        <w:spacing w:after="0" w:line="264" w:lineRule="auto"/>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exhibits are furnished with this Annual Report on Form 10-K and are not deemed filed with the Securities and Exchange Commission and are not incorporated by reference in any filing of QuantumScape Corporation under the Securities Act of 1933, as amended, or the Securities Exchange Act of 1934, as amended, whether made before or after the date hereof and irrespective of any general incorporation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language contained in such filings.</w:t>
      </w:r>
    </w:p>
    <w:p>
      <w:pPr>
        <w:spacing w:after="0" w:line="9" w:lineRule="exact"/>
        <w:rPr>
          <w:sz w:val="20"/>
          <w:szCs w:val="20"/>
          <w:color w:val="auto"/>
        </w:rPr>
      </w:pPr>
    </w:p>
    <w:p>
      <w:pPr>
        <w:ind w:left="920" w:hanging="912"/>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 of Regulation S-K.</w:t>
      </w:r>
    </w:p>
    <w:p>
      <w:pPr>
        <w:spacing w:after="0" w:line="9" w:lineRule="exact"/>
        <w:rPr>
          <w:sz w:val="20"/>
          <w:szCs w:val="20"/>
          <w:color w:val="auto"/>
        </w:rPr>
      </w:pPr>
    </w:p>
    <w:p>
      <w:pPr>
        <w:ind w:left="920" w:hanging="912"/>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5" w:right="55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QuantumScape Corporation</w:t>
      </w:r>
    </w:p>
    <w:p>
      <w:pPr>
        <w:spacing w:after="0" w:line="225" w:lineRule="exact"/>
        <w:rPr>
          <w:sz w:val="20"/>
          <w:szCs w:val="20"/>
          <w:color w:val="auto"/>
        </w:rPr>
      </w:pPr>
    </w:p>
    <w:p>
      <w:pPr>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February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Siva Sivaram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Siva Sivaram</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 (Principal Executive Officer)</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Siva Sivaram and Kevin Hettrich, and each of them or his attorney-in-fact, each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substitutes, may do or cause to be done by virtue of hereof.</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48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5"/>
                <w:szCs w:val="15"/>
                <w:color w:val="auto"/>
              </w:rPr>
            </w:pPr>
          </w:p>
        </w:tc>
        <w:tc>
          <w:tcPr>
            <w:tcW w:w="2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3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Siva Sivaram</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Siva Sivaram</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Kevin Hettrich</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Kevin Hettrich</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Brad Buss</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Brad Buss</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Jeneanne Hanley</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Jeneanne Hanley</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Gena Lovett</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Gena Lovett</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Günther Mendl</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Günther Mendl</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Geoffrey Ribar</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Geoffrey Ribar</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Dipender Saluja</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Dipender Saluja</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Sebastian Schebera</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Sebastian Schebera</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Dennis Segers</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Dennis Segers</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JB Straubel</w:t>
            </w:r>
          </w:p>
        </w:tc>
        <w:tc>
          <w:tcPr>
            <w:tcW w:w="2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JB Straubel</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7"/>
          <w:szCs w:val="17"/>
          <w:color w:val="auto"/>
        </w:rPr>
        <w:t>The following description of securities of QuantumScape Corporation (“us,” “our,” “we,” “QuantumScape,” or the “Company”) is a summary of the rights of our securities and certain provisions of our amended and restated certificate of incorporation, as amended (the “Certificate of Incorporation”), and amended and restated bylaws (the “Bylaws”) as currently in effect. This summary does not purport to be complete and is qualified in its entirety by the provisions of our Certificate of Incorporation and Bylaws, copies of which have been previously filed with the Securities and Exchange Commission (the “SEC”) and incorporated by reference as an exhibit to the Annual Report on Form 10-K, as well as to the applicable provisions of the Delaware General Corporation Law (the “DGCL”). We encourage you to read our Certificate of Incorporation, Bylaws and the applicable portions of the DGCL carefully.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authorized capital stock of QuantumScape is 1,350,000,000 shares, $0.0001 par value per share, of which:</w:t>
      </w:r>
    </w:p>
    <w:p>
      <w:pPr>
        <w:spacing w:after="0" w:line="233"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1,000,000,000 shares are designated as Class A common stock (the “Class A Common Stock”);</w:t>
      </w:r>
    </w:p>
    <w:p>
      <w:pPr>
        <w:spacing w:after="0" w:line="224" w:lineRule="exact"/>
        <w:rPr>
          <w:rFonts w:ascii="Times New Roman" w:cs="Times New Roman" w:eastAsia="Times New Roman" w:hAnsi="Times New Roman"/>
          <w:sz w:val="22"/>
          <w:szCs w:val="22"/>
          <w:color w:val="auto"/>
        </w:rPr>
      </w:pPr>
    </w:p>
    <w:p>
      <w:pPr>
        <w:ind w:left="760" w:right="160" w:hanging="378"/>
        <w:spacing w:after="0" w:line="234"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250,000,000 shares are designated as Class B common stock (the “Class B Common Stock,” and together with the Class A Common Stock, the “Common Stock”); and</w:t>
      </w:r>
    </w:p>
    <w:p>
      <w:pPr>
        <w:spacing w:after="0" w:line="20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100,000,000 shares are designated as Preferred Stock (the “Preferred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authorizes two classes of Common Stock, Class A Common Stock and Class B Common Stock. The rights of the holders of Class A Common Stock and Class B Common Stock are identical, except with respect to voting and conversion. Some of the terms of these classes of Common Stock are discussed in greater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Common Stock will be entitled to receive dividends out of funds legally available if the Company’s board of directors (the “Board”), in its discretion, determines to issue dividends and then only at the times and in the amounts that the Board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held as of the record date for the determination of the stockholders entitled to vote on such matters and holders of Class B Common Stock are entitled to ten votes for each share held at the record date for the determination of the stockholders entitled to vote on such matters, except as otherwise required by law. The holders of Class A Common Stock and Class B Common Stock vote together as a single class, unless otherwise expressly provided in the certificate of incorporation or required by law.</w:t>
      </w:r>
    </w:p>
    <w:p>
      <w:pPr>
        <w:spacing w:after="0" w:line="18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requires either holders of Class A Common Stock or of Class B Common Stock to vote separately as a single class in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4924-0405-0818.2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jc w:val="both"/>
        <w:ind w:left="760" w:right="360" w:hanging="378"/>
        <w:spacing w:after="0" w:line="312" w:lineRule="auto"/>
        <w:tabs>
          <w:tab w:leader="none" w:pos="7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QuantumScape were to seek to amend the Certificate of Incorporation to increase or decrease the authorized number of shares of Class B Common Stock, then the holders of Class B Common Stock would be required to vote separately to approve the proposed amendment; and</w:t>
      </w:r>
    </w:p>
    <w:p>
      <w:pPr>
        <w:spacing w:after="0" w:line="139" w:lineRule="exact"/>
        <w:rPr>
          <w:rFonts w:ascii="Times New Roman" w:cs="Times New Roman" w:eastAsia="Times New Roman" w:hAnsi="Times New Roman"/>
          <w:sz w:val="17"/>
          <w:szCs w:val="17"/>
          <w:color w:val="auto"/>
        </w:rPr>
      </w:pPr>
    </w:p>
    <w:p>
      <w:pPr>
        <w:ind w:left="760" w:hanging="378"/>
        <w:spacing w:after="0" w:line="26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QuantumScape were to seek to declare or pay any dividend or make certain other distributions and to treat the holders of Common Stock differently than is set forth in the Certificate of Incorporation in connection with such dividend or other distribution, then the holders of Class A Common Stock and the holders of Class B Common Stock could be required to vote separately to approve such different treatment of the shares of Common Stock.</w:t>
      </w:r>
    </w:p>
    <w:p>
      <w:pPr>
        <w:spacing w:after="0" w:line="179"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could require either holders of Class A Common Stock or of Class B Common Stock to vote separately as a single class:</w:t>
      </w:r>
    </w:p>
    <w:p>
      <w:pPr>
        <w:spacing w:after="0" w:line="225"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QuantumScape were to seek to amend the Certificate of Incorporation in a manner that alters or changes the powers, preferences, or special rights of such type of Common Stock in a manner that affected such shares adversely but does not so affect the shares of the other type of Common Stock.</w:t>
      </w:r>
    </w:p>
    <w:p>
      <w:pPr>
        <w:spacing w:after="0" w:line="176"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with respect to the election of directors, the number of directors that constitutes the Board will be fixed solely by resolution of the Board. Each director of the Board will be elected to hold office for a one-year term expiring at the next annual meeting of stockholders. There is no cumulative voting with respect to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If QuantumScape becomes subject to a liquidation, dissolution, or winding-up, the assets legally available for distribution to QuantumScape’s stockholders would be distributable ratably among the holders of Common Stock and any participating series of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Class B Common Stock</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Shares of Class A Common Stock are not convertible into any other shares of capital stock of QuantumScape. Each share of Class B Common Stock is convertible at any time at the option of the holder into one share of Class A Common Stock. In addition, shares of Class B Common Stock will automatically convert into shares of Class A Common Stock (i) upon the sale or transfer of such shares, but excluding certain transfers permitted by the Certificate of Incorporation, or (ii) upon the death of the holder of such shares or, solely with respect to shares of Class B Common Stock held by the Excluded Parties (defined as any of Timothy Holme, Prof. Fritz Prinz and Jagdeep Singh) or certain of their permitted entities, upon the death or disability of such Excluded Party, except that such shares held by an Excluded Party or such Excluded Party’s permitted entities will automatically convert into shares of Class A Common Stock upon the earlier of (x) 9 months following the date of death or disability of such Excluded Party, and (y) the date upon which a voting trustee designated by such Excluded Party and approved by the Board ceases to hold exclusive voting control over such shares of Class B Common Stock.</w:t>
      </w:r>
    </w:p>
    <w:p>
      <w:pPr>
        <w:spacing w:after="0" w:line="18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Notwithstanding the foregoing, all outstanding shares of Class B Common Stock will convert into shares of Class A Common Stock upon the earliest to occur of: (i) the date fixed by the Board that is no less than 61 days and no more than 180 days following the date after the issuance of the Common Stock pursuant to that certain Business Combination Agreement, dated September 2, 2020 (the “Business Combination Agreement”), by and among the Company, Kensington Merger Sub Corp., a Delaware corporation and wholly owned subsidiary of the Company (“Merger Sub”), and QuantumScape Battery, Inc., a Delaware corporation (f/k/a QuantumScape Corporation) (“Legacy QuantumScape”) that the total number of outstanding shares of Class B Common Stock held by the Excluded Parties and certain of their permitted entities and permitted transferees represents less than 20% of the number of shares of Class B Common Stock (as equitably adjusted for any stock dividend, stock split, combination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4924-0405-0818.2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98" w:name="page99"/>
    <w:bookmarkEnd w:id="98"/>
    <w:p>
      <w:pPr>
        <w:spacing w:after="0" w:line="256" w:lineRule="auto"/>
        <w:rPr>
          <w:sz w:val="20"/>
          <w:szCs w:val="20"/>
          <w:color w:val="auto"/>
        </w:rPr>
      </w:pPr>
      <w:r>
        <w:rPr>
          <w:rFonts w:ascii="Times New Roman" w:cs="Times New Roman" w:eastAsia="Times New Roman" w:hAnsi="Times New Roman"/>
          <w:sz w:val="18"/>
          <w:szCs w:val="18"/>
          <w:color w:val="auto"/>
        </w:rPr>
        <w:t>of shares, reorganization, recapitalization, reclassification or other similar event) issued pursuant to the Business Combination Agreement; (ii) 9 months following the death or disability of all Excluded Parties and the date upon which a voting trustee designated by the last Excluded Party dies or become disabled and approved by the Board ceases to hold exclusive voting control over such shares of Class B Common Stock; or (iii) the date specified by the holders of a majority of the then outstanding shares of Class B Common Stock, which majority must include each of the Excluded Parties to the extent that he or she is then living and nondisabled and holds, together with his or her respective permitted transferees, at least 20% of the number of shares of Class B Common Stock held by them as of the date the Certificate of Incorporation becomes effective (the “Final Conversion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All outstanding shares of the Common Stock are fully paid and nonassessable. The Common Stock is not entitled to preemptive rights and is not subject to redemption or sinking fund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Board is authorized,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the stockholders. The Board is empowered to increase or decrease the number of shares of any series of Preferred Stock, but not below the number of shares of that series then outstanding, without any further vote or action by the stockholders. The Board is able to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QuantumScape and might adversely affect the market price of Common Stock and the voting and other rights of the holders of Common Stock. There are currently no plans to issue any shares of Preferred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Certain provisions of Delaware law, the Certificate of Incorporation, and the Bylaws, which are summarized below, may have the effect of delaying, deferring, or discouraging another person from acquiring control of QuantumScape. They are also designed, in part, to encourage persons seeking to acquire control of QuantumScape to negotiate first with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QuantumScape is governed by the provisions of Section 203 of the DGCL. In general, Section 203 of the DGCL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760" w:right="3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business combination or the transaction which resulted in the stockholder becoming an interested stockholder was approved by the board of directors prior to the time that the stockholder became an interested stockholder;</w:t>
      </w:r>
    </w:p>
    <w:p>
      <w:pPr>
        <w:spacing w:after="0" w:line="161"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4924-0405-0818.2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9" w:name="page100"/>
    <w:bookmarkEnd w:id="99"/>
    <w:p>
      <w:pPr>
        <w:ind w:left="76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the prior three years, did own, 15% or more of the corporation’s outstanding voting stock. These provisions may have the effect of delaying, deferring, or preventing changes in control of QuantumScape.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Provisions</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and the Bylaws include a number of provisions that could deter hostile takeovers or delay or prevent changes in control of the Board or management team, including the following:</w:t>
      </w:r>
    </w:p>
    <w:p>
      <w:pPr>
        <w:spacing w:after="0" w:line="16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Dual-class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described above, the Class B Common Stock has 10 votes per share, while the Class A Common Stock, which is the only class of capital stock that is publicly traded, has 1 vote per share. As a result of this dual class structure, Legacy QuantumScape’s co-founders and certain of QuantumScape’s investors, which include certain of QuantumScape’s executive officers, employees, directors, and/or their affiliates, will have significant influence over matters requiring stockholder approval, including the election of directors and significant corporate transactions, such as a merger or other sale of QuantumScape or its assets.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Board of Directors vacancies</w:t>
      </w:r>
      <w:r>
        <w:rPr>
          <w:rFonts w:ascii="Times New Roman" w:cs="Times New Roman" w:eastAsia="Times New Roman" w:hAnsi="Times New Roman"/>
          <w:sz w:val="18"/>
          <w:szCs w:val="18"/>
          <w:color w:val="auto"/>
        </w:rPr>
        <w:t>. The Certificate of Incorporation and Bylaws authorize only a majority of the remaining members of the Board, although less than a quorum, to fill vacant directorships, including newly created seats. In addition, subject to the rights of holders of any series of Preferred Stock, the number of directors constituting the Board is permitted to be set only by a resolution of the Board. These provisions prevent a stockholder from increasing the size of the Board and then gaining control of the Board by filling the resulting vacancies with its own nominees. This makes it more difficult to change the composition of the Board and promotes continuity of management.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Stockholder action; special meeting of stockholders</w:t>
      </w:r>
      <w:r>
        <w:rPr>
          <w:rFonts w:ascii="Times New Roman" w:cs="Times New Roman" w:eastAsia="Times New Roman" w:hAnsi="Times New Roman"/>
          <w:sz w:val="18"/>
          <w:szCs w:val="18"/>
          <w:color w:val="auto"/>
        </w:rPr>
        <w:t>. The Certificate of Incorporation and Bylaws provide that, from and after the Final Conversion Date, the stockholders may not take action by written consent but may only take action at annual or special meetings of the stockholders. As a result, following the Final Conversion Date, a holder controlling a majority of QuantumScape capital stock is not be able to amend the Bylaws, amend the Certificate of Incorporation or remove directors without holding a meeting of stockholders called in accordance with the Certificate of Incorporation and Bylaws. The Certificate of Incorporation and Bylaws further provide that special meetings of stockholders may be called only by a majority of the Board, the chair of the Board, or the Chief Executive Officer of QuantumScape, thus prohibiting stockholder action to call a special meeting. These provisions might delay the ability of stockholders to force consideration of a proposal or for stockholders controlling a majority of QuantumScape’s capital stock to take any action, including the removal of directors.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Advance notice requirements for stockholder proposals and director nominations</w:t>
      </w:r>
      <w:r>
        <w:rPr>
          <w:rFonts w:ascii="Times New Roman" w:cs="Times New Roman" w:eastAsia="Times New Roman" w:hAnsi="Times New Roman"/>
          <w:sz w:val="18"/>
          <w:szCs w:val="18"/>
          <w:color w:val="auto"/>
        </w:rPr>
        <w:t>. The Bylaws provide advance notice procedures for stockholders seeking to bring business before the annual meeting of stockholders or to nominate candidates for election as directors at the annual meeting of stockholders. The Bylaws also specify certain requirements regarding the form and content of a stockholder’s notice. These provisions might preclude stockholders from bringing matters before the annual meeting of stockholders or from making nominations for directors at the annual meeting of stockholders if the proper procedures are not followed. These provisions may also discourage or deter a potential acquirer from conducting a solicitation of proxies to elect the acquirer’s own slate of directors or otherwise attempting to obtain control of QuantumScape.</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 certificate of incorporation provides otherwise. The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4924-0405-0818.2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Amendment of charter and bylaws provisions</w:t>
      </w:r>
      <w:r>
        <w:rPr>
          <w:rFonts w:ascii="Times New Roman" w:cs="Times New Roman" w:eastAsia="Times New Roman" w:hAnsi="Times New Roman"/>
          <w:sz w:val="18"/>
          <w:szCs w:val="18"/>
          <w:color w:val="auto"/>
        </w:rPr>
        <w:t>. From and after the Final Conversion Date, any amendment of the above provisions in the Certificate of Incorporation and Bylaws will require approval by holders of at least two-thirds of the voting power of QuantumScape’s then outstanding capital stock.</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Issuance of undesignated preferred stock</w:t>
      </w:r>
      <w:r>
        <w:rPr>
          <w:rFonts w:ascii="Times New Roman" w:cs="Times New Roman" w:eastAsia="Times New Roman" w:hAnsi="Times New Roman"/>
          <w:sz w:val="18"/>
          <w:szCs w:val="18"/>
          <w:color w:val="auto"/>
        </w:rPr>
        <w:t>. The Certificate of Incorporation provides that the Board will have the authority, without further action by stockholders, to issue up to 100,000,000 shares of undesignated Preferred Stock with rights and preferences, including voting rights, designated from time to time by the Board. The existence of authorized but unissued shares of Preferred Stock would enable the Board to render more difficult or to discourage an attempt to obtain control of QuantumScape by means of a tender offer, proxy contest, or other means.</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Exclusive forum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Bylaws provide that, unless otherwise consented to by QuantumScape in writing, the Court of Chancery of the State of Delaware (or, if the Court of Chancery does not have jurisdiction, another State court in Delaware or the federal district court for the District of Delaware) shall, to the fullest extent permitted by law be the sole and exclusive forum for the following types of actions or proceedings: (i) any derivative action or proceeding brought on behalf of QuantumScape; (ii) any action asserting a claim of breach of a fiduciary duty owed by, or otherwise wrongdoing by, any of QuantumScape’s directors, officers, or other employees to QuantumScape or its stockholders; (iii) any action arising pursuant to any provision of the DGCL or the Certificate of Incorporation or the Bylaws; (iv) any action to interpret, apply, enforce or determine the validity of the Certificate of Incorporation or the Bylaws; or (v) any other action asserting a claim that is governed by the internal affairs doctrine, in all cases subject to the court having jurisdiction over indispensable parties named as defendants. This provision would not apply to suits brought to enforce a duty or liability created by the Securities Exchange Act of 1934, as amended (the “Exchange Act”) or any other claim for which the U.S. federal courts have exclusive jurisdiction. The Bylaws further provide that, unless otherwise consented to by QuantumScape in writing, the federal district courts of the United States will be the sole and exclusive forum for the resolution of any complaint asserting a cause of action arising under the Securities Act of 1933, as amended. Any person or entity purchasing or otherwise acquiring any interest in QuantumScape’s securities shall be deemed to have notice of and consented to this provision. These provisions may have the effect of discouraging lawsuits against QuantumScape or its directors and officers.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contains provisions that limit the liability of QuantumScape’s directors and officers for monetary damages to the fullest extent permitted by the DGCL. Consequently, QuantumScape’s directors and officers are not personally liable to it or it’s stockholders for monetary damages for any breach of fiduciary duties as directors or officers, except liability for the following:</w:t>
      </w:r>
    </w:p>
    <w:p>
      <w:pPr>
        <w:spacing w:after="0" w:line="176"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QuantumScape or its stockholders;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QuantumScape’s directors or officers will be further limited to the greatest extent permitted by the DGCL.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4924-0405-0818.2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addition, the Bylaws provide that QuantumScape will indemnify, to the fullest extent permitted by law, any person who is or was a party or is threatened to be made a party to any action, suit or proceeding by reason of the fact that they are or were one of QuantumScape’s directors or officers or is or was serving at its request as a director or officer of another corporation, partnership, joint venture, trust or other enterprise. The Bylaws provide that QuantumScape may indemnify to the fullest extent permitted by law any of its employees and agents, or other persons. The Bylaws also provide that QuantumScape must advance expenses incurred by or on behalf of a director or officer in advance of the final disposition of any action or proceeding, subject to limited exceptions.</w:t>
      </w:r>
    </w:p>
    <w:p>
      <w:pPr>
        <w:spacing w:after="0" w:line="187"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Further, QuantumScape has entered into indemnification agreements with each of its directors and executive officers that may be broader than the specific indemnification provisions contained in the DGCL. These indemnification agreements require QuantumScape, among other things, to indemnify its directors and executive officers against liabilities that may arise by reason of their status or service. These indemnification agreements also require QuantumScape to advance all expenses incurred by the directors and executive officers in investigating or defending any such action, suit or proceeding. QuantumScape believes that these agreements are necessary to attract and retain qualified individuals to serve as directors and executive officers.</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included in the Certificate of Incorporation, the Bylaws and in indemnification agreements that QuantumScape has entered into with its directors and executive officers may discourage stockholders from bringing a lawsuit against QuantumScape’s directors and officers for breach of their fiduciary duties. They may also reduce the likelihood of derivative litigation against our directors and officers, even though an action, if successful, might benefit QuantumScape and other stockholders. Further, a stockholder’s investment may be adversely affected to the extent that QuantumScape pays the costs of settlement and damage awards against directors and officers as required by these indemnification provisions.</w:t>
      </w:r>
    </w:p>
    <w:p>
      <w:pPr>
        <w:spacing w:after="0" w:line="187"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QuantumScape has obtained insurance policies under which, subject to the limitations of the policies, coverage is provided to its directors and executive officers against loss arising from claims made by reason of breach of fiduciary duty or other wrongful acts as a director or executive officer, including claims relating to public securities matters, and to QuantumScape with respect to payments that may be made by it to these directors and executive officers pursuant to its indemnification obligations or otherwise as a matter of law.</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Certain of QuantumScape’s non-employee directors may, through their relationships with their employers, be insured or indemnified against certain liabilities incurred in their capacity as members of QuantumScape’s Board.</w:t>
      </w:r>
    </w:p>
    <w:p>
      <w:pPr>
        <w:spacing w:after="0" w:line="162"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QuantumScape pursuant to the foregoing provisions, QuantumScape has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“QS”.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The transfer agent and registrar’s address is One State Street Plaza, 30th Floor, New York, NY 10004.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4924-0405-0818.2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2" w:name="page103"/>
    <w:bookmarkEnd w:id="102"/>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SUBLEASE</w:t>
      </w:r>
    </w:p>
    <w:p>
      <w:pPr>
        <w:spacing w:after="0" w:line="216"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20"/>
          <w:szCs w:val="20"/>
          <w:color w:val="auto"/>
        </w:rPr>
        <w:t>THIS SUBLEASE (this “Sublease”) is dated for reference purposes as of 12/3/2025, and is made by and between QuantumScape Battery, Inc., a Delaware corporation (“Sublessor”), and Momentus Inc., a Delaware corporation (“Sublessee”). Sublessor and Sublessee hereby agree as follows:</w:t>
      </w:r>
    </w:p>
    <w:p>
      <w:pPr>
        <w:spacing w:after="0" w:line="174" w:lineRule="exact"/>
        <w:rPr>
          <w:sz w:val="20"/>
          <w:szCs w:val="20"/>
          <w:color w:val="auto"/>
        </w:rPr>
      </w:pPr>
    </w:p>
    <w:p>
      <w:pPr>
        <w:ind w:right="140" w:firstLine="757"/>
        <w:spacing w:after="0" w:line="246"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w:t>
      </w:r>
      <w:r>
        <w:rPr>
          <w:rFonts w:ascii="Times New Roman" w:cs="Times New Roman" w:eastAsia="Times New Roman" w:hAnsi="Times New Roman"/>
          <w:sz w:val="20"/>
          <w:szCs w:val="20"/>
          <w:color w:val="auto"/>
        </w:rPr>
        <w:t xml:space="preserve">: This Sublease is made with reference to the fact that UTAH LAND &amp; CAPITAL, LLC, a California limited liability company, as landlord (“Master Lessor”), and Sublessor, as tenant, are parties to that certain Lease, dated as of November 1, 2021, as amended by that certain First Amendment to Lease Agreement dated as of June 30, 2025 (the “First Amendment”, and as amended, the “Master Lease”), with respect to premises consisting of approximately 141,740 rentable square feet of space located at 1756 and 1762 Automation Parkway, San Jose, California 95131 (the “Master Premises”). The Master Premises are part of the four buildings known as 1756, 1762, 1768 and 1750 Automation Parkway, San Jose, California, 95131 (along with all existing or future improvements and facilities, the “Project”). A copy of the Master Lease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firstLine="757"/>
        <w:spacing w:after="0" w:line="244"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Subleased Premises</w:t>
      </w:r>
      <w:r>
        <w:rPr>
          <w:rFonts w:ascii="Times New Roman" w:cs="Times New Roman" w:eastAsia="Times New Roman" w:hAnsi="Times New Roman"/>
          <w:sz w:val="20"/>
          <w:szCs w:val="20"/>
          <w:color w:val="auto"/>
        </w:rPr>
        <w:t xml:space="preserve">: Sublessor hereby subleases to Sublessee, and Sublessee hereby subleases from Sublessor, a portion of the Master Premises consisting of the entire building located at 1762 Automation Parkway, San Jose, California (the “1762 Building”) containing approximately 61,100 rentable square feet of space (hereinafter, the “Subleased Premises”). In connection with its use of the Subleased Premises, Sublessee shall also have the non-exclusive right to use the Common Areas (as defined in the Master Lease), subject to such reasonable rules and regulations as Sublessor and Master Lessor may establish from time to time provided Sublessee has been provided with a copy of any such rules and regulations established by Sublessor. The Subleased Premises are more particularly described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85" w:lineRule="exact"/>
        <w:rPr>
          <w:rFonts w:ascii="Times New Roman" w:cs="Times New Roman" w:eastAsia="Times New Roman" w:hAnsi="Times New Roman"/>
          <w:sz w:val="20"/>
          <w:szCs w:val="20"/>
          <w:color w:val="auto"/>
        </w:rPr>
      </w:pPr>
    </w:p>
    <w:p>
      <w:pPr>
        <w:ind w:right="220" w:firstLine="757"/>
        <w:spacing w:after="0" w:line="245"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(the “Term”) of this Sublease shall be for the period commencing on the later of: (a) December 1, 2025 or (b) the date that Sublessor obtains Master Lessor’s consent to this Sublease and delivers the Subleased Premises to Sublessee in vacant, broom clean condition (the “Commencement Date”) and ending on September 30, 2032 (the “Expiration Date”), unless this Sublease is sooner terminated pursuant to its terms or the Master Lease is sooner terminated pursuant to its terms. For the avoidance of doubt, the Subleased Premises shall be deemed delivered when Sublessor vacates the Subleased Premises and provides Sublessee keys or other means of access thereto (or would have if Sublessee had performed its obligations hereunder).</w:t>
      </w:r>
    </w:p>
    <w:p>
      <w:pPr>
        <w:spacing w:after="0" w:line="184" w:lineRule="exact"/>
        <w:rPr>
          <w:rFonts w:ascii="Times New Roman" w:cs="Times New Roman" w:eastAsia="Times New Roman" w:hAnsi="Times New Roman"/>
          <w:sz w:val="20"/>
          <w:szCs w:val="20"/>
          <w:color w:val="auto"/>
        </w:rPr>
      </w:pPr>
    </w:p>
    <w:p>
      <w:pPr>
        <w:ind w:left="100" w:right="160" w:firstLine="1497"/>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Without limiting the generality of the foregoing, Sublessor shall, at its sole cost, remove Sublessor’s furniture and personal property from the Premises prior to the Commencement Date; provided, however, Sublessor hereby agrees to surrender and leave in the Premises, for a total purchase price of $40,000, those certain items of furniture, fixtures and equipment itemized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b w:val="1"/>
          <w:bCs w:val="1"/>
          <w:color w:val="auto"/>
        </w:rPr>
        <w:t>Surrendered FF&amp;E</w:t>
      </w:r>
      <w:r>
        <w:rPr>
          <w:rFonts w:ascii="Times New Roman" w:cs="Times New Roman" w:eastAsia="Times New Roman" w:hAnsi="Times New Roman"/>
          <w:sz w:val="20"/>
          <w:szCs w:val="20"/>
          <w:color w:val="auto"/>
        </w:rPr>
        <w:t xml:space="preserve">”). On the Commencement Date, Sublessor shall transfer all of its right, title and interest in the Surrendered FF&amp;E to Sublessee, and Sublessee shall accept said assets in their “as-is” condition, pursuant to and in accordance with the form of bill of sale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Sublessee shall be responsible for any transfer or sales tax with respect to such assets.</w:t>
      </w:r>
    </w:p>
    <w:p>
      <w:pPr>
        <w:spacing w:after="0" w:line="18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1064260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9" w:lineRule="exact"/>
        <w:rPr>
          <w:sz w:val="20"/>
          <w:szCs w:val="20"/>
          <w:color w:val="auto"/>
        </w:rPr>
      </w:pPr>
    </w:p>
    <w:p>
      <w:pPr>
        <w:ind w:right="400" w:firstLine="1505"/>
        <w:spacing w:after="0" w:line="269" w:lineRule="auto"/>
        <w:tabs>
          <w:tab w:leader="none" w:pos="203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Rent</w:t>
      </w:r>
      <w:r>
        <w:rPr>
          <w:rFonts w:ascii="Times New Roman" w:cs="Times New Roman" w:eastAsia="Times New Roman" w:hAnsi="Times New Roman"/>
          <w:sz w:val="20"/>
          <w:szCs w:val="20"/>
          <w:color w:val="auto"/>
        </w:rPr>
        <w:t>. Sublessee shall pay to Sublessor as base rent for the Subleased Premises for each month during the Term as follows (“Base Rent”):</w:t>
      </w:r>
    </w:p>
    <w:p>
      <w:pPr>
        <w:spacing w:after="0" w:line="200" w:lineRule="exact"/>
        <w:rPr>
          <w:sz w:val="20"/>
          <w:szCs w:val="20"/>
          <w:color w:val="auto"/>
        </w:rPr>
      </w:pPr>
    </w:p>
    <w:p>
      <w:pPr>
        <w:spacing w:after="0" w:line="202" w:lineRule="exact"/>
        <w:rPr>
          <w:sz w:val="20"/>
          <w:szCs w:val="20"/>
          <w:color w:val="auto"/>
        </w:rPr>
      </w:pPr>
    </w:p>
    <w:tbl>
      <w:tblPr>
        <w:tblLayout w:type="fixed"/>
        <w:tblInd w:w="950" w:type="dxa"/>
        <w:tblCellMar>
          <w:top w:w="0" w:type="dxa"/>
          <w:left w:w="0" w:type="dxa"/>
          <w:bottom w:w="0" w:type="dxa"/>
          <w:right w:w="0" w:type="dxa"/>
        </w:tblCellMar>
      </w:tblPr>
      <w:tr>
        <w:trPr>
          <w:trHeight w:val="360"/>
        </w:trPr>
        <w:tc>
          <w:tcPr>
            <w:tcW w:w="50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Period</w:t>
            </w:r>
          </w:p>
        </w:tc>
        <w:tc>
          <w:tcPr>
            <w:tcW w:w="23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Monthly Base Rent</w:t>
            </w:r>
          </w:p>
        </w:tc>
      </w:tr>
      <w:tr>
        <w:trPr>
          <w:trHeight w:val="99"/>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r>
        <w:trPr>
          <w:trHeight w:val="340"/>
        </w:trPr>
        <w:tc>
          <w:tcPr>
            <w:tcW w:w="5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December 1, 2025 – November 30, 2026*</w:t>
            </w:r>
          </w:p>
        </w:tc>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$72,000.00</w:t>
            </w:r>
          </w:p>
        </w:tc>
      </w:tr>
      <w:tr>
        <w:trPr>
          <w:trHeight w:val="102"/>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r>
        <w:trPr>
          <w:trHeight w:val="337"/>
        </w:trPr>
        <w:tc>
          <w:tcPr>
            <w:tcW w:w="5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December 1, 2026 – May 31, 2027</w:t>
            </w:r>
          </w:p>
        </w:tc>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$74,100.00</w:t>
            </w:r>
          </w:p>
        </w:tc>
      </w:tr>
      <w:tr>
        <w:trPr>
          <w:trHeight w:val="102"/>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r>
        <w:trPr>
          <w:trHeight w:val="337"/>
        </w:trPr>
        <w:tc>
          <w:tcPr>
            <w:tcW w:w="5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June 1, 2027 – November 30, 2027</w:t>
            </w:r>
          </w:p>
        </w:tc>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$151,039.20</w:t>
            </w:r>
          </w:p>
        </w:tc>
      </w:tr>
      <w:tr>
        <w:trPr>
          <w:trHeight w:val="102"/>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r>
        <w:trPr>
          <w:trHeight w:val="337"/>
        </w:trPr>
        <w:tc>
          <w:tcPr>
            <w:tcW w:w="5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December 1, 2027 – November 30, 2028</w:t>
            </w:r>
          </w:p>
        </w:tc>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$155,570.38</w:t>
            </w:r>
          </w:p>
        </w:tc>
      </w:tr>
      <w:tr>
        <w:trPr>
          <w:trHeight w:val="102"/>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r>
        <w:trPr>
          <w:trHeight w:val="337"/>
        </w:trPr>
        <w:tc>
          <w:tcPr>
            <w:tcW w:w="5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December 1, 2028 – November 30, 2029</w:t>
            </w:r>
          </w:p>
        </w:tc>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$160,237.49</w:t>
            </w:r>
          </w:p>
        </w:tc>
      </w:tr>
      <w:tr>
        <w:trPr>
          <w:trHeight w:val="102"/>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r>
        <w:trPr>
          <w:trHeight w:val="337"/>
        </w:trPr>
        <w:tc>
          <w:tcPr>
            <w:tcW w:w="5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December 1, 2029 – November 30, 2030</w:t>
            </w:r>
          </w:p>
        </w:tc>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$165,044.61</w:t>
            </w:r>
          </w:p>
        </w:tc>
      </w:tr>
      <w:tr>
        <w:trPr>
          <w:trHeight w:val="102"/>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r>
        <w:trPr>
          <w:trHeight w:val="337"/>
        </w:trPr>
        <w:tc>
          <w:tcPr>
            <w:tcW w:w="5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December 1, 2030- November 30, 2031</w:t>
            </w:r>
          </w:p>
        </w:tc>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$169,995.95</w:t>
            </w:r>
          </w:p>
        </w:tc>
      </w:tr>
      <w:tr>
        <w:trPr>
          <w:trHeight w:val="102"/>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r>
        <w:trPr>
          <w:trHeight w:val="337"/>
        </w:trPr>
        <w:tc>
          <w:tcPr>
            <w:tcW w:w="5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December 1, 2031- September 30, 2032</w:t>
            </w:r>
          </w:p>
        </w:tc>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$175,095.83</w:t>
            </w:r>
          </w:p>
        </w:tc>
      </w:tr>
      <w:tr>
        <w:trPr>
          <w:trHeight w:val="102"/>
        </w:trPr>
        <w:tc>
          <w:tcPr>
            <w:tcW w:w="504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r>
    </w:tbl>
    <w:p>
      <w:pPr>
        <w:spacing w:after="0" w:line="90" w:lineRule="exact"/>
        <w:rPr>
          <w:sz w:val="20"/>
          <w:szCs w:val="20"/>
          <w:color w:val="auto"/>
        </w:rPr>
      </w:pPr>
    </w:p>
    <w:p>
      <w:pPr>
        <w:ind w:left="860" w:hanging="132"/>
        <w:spacing w:after="0"/>
        <w:tabs>
          <w:tab w:leader="none" w:pos="8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abatement as set forth in Paragraph 4.D below.</w:t>
      </w:r>
    </w:p>
    <w:p>
      <w:pPr>
        <w:spacing w:after="0" w:line="2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Base Rent and Additional Rent, as defined in Paragraph 4.B below, shall be paid on or before the first (1st) day of each month. Base Rent and Additional Rent for any period during the Term hereof which is for less than one (1) month of the Term shall be a pro rata portion of the monthly installment based on a thirty (30) day month. Base Rent and Additional Rent shall be payable without notice or demand and without any deduction, offset, or abatement, in lawful money of the United States of America. Base Rent and Additional Rent shall be paid directly to Sublessor at 1730 Technology Drive, San Jose, CA 95110, Attention: Accounts Receivable, or such other address or pursuant to wiring instructions as may be designated in writing by Sublessor.</w:t>
      </w:r>
    </w:p>
    <w:p>
      <w:pPr>
        <w:spacing w:after="0" w:line="184" w:lineRule="exact"/>
        <w:rPr>
          <w:sz w:val="20"/>
          <w:szCs w:val="20"/>
          <w:color w:val="auto"/>
        </w:rPr>
      </w:pPr>
    </w:p>
    <w:p>
      <w:pPr>
        <w:ind w:right="100" w:firstLine="1505"/>
        <w:spacing w:after="0" w:line="242" w:lineRule="auto"/>
        <w:tabs>
          <w:tab w:leader="none" w:pos="203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Rent</w:t>
      </w:r>
      <w:r>
        <w:rPr>
          <w:rFonts w:ascii="Times New Roman" w:cs="Times New Roman" w:eastAsia="Times New Roman" w:hAnsi="Times New Roman"/>
          <w:sz w:val="20"/>
          <w:szCs w:val="20"/>
          <w:color w:val="auto"/>
        </w:rPr>
        <w:t>. All monies other than Base Rent required to be paid by Sublessor under the Master Lease as to the Subleased Premises, including, without limitation, any amounts payable by Sublessor during the Term hereof to Master Lessor as “Additional Rent” as to the Subleased Premises as described in Section 3.2 of the Master Lease, shall be paid by Sublessee hereunder as and when such amounts are due under the Master Lease, as incorporated herein. Sublessee shall also pay to Sublessor any gross receipts or rent tax payable with respect to this Sublease and all costs directly incurred by or at the request of Sublessee with respect to its use of the Subleased Premises. All such amounts shall be deemed additional rent (“Additional Rent”). Base Rent and Additional Rent hereinafter collectively shall be referred to as “Rent”. Sublessee and Sublessor agree, as a material part of the consideration given by Sublessee to Sublessor for this Sublease, that Sublessee shall pay all costs, expenses, taxes, insurance, maintenance and other charges of every kind and nature arising in connection with this Sublease during the Term, the Master Lease as to the Subleased Premises or the Subleased Premises, such that Sublessor shall receive, as a net consideration for this Sublease, the Base Rent payable under Paragraph 4.A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989330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89" w:lineRule="exact"/>
        <w:rPr>
          <w:sz w:val="20"/>
          <w:szCs w:val="20"/>
          <w:color w:val="auto"/>
        </w:rPr>
      </w:pPr>
    </w:p>
    <w:p>
      <w:pPr>
        <w:ind w:left="-757" w:firstLine="1505"/>
        <w:spacing w:after="0" w:line="249" w:lineRule="auto"/>
        <w:tabs>
          <w:tab w:leader="none" w:pos="12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Prepaid Base Rent</w:t>
      </w:r>
      <w:r>
        <w:rPr>
          <w:rFonts w:ascii="Times New Roman" w:cs="Times New Roman" w:eastAsia="Times New Roman" w:hAnsi="Times New Roman"/>
          <w:sz w:val="20"/>
          <w:szCs w:val="20"/>
          <w:color w:val="auto"/>
        </w:rPr>
        <w:t>. Upon execution hereof by Sublessee, Sublessee shall pay to Sublessor (i) the sum of One Hundred Forty-Six Thousand Six Hundred Forty and 00/100 Dollars ($146,640.00) which shall constitute Base Rent for the month of April 2026 and thereafter until fully credited against Base Rent, and (ii) Forty Thousand and 00/100 Dollars ($40,000.00) as consideration for the Surrendered FF&amp;E.</w:t>
      </w:r>
    </w:p>
    <w:p>
      <w:pPr>
        <w:spacing w:after="0" w:line="179" w:lineRule="exact"/>
        <w:rPr>
          <w:rFonts w:ascii="Times New Roman" w:cs="Times New Roman" w:eastAsia="Times New Roman" w:hAnsi="Times New Roman"/>
          <w:sz w:val="20"/>
          <w:szCs w:val="20"/>
          <w:color w:val="auto"/>
        </w:rPr>
      </w:pPr>
    </w:p>
    <w:p>
      <w:pPr>
        <w:jc w:val="both"/>
        <w:ind w:left="-757" w:right="340" w:firstLine="1505"/>
        <w:spacing w:after="0" w:line="249" w:lineRule="auto"/>
        <w:tabs>
          <w:tab w:leader="none" w:pos="12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Abated Base Rent and Additional Rent</w:t>
      </w:r>
      <w:r>
        <w:rPr>
          <w:rFonts w:ascii="Times New Roman" w:cs="Times New Roman" w:eastAsia="Times New Roman" w:hAnsi="Times New Roman"/>
          <w:sz w:val="20"/>
          <w:szCs w:val="20"/>
          <w:color w:val="auto"/>
        </w:rPr>
        <w:t>. Notwithstanding the foregoing, so long as Sublessee is not in default beyond applicable notice and cure periods, (i) Base Rent shall be abated from the Commencement Date through March 31, 2026 in the aggregate amount of $288,000.00 and (ii) “Additional Rent” as to the Subleased Premises as described in Section 3.2 of the Master Lease shall be abated from the Commencement Date through February 1, 2026.</w:t>
      </w:r>
    </w:p>
    <w:p>
      <w:pPr>
        <w:spacing w:after="0" w:line="179" w:lineRule="exact"/>
        <w:rPr>
          <w:rFonts w:ascii="Times New Roman" w:cs="Times New Roman" w:eastAsia="Times New Roman" w:hAnsi="Times New Roman"/>
          <w:sz w:val="20"/>
          <w:szCs w:val="20"/>
          <w:color w:val="auto"/>
        </w:rPr>
      </w:pPr>
    </w:p>
    <w:p>
      <w:pPr>
        <w:ind w:left="-757" w:firstLine="757"/>
        <w:spacing w:after="0" w:line="245" w:lineRule="auto"/>
        <w:tabs>
          <w:tab w:leader="none" w:pos="26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Late Charge:</w:t>
      </w:r>
      <w:r>
        <w:rPr>
          <w:rFonts w:ascii="Times New Roman" w:cs="Times New Roman" w:eastAsia="Times New Roman" w:hAnsi="Times New Roman"/>
          <w:sz w:val="20"/>
          <w:szCs w:val="20"/>
          <w:color w:val="auto"/>
        </w:rPr>
        <w:t xml:space="preserve"> If Sublessee fails to pay to Sublessor any amount due hereunder and such failure continues for more than five (5) days following written notice to Sublessee, Sublessee shall (i) pay to Sublessor a late charge as set forth in Section 23.7 of the Master Lease, as incorporated herein, and (ii) pay to Sublessor interest on all amounts due, at the rate set forth in Section 1.13 of the Master Lease, as incorporated herein (the “Interest Rate”), from the due date to and including the date of the payment. The parties agree that the foregoing late charge represents a reasonable estimate of the cost and expense which Sublessor will incur in processing each delinquent payment. Sublessor’s acceptance of any interest or late charge shall not waive Sublessee’s default in failing to pay the delinquent amount.</w:t>
      </w:r>
    </w:p>
    <w:p>
      <w:pPr>
        <w:spacing w:after="0" w:line="184" w:lineRule="exact"/>
        <w:rPr>
          <w:rFonts w:ascii="Times New Roman" w:cs="Times New Roman" w:eastAsia="Times New Roman" w:hAnsi="Times New Roman"/>
          <w:sz w:val="20"/>
          <w:szCs w:val="20"/>
          <w:color w:val="auto"/>
        </w:rPr>
      </w:pPr>
    </w:p>
    <w:p>
      <w:pPr>
        <w:ind w:left="-757" w:right="20" w:firstLine="757"/>
        <w:spacing w:after="0"/>
        <w:tabs>
          <w:tab w:leader="none" w:pos="26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Deposit</w:t>
      </w:r>
      <w:r>
        <w:rPr>
          <w:rFonts w:ascii="Times New Roman" w:cs="Times New Roman" w:eastAsia="Times New Roman" w:hAnsi="Times New Roman"/>
          <w:sz w:val="20"/>
          <w:szCs w:val="20"/>
          <w:color w:val="auto"/>
        </w:rPr>
        <w:t>: Upon execution hereof by Sublessee, Sublessee shall deposit with Sublessor the sum of Two Hundred Fifty Thousand and 00/100 Dollars ($250,000.00) (the “Security Deposit”), in cash, as security for the performance by Sublessee of the terms and conditions of this Sublease. If Sublessee fails to pay Rent or other charges due hereunder or otherwise defaults with respect to any provision of this Sublease, then Sublessor may draw upon, use, apply or retain all or any portion of the Security Deposit for the payment of any Rent or other charge in default, for the payment of any other sum which Sublessor has become obligated to pay by reason of Sublessee’s default, or to compensate Sublessor for any loss or damage which Sublessor has suffered thereby, including future rent damages under California Civil Code Section 1951.2, without prejudice to any other remedy provided herein or by law. Sublessee hereby waives the provisions of any law, now or hereafter in force, including, without limitation, California Civil Code Section 1950.7, that provides that Sublessor may claim from a security deposit only those sums reasonably necessary to remedy defaults in the payment of Rent, to repair damage caused by Sublessee, or to clean the Subleased Premises, it being agreed that Sublessor, in addition, may claim those sums reasonably necessary to compensate Sublessor for any other loss or damage, foreseeable or unforeseeable, caused by the act or omission of Sublessee, including future rent damages following the termination of this Sublease. If Sublessor so uses or applies all or any portion of the Security Deposit, then Sublessee, within ten (10) days after demand therefor, shall deposit cash with Sublessor in the amount required to restore the Security Deposit to the full amount stated above. Upon the expiration of this Sublease, Sublessor shall return to Sublessee so much of the Security Deposit as has not been applied by Sublessor pursuant to this paragraph, or which is not otherwise required to cure Sublessee’s defaults. Notwithstanding the foregoing, in lieu of the cash Security Deposit described above, the Security Deposit may be in the form of an irrevocable letter of credit (the “Letter of Credit”) in an amount equal to Two Hundred Fifty Thousand and 00/100 Dollars ($250,000.00), issued to Sublessor, as beneficiary, in form and substance reasonably satisfactory to Sublessor, by a bank reasonably approved by Sublessor in which case, the Letter of Credit shall serve as the Security Deposit under this Sublease. If Sublessee elects to provide a Letter of Credit in lieu of a cash Security Deposit as aforesaid, such Letter of Credit shall be governed by the provisions of Section 5 of the Master Lease, as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1058545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05" w:name="page106"/>
    <w:bookmarkEnd w:id="105"/>
    <w:p>
      <w:pPr>
        <w:spacing w:after="0" w:line="189" w:lineRule="exact"/>
        <w:rPr>
          <w:sz w:val="20"/>
          <w:szCs w:val="20"/>
          <w:color w:val="auto"/>
        </w:rPr>
      </w:pPr>
    </w:p>
    <w:p>
      <w:pPr>
        <w:ind w:left="-757" w:right="80" w:firstLine="757"/>
        <w:spacing w:after="0" w:line="245" w:lineRule="auto"/>
        <w:tabs>
          <w:tab w:leader="none" w:pos="26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Holdover</w:t>
      </w:r>
      <w:r>
        <w:rPr>
          <w:rFonts w:ascii="Times New Roman" w:cs="Times New Roman" w:eastAsia="Times New Roman" w:hAnsi="Times New Roman"/>
          <w:sz w:val="20"/>
          <w:szCs w:val="20"/>
          <w:color w:val="auto"/>
        </w:rPr>
        <w:t>: In the event that Sublessee does not surrender the Subleased Premises by the Expiration Date or earlier termination of this Sublease in accordance with the terms of this Sublease, Sublessee shall indemnify, defend, protect and hold harmless Sublessor from and against all loss and liability resulting from Sublessee’s delay in surrendering the Subleased Premises (including, without limitation, the payment of any holdover rent payable by Sublessor under the Master Lease with respect to the entire Master Premises and any consequential damages suffered by Sublessor or Master Lessor) and pay Sublessor holdover rent equal to one hundred fifty percent (150%) of the Base Rent during the last month of the Term, together with all Additional Rent and other sums payable under this Sublease.</w:t>
      </w:r>
    </w:p>
    <w:p>
      <w:pPr>
        <w:spacing w:after="0" w:line="184" w:lineRule="exact"/>
        <w:rPr>
          <w:rFonts w:ascii="Times New Roman" w:cs="Times New Roman" w:eastAsia="Times New Roman" w:hAnsi="Times New Roman"/>
          <w:sz w:val="20"/>
          <w:szCs w:val="20"/>
          <w:color w:val="auto"/>
        </w:rPr>
      </w:pPr>
    </w:p>
    <w:p>
      <w:pPr>
        <w:ind w:left="-757" w:right="60" w:firstLine="757"/>
        <w:spacing w:after="0" w:line="245" w:lineRule="auto"/>
        <w:tabs>
          <w:tab w:leader="none" w:pos="26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Repairs</w:t>
      </w:r>
      <w:r>
        <w:rPr>
          <w:rFonts w:ascii="Times New Roman" w:cs="Times New Roman" w:eastAsia="Times New Roman" w:hAnsi="Times New Roman"/>
          <w:sz w:val="20"/>
          <w:szCs w:val="20"/>
          <w:color w:val="auto"/>
        </w:rPr>
        <w:t>: The parties acknowledge and agree that Sublessee is subleasing the Subleased Premises on an “as is” basis, and that Sublessor has made no representations or warranties with respect to the condition of the Subleased Premises and the Common Areas. Sublessor shall have no obligation whatsoever to make or pay the cost of any alterations, improvements or repairs to the Subleased Premises, including, without limitation, any improvement or repair required to comply with any law. Master Lessor shall be solely responsible for performance of any repairs required to be performed by Master Lessor under the terms of the Master Lease. Sublessee shall maintain and repair the Subleased Premises in accordance with the Master Lease, as incorporated herein.</w:t>
      </w:r>
    </w:p>
    <w:p>
      <w:pPr>
        <w:spacing w:after="0" w:line="184" w:lineRule="exact"/>
        <w:rPr>
          <w:rFonts w:ascii="Times New Roman" w:cs="Times New Roman" w:eastAsia="Times New Roman" w:hAnsi="Times New Roman"/>
          <w:sz w:val="20"/>
          <w:szCs w:val="20"/>
          <w:color w:val="auto"/>
        </w:rPr>
      </w:pPr>
    </w:p>
    <w:p>
      <w:pPr>
        <w:ind w:left="-757" w:firstLine="757"/>
        <w:spacing w:after="0" w:line="243" w:lineRule="auto"/>
        <w:tabs>
          <w:tab w:leader="none" w:pos="26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Except to the extent caused by the negligence or willful misconduct of Sublessor, its agents, employees, contractors or invitees, Sublessee shall indemnify, defend with counsel reasonably acceptable to Sublessor, protect and hold Sublessor harmless from and against any and all losses, claims, liabilities, damages, costs and expenses (including reasonable attorneys’ and experts’ fees), caused by or arising in connection with: (i) the use, occupancy or condition of the Subleased Premises by Sublessee; (ii) the negligence or willful misconduct of Sublessee or its employees, contractors, agents or invitees; or (iii) a breach of Sublessee’s obligations under this Sublease or the provisions of the Master Lease assumed by Sublessee hereunder. Sublessor shall indemnify defend with counsel reasonably acceptable to Sublessee protect and hold Sublessee harmless from and against any and all losses, claims, liabilities, damages, costs and expenses (including reasonable attorneys’ and experts’ fees), caused by or arising in connection with Sublessor’s willful misconduct, gross negligence or breach of this Sublease. The indemnifications set forth in this Paragraph 9 shall survive termination of this Sublease.</w:t>
      </w:r>
    </w:p>
    <w:p>
      <w:pPr>
        <w:spacing w:after="0" w:line="185" w:lineRule="exact"/>
        <w:rPr>
          <w:rFonts w:ascii="Times New Roman" w:cs="Times New Roman" w:eastAsia="Times New Roman" w:hAnsi="Times New Roman"/>
          <w:sz w:val="20"/>
          <w:szCs w:val="20"/>
          <w:color w:val="auto"/>
        </w:rPr>
      </w:pPr>
    </w:p>
    <w:p>
      <w:pPr>
        <w:ind w:left="-757" w:right="80" w:firstLine="757"/>
        <w:spacing w:after="0" w:line="246" w:lineRule="auto"/>
        <w:tabs>
          <w:tab w:leader="none" w:pos="26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Cure Defaults</w:t>
      </w:r>
      <w:r>
        <w:rPr>
          <w:rFonts w:ascii="Times New Roman" w:cs="Times New Roman" w:eastAsia="Times New Roman" w:hAnsi="Times New Roman"/>
          <w:sz w:val="20"/>
          <w:szCs w:val="20"/>
          <w:color w:val="auto"/>
        </w:rPr>
        <w:t>: If Sublessee fails to pay any sum of money due under this Sublease, or fails to perform any other act on its part to be performed hereunder, then Sublessor may, but shall not be obligated to, after passage of any applicable notice and cure periods, make such payment or perform such act. All such sums paid, and all reasonable costs and expenses of performing any such act, shall be deemed Additional Rent payable by Sublessee to Sublessor within thirty (30) days following written demand therefor to Sublessee, together with interest thereon at the Interest Rate from the date of the expenditure until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984885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06" w:name="page107"/>
    <w:bookmarkEnd w:id="106"/>
    <w:p>
      <w:pPr>
        <w:spacing w:after="0" w:line="189" w:lineRule="exact"/>
        <w:rPr>
          <w:sz w:val="20"/>
          <w:szCs w:val="20"/>
          <w:color w:val="auto"/>
        </w:rPr>
      </w:pPr>
    </w:p>
    <w:p>
      <w:pPr>
        <w:ind w:left="-757" w:right="20" w:firstLine="757"/>
        <w:spacing w:after="0" w:line="241" w:lineRule="auto"/>
        <w:tabs>
          <w:tab w:leader="none" w:pos="26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Subletting</w:t>
      </w:r>
      <w:r>
        <w:rPr>
          <w:rFonts w:ascii="Times New Roman" w:cs="Times New Roman" w:eastAsia="Times New Roman" w:hAnsi="Times New Roman"/>
          <w:sz w:val="20"/>
          <w:szCs w:val="20"/>
          <w:color w:val="auto"/>
        </w:rPr>
        <w:t>: Sublessee may not assign this Sublease, sublet the Subleased Premises, transfer any interest of Sublessee therein or permit any use of the Subleased Premises by another party other than Sublessor’s employees as may be agreed to by the parties (collectively, “Transfer”), without the prior written consent of Sublessor and Master Lessor. In addition, (i) the transfer, assignment, or hypothecation of stock or ownership interest in Sublessee in excess of fifty percent (50%) (a “Change of Control”), (ii) the sale of all or substantially all of the assets of Sublessee or (iii) the merger or consolidation of Sublessee shall be deemed a Transfer within the meaning and provision of this Paragraph 11. Upon Sublessee’s request for a Transfer, Sublessor shall have the right to terminate this Sublease in the case of an assignment or recapture the Subleased Premises or portion of the Subleased Premises that is the subject of a proposed Transfer, effective as of the date of the proposed Transfer. A consent to one Transfer shall not be deemed to be a consent to any subsequent Transfer. Sublessor’s waiver or consent to any assignment or subletting shall be ineffective unless set forth in writing, and Sublessee shall not be relieved from any of its obligations under this Sublease unless the consent expressly so provides. Any Transfer shall be subject to the terms of Article 14 of the Master Lease, as incorporated herein. Notwithstanding the foregoing, the provisions of Section 14.8 of the Master Lease, as incorporated herein, with respect to “Permitted Transfers” shall apply solely as between Sublessor and Sublessee, but shall not be binding as between Master Lessor and Sublessee.</w:t>
      </w:r>
    </w:p>
    <w:p>
      <w:pPr>
        <w:spacing w:after="0" w:line="197" w:lineRule="exact"/>
        <w:rPr>
          <w:rFonts w:ascii="Times New Roman" w:cs="Times New Roman" w:eastAsia="Times New Roman" w:hAnsi="Times New Roman"/>
          <w:sz w:val="20"/>
          <w:szCs w:val="20"/>
          <w:color w:val="auto"/>
        </w:rPr>
      </w:pPr>
    </w:p>
    <w:p>
      <w:pPr>
        <w:ind w:left="-757" w:right="80" w:firstLine="757"/>
        <w:spacing w:after="0" w:line="259" w:lineRule="auto"/>
        <w:tabs>
          <w:tab w:leader="none" w:pos="26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Use</w:t>
      </w:r>
      <w:r>
        <w:rPr>
          <w:rFonts w:ascii="Times New Roman" w:cs="Times New Roman" w:eastAsia="Times New Roman" w:hAnsi="Times New Roman"/>
          <w:sz w:val="19"/>
          <w:szCs w:val="19"/>
          <w:color w:val="auto"/>
        </w:rPr>
        <w:t>: Sublessee may use the Subleased Premises only for the Permitted Use, as defined in the Master Lease. Sublessee shall comply with the hazardous materials provisions in Section 6.4 of the Master Lease, as incorporated herein. Sublessee shall not do or permit anything to be done in or about the Subleased Premises which would (i) injure the Subleased Premises; or (ii) vibrate, shake, overload, or impair the efficient operation of the Subleased Premises or the sprinkler systems, heating, ventilating or air conditioning equipment, or utilities systems located therein or exceed density requirement imposed by applicable law. Sublessee shall not store any materials, supplies, finished or unfinished products or articles of any nature outside of the Subleased Premises. For purposes of this Sublease and the Master Lease, Sublessee shall comply with all reasonable rules and regulations promulgated from time to time by Sublessor and Master Lessor.</w:t>
      </w:r>
    </w:p>
    <w:p>
      <w:pPr>
        <w:spacing w:after="0" w:line="172" w:lineRule="exact"/>
        <w:rPr>
          <w:rFonts w:ascii="Times New Roman" w:cs="Times New Roman" w:eastAsia="Times New Roman" w:hAnsi="Times New Roman"/>
          <w:sz w:val="19"/>
          <w:szCs w:val="19"/>
          <w:color w:val="auto"/>
        </w:rPr>
      </w:pPr>
    </w:p>
    <w:p>
      <w:pPr>
        <w:ind w:left="-757" w:firstLine="757"/>
        <w:spacing w:after="0" w:line="244" w:lineRule="auto"/>
        <w:tabs>
          <w:tab w:leader="none" w:pos="26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Conveyance</w:t>
      </w:r>
      <w:r>
        <w:rPr>
          <w:rFonts w:ascii="Times New Roman" w:cs="Times New Roman" w:eastAsia="Times New Roman" w:hAnsi="Times New Roman"/>
          <w:sz w:val="20"/>
          <w:szCs w:val="20"/>
          <w:color w:val="auto"/>
        </w:rPr>
        <w:t>: As used in this Sublease, the term “Sublessor” means the holder of the tenant’s interest under the Master Lease. In the event of any assignment, transfer or termination of the tenant’s interest under the Master Lease, which assignment, transfer or termination may occur at any time during the Term hereof in Sublessor’s sole discretion, Sublessor shall be and hereby is entirely relieved of all covenants and obligations of Sublessor hereunder, and it shall be deemed and construed, without further agreement between the parties, that any transferee has assumed and shall carry out all covenants and obligations thereafter to be performed by Sublessor hereunder. Sublessor may transfer and deliver any security of Sublessee to the transferee of the tenant’s interest under the Master Lease, and thereupon Sublessor shall be discharged from any further liability with respect thereto.</w:t>
      </w:r>
    </w:p>
    <w:p>
      <w:pPr>
        <w:spacing w:after="0" w:line="185" w:lineRule="exact"/>
        <w:rPr>
          <w:rFonts w:ascii="Times New Roman" w:cs="Times New Roman" w:eastAsia="Times New Roman" w:hAnsi="Times New Roman"/>
          <w:sz w:val="20"/>
          <w:szCs w:val="20"/>
          <w:color w:val="auto"/>
        </w:rPr>
      </w:pPr>
    </w:p>
    <w:p>
      <w:pPr>
        <w:ind w:left="-757" w:right="60" w:firstLine="757"/>
        <w:spacing w:after="0" w:line="246" w:lineRule="auto"/>
        <w:tabs>
          <w:tab w:leader="none" w:pos="26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and Acceptance</w:t>
      </w:r>
      <w:r>
        <w:rPr>
          <w:rFonts w:ascii="Times New Roman" w:cs="Times New Roman" w:eastAsia="Times New Roman" w:hAnsi="Times New Roman"/>
          <w:sz w:val="20"/>
          <w:szCs w:val="20"/>
          <w:color w:val="auto"/>
        </w:rPr>
        <w:t>: If Sublessor fails to deliver possession of the Subleased Premises to Sublessee on the Commencement Date for any reason whatsoever, then this Sublease shall not be void or voidable, nor shall Sublessor be liable to Sublessee for any loss or damage provided, however, that in such event, Rent shall abate until Sublessor delivers possession of the Subleased Premises to Sublessee. By taking possession of the Subleased Premises, Sublessee conclusively shall be deemed to have accepted the Subleased Premises in their as-is, then-existing condition, without any warranty whatsoever of Sublessor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1045210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1440" w:right="399" w:bottom="1440" w:gutter="0" w:footer="0" w:header="0"/>
        </w:sectPr>
      </w:pPr>
    </w:p>
    <w:bookmarkStart w:id="107" w:name="page108"/>
    <w:bookmarkEnd w:id="107"/>
    <w:p>
      <w:pPr>
        <w:spacing w:after="0" w:line="189" w:lineRule="exact"/>
        <w:rPr>
          <w:sz w:val="20"/>
          <w:szCs w:val="20"/>
          <w:color w:val="auto"/>
        </w:rPr>
      </w:pPr>
    </w:p>
    <w:p>
      <w:pPr>
        <w:ind w:right="160" w:firstLine="757"/>
        <w:spacing w:after="0" w:line="249"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Improvements</w:t>
      </w:r>
      <w:r>
        <w:rPr>
          <w:rFonts w:ascii="Times New Roman" w:cs="Times New Roman" w:eastAsia="Times New Roman" w:hAnsi="Times New Roman"/>
          <w:sz w:val="20"/>
          <w:szCs w:val="20"/>
          <w:color w:val="auto"/>
        </w:rPr>
        <w:t>: No alteration or improvements shall be made to the Subleased Premises, except in accordance with the Master Lease, and with the prior written consent of both Master Lessor and Sublessor and Sublessor’s approval of Sublessee’s contractors and vendors for such alterations or improvements. Sublessor shall have the right to approve any vendor of Sublessee that will require access to the Building, which approval shall not be unreasonably withheld or delayed.</w:t>
      </w:r>
    </w:p>
    <w:p>
      <w:pPr>
        <w:spacing w:after="0" w:line="179" w:lineRule="exact"/>
        <w:rPr>
          <w:rFonts w:ascii="Times New Roman" w:cs="Times New Roman" w:eastAsia="Times New Roman" w:hAnsi="Times New Roman"/>
          <w:sz w:val="20"/>
          <w:szCs w:val="20"/>
          <w:color w:val="auto"/>
        </w:rPr>
      </w:pPr>
    </w:p>
    <w:p>
      <w:pPr>
        <w:ind w:firstLine="757"/>
        <w:spacing w:after="0" w:line="246"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Sublessor shall not be liable to Sublessee, nor shall Sublessee be entitled to terminate this Sublease or to abate Rent for any reason, including, without limitation: (i) failure or interruption of any utility system or service; (ii) failure of Master Lessor to maintain the Subleased Premises as may be required under the Master Lease; or (iii) penetration of water into or onto any portion of the Subleased Premises. The obligations of Sublessor shall not constitute the personal obligations of the officers, directors, trustees, partners, joint venturers, members, owners, stockholders or other principals or representatives of the business entity.</w:t>
      </w:r>
    </w:p>
    <w:p>
      <w:pPr>
        <w:spacing w:after="0" w:line="184" w:lineRule="exact"/>
        <w:rPr>
          <w:rFonts w:ascii="Times New Roman" w:cs="Times New Roman" w:eastAsia="Times New Roman" w:hAnsi="Times New Roman"/>
          <w:sz w:val="20"/>
          <w:szCs w:val="20"/>
          <w:color w:val="auto"/>
        </w:rPr>
      </w:pPr>
    </w:p>
    <w:p>
      <w:pPr>
        <w:ind w:firstLine="757"/>
        <w:spacing w:after="0" w:line="246"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Waiver of Subrogation</w:t>
      </w:r>
      <w:r>
        <w:rPr>
          <w:rFonts w:ascii="Times New Roman" w:cs="Times New Roman" w:eastAsia="Times New Roman" w:hAnsi="Times New Roman"/>
          <w:sz w:val="20"/>
          <w:szCs w:val="20"/>
          <w:color w:val="auto"/>
        </w:rPr>
        <w:t>: Sublessee shall obtain and keep in full force and effect, at Sublessee’s sole cost and expense, during the Term the insurance required to be carried by Sublessor, as “Tenant” under the Master Lease with respect to the Subleased Premises. Sublessee shall name Master Lessor and Sublessor as additional insureds under its liability insurance policy. The release and waiver of subrogation set forth in Article 22 of the Master Lease, as incorporated herein, shall be binding on the parties and shall apply between the parties notwithstanding anything to the contrary herein.</w:t>
      </w:r>
    </w:p>
    <w:p>
      <w:pPr>
        <w:spacing w:after="0" w:line="184" w:lineRule="exact"/>
        <w:rPr>
          <w:rFonts w:ascii="Times New Roman" w:cs="Times New Roman" w:eastAsia="Times New Roman" w:hAnsi="Times New Roman"/>
          <w:sz w:val="20"/>
          <w:szCs w:val="20"/>
          <w:color w:val="auto"/>
        </w:rPr>
      </w:pPr>
    </w:p>
    <w:p>
      <w:pPr>
        <w:ind w:firstLine="757"/>
        <w:spacing w:after="0" w:line="243"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Remedies</w:t>
      </w:r>
      <w:r>
        <w:rPr>
          <w:rFonts w:ascii="Times New Roman" w:cs="Times New Roman" w:eastAsia="Times New Roman" w:hAnsi="Times New Roman"/>
          <w:sz w:val="20"/>
          <w:szCs w:val="20"/>
          <w:color w:val="auto"/>
        </w:rPr>
        <w:t>: Sublessee shall be in material default of its obligations under this Sublease upon the occurrence of any of the events set forth in Section 23.1 of the Master Lease, as incorporated herein (each, an “Event of Default”). Upon the occurrence of an Event of Default by Sublessee, Sublessor shall have all remedies provided pursuant to Sections 23.2, 23.3, 23.4 and 23.5 of the Master Lease, as incorporated herein, and by applicable Laws, including damages that include the worth at the time of award of the amount by which the unpaid rent for the balance of the term after the time of award exceeds the amount of such rental loss that the lessee proves could be reasonably avoided and the remedy described in California Civil Code Section 1951.4 (lessor may continue lease in effect after lessee’s breach and abandonment and recover rent as it becomes due, if lessee has right to sublet or assign, subject only to reasonable limitations). Sublessor may resort to its remedies cumulatively or in the alternative.</w:t>
      </w:r>
    </w:p>
    <w:p>
      <w:pPr>
        <w:spacing w:after="0" w:line="189" w:lineRule="exact"/>
        <w:rPr>
          <w:rFonts w:ascii="Times New Roman" w:cs="Times New Roman" w:eastAsia="Times New Roman" w:hAnsi="Times New Roman"/>
          <w:sz w:val="20"/>
          <w:szCs w:val="20"/>
          <w:color w:val="auto"/>
        </w:rPr>
      </w:pPr>
    </w:p>
    <w:p>
      <w:pPr>
        <w:ind w:right="40" w:firstLine="757"/>
        <w:spacing w:after="0" w:line="263" w:lineRule="auto"/>
        <w:tabs>
          <w:tab w:leader="none" w:pos="101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Surrender</w:t>
      </w:r>
      <w:r>
        <w:rPr>
          <w:rFonts w:ascii="Times New Roman" w:cs="Times New Roman" w:eastAsia="Times New Roman" w:hAnsi="Times New Roman"/>
          <w:sz w:val="19"/>
          <w:szCs w:val="19"/>
          <w:color w:val="auto"/>
        </w:rPr>
        <w:t>: Prior to expiration of this Sublease, Sublessee shall remove all of its trade fixtures and shall surrender the Subleased Premises to Sublessor in the condition required under the Master Lease. If the Subleased Premises are not so surrendered, then Sublessee shall be liable to Sublessor for all liabilities Sublessor incurs as a result thereof, including costs incurred by Sublessor in returning the Subleased Premises to the required condition, plus interest thereon at the Interest Rate. Notwithstanding the foregoing, Sublessee shall not be responsible for the removal of any alterations performed or installed by Sublessor and required to be removed by the Master Lessor.</w:t>
      </w:r>
    </w:p>
    <w:p>
      <w:pPr>
        <w:spacing w:after="0" w:line="166" w:lineRule="exact"/>
        <w:rPr>
          <w:rFonts w:ascii="Times New Roman" w:cs="Times New Roman" w:eastAsia="Times New Roman" w:hAnsi="Times New Roman"/>
          <w:sz w:val="19"/>
          <w:szCs w:val="19"/>
          <w:color w:val="auto"/>
        </w:rPr>
      </w:pPr>
    </w:p>
    <w:p>
      <w:pPr>
        <w:ind w:firstLine="757"/>
        <w:spacing w:after="0" w:line="265" w:lineRule="auto"/>
        <w:tabs>
          <w:tab w:leader="none" w:pos="101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Broker</w:t>
      </w:r>
      <w:r>
        <w:rPr>
          <w:rFonts w:ascii="Times New Roman" w:cs="Times New Roman" w:eastAsia="Times New Roman" w:hAnsi="Times New Roman"/>
          <w:sz w:val="19"/>
          <w:szCs w:val="19"/>
          <w:color w:val="auto"/>
        </w:rPr>
        <w:t>: Sublessor and Sublessee each represent to the other that they have dealt with no real estate brokers, finders, agents or salesmen in connection with this transaction other than Colliers, representing Sublessor, and Newmark, representing Sublessee, in connection with this transaction. Each party agrees to hold the other party harmless from and against all claims for brokerage commissions, finder’s fees</w:t>
      </w:r>
    </w:p>
    <w:p>
      <w:pPr>
        <w:ind w:right="220"/>
        <w:spacing w:after="0" w:line="246" w:lineRule="auto"/>
        <w:rPr>
          <w:sz w:val="20"/>
          <w:szCs w:val="20"/>
          <w:color w:val="auto"/>
        </w:rPr>
      </w:pPr>
      <w:r>
        <w:rPr>
          <w:rFonts w:ascii="Times New Roman" w:cs="Times New Roman" w:eastAsia="Times New Roman" w:hAnsi="Times New Roman"/>
          <w:sz w:val="20"/>
          <w:szCs w:val="20"/>
          <w:color w:val="auto"/>
        </w:rPr>
        <w:t>or other compen sation made by any other agent, broker, salesman or finder as a consequence of such party’s actions or dealings with any agent, broker, salesman, or finder.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982980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89" w:lineRule="exact"/>
        <w:rPr>
          <w:sz w:val="20"/>
          <w:szCs w:val="20"/>
          <w:color w:val="auto"/>
        </w:rPr>
      </w:pPr>
    </w:p>
    <w:p>
      <w:pPr>
        <w:ind w:left="-757" w:firstLine="757"/>
        <w:spacing w:after="0" w:line="244" w:lineRule="auto"/>
        <w:tabs>
          <w:tab w:leader="none" w:pos="26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Unless at least five (5) days’ prior written notice is given in the manner set forth in this paragraph, the address of each party for all purposes connected with this Sublease shall be that address set forth below its signature at the end of this Sublease. All notices, demands or communications in connection with this Sublease shall be (a) personally delivered; or (b) properly addressed and (i) submitted to an overnight courier service, charges prepaid, or (ii) deposited in the mail (certified, return receipt requested, and postage prepaid). Notices shall be deemed delivered upon receipt, if personally delivered, one (1) business day after being submitted to an overnight courier service and three (3) business days after mailing, if mailed as set forth above. All notices given to Master Lessor under the Master Lease shall be considered received only when delivered in accordance with the Master Lease.</w:t>
      </w:r>
    </w:p>
    <w:p>
      <w:pPr>
        <w:spacing w:after="0" w:line="185" w:lineRule="exact"/>
        <w:rPr>
          <w:rFonts w:ascii="Times New Roman" w:cs="Times New Roman" w:eastAsia="Times New Roman" w:hAnsi="Times New Roman"/>
          <w:sz w:val="20"/>
          <w:szCs w:val="20"/>
          <w:color w:val="auto"/>
        </w:rPr>
      </w:pPr>
    </w:p>
    <w:p>
      <w:pPr>
        <w:ind w:left="-757" w:firstLine="757"/>
        <w:spacing w:after="0"/>
        <w:tabs>
          <w:tab w:leader="none" w:pos="26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This Sublease shall in all respects be governed by and construed in accordance with the laws of the State of California. If any term of this Sublease is held to be invalid or unenforceable by any court of competent jurisdiction, then the remainder of this Sublease shall remain in full force and effect to the fullest extent possible under the law, and shall not be affected or impaired. This Sublease may not be amended except by the written agreement of all parties hereto. If either party brings any action or legal proceeding with respect to this Sublease, the prevailing party shall be entitled to recover reasonable attorneys’ fees, experts’ fees and court costs. Sublessee and Sublessor each represent and warrant to the other that each person executing this Sublease on behalf of such party is duly authorized to execute and deliver this Sublease on behalf of that party. This Sublease may be executed in any number of counterparts, each of which shall be deemed to be an original, and all of such counterparts shall constitute one document. To facilitate execution of this Sublease, the parties may execute and exchange, by electronic mail PDF, counterparts of the signature pages. Signature pages may be detached from the counterparts and attached to a single copy of this Sublease to physically form one document. In addition, the parties hereto consent and agree that this Sublease may be signed using electronic signature technology (e.g., via DocuSign or similar electronic signature technology), and that such signed electronic record shall be valid and as effective to bind the party so signing as a paper copy bearing such party's handwritten signature. Sublessor has not had an inspection of the Master Premises performed by a Certified Access Specialist as described in California Civil Code § 1938. A Certified Access Specialist (CASp) can inspect the Subleased Premises and determine whether the Subleased Premises complies with all of the applicable construction-related accessibility standards under state law. Although state law does not require a CASp inspection of the Subleased Premises, the commercial property owner or lessor may not prohibit the lessee or tenant from obtaining a CASp inspection of the Subleased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Subleased Premises. Capitalized terms used but not defined in this Sublease shall have the meanings ascribed to such terms in the Master Lease.</w:t>
      </w:r>
    </w:p>
    <w:p>
      <w:pPr>
        <w:spacing w:after="0" w:line="205"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Sublease Terms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1064260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09" w:name="page110"/>
    <w:bookmarkEnd w:id="109"/>
    <w:p>
      <w:pPr>
        <w:spacing w:after="0" w:line="189" w:lineRule="exact"/>
        <w:rPr>
          <w:sz w:val="20"/>
          <w:szCs w:val="20"/>
          <w:color w:val="auto"/>
        </w:rPr>
      </w:pPr>
    </w:p>
    <w:p>
      <w:pPr>
        <w:ind w:left="-400" w:firstLine="1505"/>
        <w:spacing w:after="0"/>
        <w:tabs>
          <w:tab w:leader="none" w:pos="163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by Reference</w:t>
      </w:r>
      <w:r>
        <w:rPr>
          <w:rFonts w:ascii="Times New Roman" w:cs="Times New Roman" w:eastAsia="Times New Roman" w:hAnsi="Times New Roman"/>
          <w:sz w:val="20"/>
          <w:szCs w:val="20"/>
          <w:color w:val="auto"/>
        </w:rPr>
        <w:t>. Except as set forth below, the terms and conditions of this Sublease shall include all of the terms of the Master Lease and such terms are incorporated into this Sublease as if fully set forth herein, except that: (i) each reference in such incorporated sections to “Lease” shall be deemed a reference to “Sublease”; (ii) each reference to the “Premises” and the “Building” shall be deemed a reference to the “Subleased Premises” and the 1762 Building; (iii) each reference to “Landlord” and “Tenant” shall be deemed a reference to “Sublessor” and “Sublessee”, respectively, except as otherwise expressly set forth herein; (iv) with respect to work, services, repairs, restoration, insurance, indemnities, representations, warranties or the performance of any other obligation of Master Lessor under the Master Lease, the sole obligation of Sublessor shall be to request the same in writing from Master Lessor as and when requested to do so by Sublessee, and to use Sublessor’s reasonable efforts (without requiring Sublessor to spend more than a nominal sum) to obtain Master Lessor’s performance; (v) with respect to any obligation of Sublessee to be performed under this Sublease, wherever the Master Lease grants to Sublessor a specified number of days to perform its obligations under the Master Lease, except as otherwise provided herein, Sublessee shall have three (3) fewer days to perform the obligation, including, without limitation, curing any defaults; (vi) with respect to any approval required to be obtained from the “Landlord” under the Master Lease, such consent must be obtained from both Master Lessor and Sublessor, and the approval of Sublessor may be withheld if Master Lessor’s consent is not obtained, otherwise no consents required of Sublessor shall be unreasonably withheld or delayed unless a different standard is expressly set forth herein or in the incorporated provisions of the Master Lease; (vii) in any case where the “Landlord” reserves or is granted the right to manage, supervise, control, repair, alter, regulate the use of, enter or use the Master Premises or any areas beneath, above or adjacent thereto, perform any actions or cure any failures, such reservation or right shall be deemed to be for the benefit of both Master Lessor and Sublessor; (viii) in any case where “Tenant” is to indemnify, release or waive claims against “Landlord”, such indemnity, release or waiver shall be deemed to cover, and run from Sublessee to, both Master Lessor and Sublessor; (ix) in any case where “Tenant” is to execute and deliver certain documents or notices to “Landlord”, such obligation shall be deemed to run from Sublessee to both Master Lessor and Sublessor; (x) all payments shall be made to Sublessor; (xi) Sublessee shall pay all consent and review fees set forth in the Master Lease to each of Master Lessor and Sublessor; (xii) Sublessee shall not have the right to terminate this Sublease due to casualty or condemnation unless Sublessor elects to terminate the Master Lease; (xiii) all “profit” under subleases, assignments and Transfers shall be paid to Sublessor; (xiv) Sublessor’s obligations under Sections 4.8 and 4.9 are limited to forwarding statements and refunds provided by Master Lessor, and Sublessee shall have no right to dispute or audit such statements; and (xv) except as specifically set forth herein, Sublessee shall not be entitled to any abatement of Rent hereunder except to the extent Sublessor is entitled to such abatement under the Master Lease.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foregoing, the following provisions of the Master Lease shall not be incorporated herein:</w:t>
      </w:r>
    </w:p>
    <w:p>
      <w:pPr>
        <w:spacing w:after="0" w:line="22" w:lineRule="exact"/>
        <w:rPr>
          <w:sz w:val="20"/>
          <w:szCs w:val="20"/>
          <w:color w:val="auto"/>
        </w:rPr>
      </w:pPr>
    </w:p>
    <w:p>
      <w:pPr>
        <w:ind w:left="1100" w:right="100" w:hanging="369"/>
        <w:spacing w:after="0" w:line="239" w:lineRule="auto"/>
        <w:tabs>
          <w:tab w:leader="none" w:pos="11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of Basic Lease Information: 1.1, 1.2 (last sentence only), 1.5, 1.6, 1.7, 1.8, 1.10, 1.11, 1.12 (last sentence only), 1.13, 1.14, 1.18, 1.20, 1.21, 1.22, 1.23, 1.24</w:t>
      </w:r>
    </w:p>
    <w:p>
      <w:pPr>
        <w:ind w:left="1140" w:hanging="409"/>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1.4</w:t>
      </w:r>
    </w:p>
    <w:p>
      <w:pPr>
        <w:ind w:left="1140" w:hanging="409"/>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w:t>
      </w:r>
    </w:p>
    <w:p>
      <w:pPr>
        <w:ind w:left="1140" w:hanging="409"/>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 3.1, 3.3</w:t>
      </w:r>
    </w:p>
    <w:p>
      <w:pPr>
        <w:ind w:left="1140" w:hanging="409"/>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 4.1 (last two sentences only), 4.9 (last four sentences only)</w:t>
      </w:r>
    </w:p>
    <w:p>
      <w:pPr>
        <w:ind w:left="360" w:right="600" w:firstLine="371"/>
        <w:spacing w:after="0" w:line="239" w:lineRule="auto"/>
        <w:tabs>
          <w:tab w:leader="none" w:pos="113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 (unless Sublessee elects to provide a Letter of Credit pursuant to Paragraph 6 above, in which event only Section 5.1(a) shall be excluded from incorporation by reference herein)</w:t>
      </w:r>
    </w:p>
    <w:p>
      <w:pPr>
        <w:ind w:left="1140" w:hanging="409"/>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 6.2(a) (last sentence only), 6.4(e), 6.4(f) (last sentence only)</w:t>
      </w:r>
    </w:p>
    <w:p>
      <w:pPr>
        <w:ind w:left="1140" w:hanging="409"/>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w:t>
      </w:r>
    </w:p>
    <w:p>
      <w:pPr>
        <w:ind w:left="1140" w:hanging="409"/>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 9.2 (third through fifth sentences only)</w:t>
      </w:r>
    </w:p>
    <w:p>
      <w:pPr>
        <w:ind w:left="1140" w:hanging="409"/>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11.1 (except the definition of Building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990600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20" w:top="1440" w:right="359" w:bottom="1440" w:gutter="0" w:footer="0" w:header="0"/>
        </w:sectPr>
      </w:pPr>
    </w:p>
    <w:bookmarkStart w:id="110" w:name="page111"/>
    <w:bookmarkEnd w:id="110"/>
    <w:p>
      <w:pPr>
        <w:ind w:left="1500" w:hanging="369"/>
        <w:spacing w:after="0"/>
        <w:tabs>
          <w:tab w:leader="none" w:pos="15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12: 12.1 (second sentence of the first grammatical paragraph only), 12.1(g) (except for the second sentence)</w:t>
      </w:r>
    </w:p>
    <w:p>
      <w:pPr>
        <w:spacing w:after="0" w:line="21"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14: 14.8</w:t>
      </w: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16: 16.2 (penultimate sentence only)</w:t>
      </w: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26: 26.2</w:t>
      </w: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38</w:t>
      </w: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w:t>
      </w: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A-1, A-2, B (first page only), D, F</w:t>
      </w: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Amendment.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addition, notwithstanding subpart (iii) above, references in the following provisions to “Landlord” shall mean Master Lessor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only:</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 4.1, 4.2, 4.4, 4.5, 4.6, 4.7, 4.8, 4.11</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 6.1, 6.2(a) (second and third sentences only), 6.2(b)</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11.2, 11.4</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16: 16.1, 16.3</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18</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19</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 20.4</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25</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28</w:t>
      </w:r>
    </w:p>
    <w:p>
      <w:pPr>
        <w:ind w:left="1500" w:hanging="369"/>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37</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 addition, notwithstanding subpart (iii) above, references in the following provisions to “Landlord” shall mean Master Lessor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Sublessor:</w:t>
      </w:r>
    </w:p>
    <w:p>
      <w:pPr>
        <w:ind w:left="1500" w:hanging="369"/>
        <w:spacing w:after="0"/>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of Basic Lease Information: 1.16</w:t>
      </w:r>
    </w:p>
    <w:p>
      <w:pPr>
        <w:ind w:left="1540" w:hanging="409"/>
        <w:spacing w:after="0"/>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1.2</w:t>
      </w:r>
    </w:p>
    <w:p>
      <w:pPr>
        <w:ind w:left="1540" w:hanging="409"/>
        <w:spacing w:after="0"/>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 4.10</w:t>
      </w:r>
    </w:p>
    <w:p>
      <w:pPr>
        <w:ind w:left="1540" w:hanging="409"/>
        <w:spacing w:after="0"/>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 6.4(d)</w:t>
      </w:r>
    </w:p>
    <w:p>
      <w:pPr>
        <w:ind w:left="1540" w:hanging="409"/>
        <w:spacing w:after="0"/>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17</w:t>
      </w:r>
    </w:p>
    <w:p>
      <w:pPr>
        <w:ind w:left="1540" w:hanging="409"/>
        <w:spacing w:after="0"/>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24</w:t>
      </w:r>
    </w:p>
    <w:p>
      <w:pPr>
        <w:ind w:left="1540" w:hanging="409"/>
        <w:spacing w:after="0"/>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35</w:t>
      </w:r>
    </w:p>
    <w:p>
      <w:pPr>
        <w:spacing w:after="0" w:line="193" w:lineRule="exact"/>
        <w:rPr>
          <w:rFonts w:ascii="Times New Roman" w:cs="Times New Roman" w:eastAsia="Times New Roman" w:hAnsi="Times New Roman"/>
          <w:sz w:val="20"/>
          <w:szCs w:val="20"/>
          <w:color w:val="auto"/>
        </w:rPr>
      </w:pPr>
    </w:p>
    <w:p>
      <w:pPr>
        <w:ind w:firstLine="1497"/>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Assumption of Obligations</w:t>
      </w:r>
      <w:r>
        <w:rPr>
          <w:rFonts w:ascii="Times New Roman" w:cs="Times New Roman" w:eastAsia="Times New Roman" w:hAnsi="Times New Roman"/>
          <w:sz w:val="20"/>
          <w:szCs w:val="20"/>
          <w:color w:val="auto"/>
        </w:rPr>
        <w:t>. This Sublease is and at all times shall be subject and subordinate to the Master Lease and the rights of Master Lessor thereunder. Sublessee hereby expressly assumes and agrees: (i) to comply with all provisions of the Master Lease which are incorporated hereunder; and (ii) to perform all the obligations on the part of the “Tenant” to be performed under the terms of the Master Lease during the Term of this Sublease which are incorporated hereunder. In the event the Master Lease is terminated for any reason whatsoever, this Sublease shall terminate simultaneously with such termination (unless Master Lessor or a successor tenant agrees to permit Sublessee to continue to occupy the Subleased Premises on the terms of this Sublease for the remainder of the Term), without any liability of Sublessor to Sublessee. In the event of a conflict between the provisions of this Sublease and the Master Lease, as between Sublessor and Sublessee, the provisions of this Sublease shall control. In the event of a conflict between the express provisions of this Sublease and the provisions of the Master Lease, as incorporated herein, the express provisions of this Sublease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1045845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1" w:name="page112"/>
    <w:bookmarkEnd w:id="111"/>
    <w:p>
      <w:pPr>
        <w:spacing w:after="0" w:line="189" w:lineRule="exact"/>
        <w:rPr>
          <w:sz w:val="20"/>
          <w:szCs w:val="20"/>
          <w:color w:val="auto"/>
        </w:rPr>
      </w:pPr>
    </w:p>
    <w:p>
      <w:pPr>
        <w:ind w:left="-757" w:right="140" w:firstLine="757"/>
        <w:spacing w:after="0" w:line="244" w:lineRule="auto"/>
        <w:tabs>
          <w:tab w:leader="none" w:pos="26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Sublease and Sublessor’s and Sublessee’s obligations hereunder are conditioned upon the written consent of Master Lessor. Each party shall use commercially reasonable efforts to obtain such consent, including by promptly signing Master Lessor’s commercially reasonable consent form. If Sublessor fails to obtain Master Lessor’s consent within sixty (60) days after execution of this Sublease by Sublessor, then Sublessor or Sublessee may terminate this Sublease by giving the other party written notice thereof prior to the date such consent is received, and Sublessor shall return to Sublessee its payment of the fifth month’s Base Rent paid by Sublessee pursuant to Paragraph 4 hereof and the Security Deposit. Promptly upon request of Master Lessor, Sublessee shall execute an attornment agreement in commercially reasonable form.</w:t>
      </w:r>
    </w:p>
    <w:p>
      <w:pPr>
        <w:spacing w:after="0" w:line="185" w:lineRule="exact"/>
        <w:rPr>
          <w:rFonts w:ascii="Times New Roman" w:cs="Times New Roman" w:eastAsia="Times New Roman" w:hAnsi="Times New Roman"/>
          <w:sz w:val="20"/>
          <w:szCs w:val="20"/>
          <w:color w:val="auto"/>
        </w:rPr>
      </w:pPr>
    </w:p>
    <w:p>
      <w:pPr>
        <w:ind w:left="-757" w:right="20" w:firstLine="757"/>
        <w:spacing w:after="0" w:line="246" w:lineRule="auto"/>
        <w:tabs>
          <w:tab w:leader="none" w:pos="26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Recapture</w:t>
      </w:r>
      <w:r>
        <w:rPr>
          <w:rFonts w:ascii="Times New Roman" w:cs="Times New Roman" w:eastAsia="Times New Roman" w:hAnsi="Times New Roman"/>
          <w:sz w:val="20"/>
          <w:szCs w:val="20"/>
          <w:color w:val="auto"/>
        </w:rPr>
        <w:t>: Notwithstanding anything to the contrary herein, Sublessee acknowledges that, under the Master Lease, both Master Lessor and Sublessor have certain termination and recapture rights, including, without limitation, in Articles 14, 18, 19 and 23. Nothing herein shall prohibit Master Lessor or Sublessor from exercising any such rights and neither Master Lessor nor Sublessor shall have any liability to Sublessee as a result thereof except as expressly provided in this Sublease. In the event Master Lessor or Sublessor exercise any such termination or recapture rights, this Sublease shall terminate.</w:t>
      </w:r>
    </w:p>
    <w:p>
      <w:pPr>
        <w:spacing w:after="0" w:line="184" w:lineRule="exact"/>
        <w:rPr>
          <w:rFonts w:ascii="Times New Roman" w:cs="Times New Roman" w:eastAsia="Times New Roman" w:hAnsi="Times New Roman"/>
          <w:sz w:val="20"/>
          <w:szCs w:val="20"/>
          <w:color w:val="auto"/>
        </w:rPr>
      </w:pPr>
    </w:p>
    <w:p>
      <w:pPr>
        <w:ind w:left="-757" w:right="580" w:firstLine="757"/>
        <w:spacing w:after="0" w:line="269" w:lineRule="auto"/>
        <w:tabs>
          <w:tab w:leader="none" w:pos="26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Parking</w:t>
      </w:r>
      <w:r>
        <w:rPr>
          <w:rFonts w:ascii="Times New Roman" w:cs="Times New Roman" w:eastAsia="Times New Roman" w:hAnsi="Times New Roman"/>
          <w:sz w:val="20"/>
          <w:szCs w:val="20"/>
          <w:color w:val="auto"/>
        </w:rPr>
        <w:t>: Subject to the applicable provisions of the Master Lease, Sublessee shall have the non-exclusive right to use the surface parking spaces within the Building Common Area as defined in the Master Lease during the Sublease Term.</w:t>
      </w:r>
    </w:p>
    <w:p>
      <w:pPr>
        <w:spacing w:after="0" w:line="159" w:lineRule="exact"/>
        <w:rPr>
          <w:rFonts w:ascii="Times New Roman" w:cs="Times New Roman" w:eastAsia="Times New Roman" w:hAnsi="Times New Roman"/>
          <w:sz w:val="20"/>
          <w:szCs w:val="20"/>
          <w:color w:val="auto"/>
        </w:rPr>
      </w:pPr>
    </w:p>
    <w:p>
      <w:pPr>
        <w:ind w:left="-757" w:firstLine="757"/>
        <w:spacing w:after="0" w:line="269" w:lineRule="auto"/>
        <w:tabs>
          <w:tab w:leader="none" w:pos="26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Signage</w:t>
      </w:r>
      <w:r>
        <w:rPr>
          <w:rFonts w:ascii="Times New Roman" w:cs="Times New Roman" w:eastAsia="Times New Roman" w:hAnsi="Times New Roman"/>
          <w:sz w:val="20"/>
          <w:szCs w:val="20"/>
          <w:color w:val="auto"/>
        </w:rPr>
        <w:t>. Subject to any required consents and approvals from Master Lessor, Subtenant shall have the signage rights attributable to the Subleased Premises set forth in Section 6.2 of the Master Lease, as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969010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112" w:name="page113"/>
    <w:bookmarkEnd w:id="112"/>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 WITNESS WHEREOF, the parties have executed this Sublease as of the day and year first above written.</w:t>
      </w:r>
    </w:p>
    <w:p>
      <w:pPr>
        <w:spacing w:after="0" w:line="22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SUBLESSOR:</w:t>
      </w:r>
      <w:r>
        <w:rPr>
          <w:sz w:val="20"/>
          <w:szCs w:val="20"/>
          <w:color w:val="auto"/>
        </w:rPr>
        <w:tab/>
      </w:r>
      <w:r>
        <w:rPr>
          <w:rFonts w:ascii="Times New Roman" w:cs="Times New Roman" w:eastAsia="Times New Roman" w:hAnsi="Times New Roman"/>
          <w:sz w:val="20"/>
          <w:szCs w:val="20"/>
          <w:color w:val="auto"/>
        </w:rPr>
        <w:t>SUBLESSEE: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QUANTUMSCAPE BATTERY, INC., MOMENTUS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 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Keving Hettrich By: /s/ John Rood</w:t>
      </w:r>
    </w:p>
    <w:p>
      <w:pPr>
        <w:spacing w:after="0" w:line="21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color w:val="auto"/>
        </w:rPr>
        <w:t>Name: Kevin Hettrich</w:t>
      </w:r>
      <w:r>
        <w:rPr>
          <w:sz w:val="20"/>
          <w:szCs w:val="20"/>
          <w:color w:val="auto"/>
        </w:rPr>
        <w:tab/>
      </w:r>
      <w:r>
        <w:rPr>
          <w:rFonts w:ascii="Times New Roman" w:cs="Times New Roman" w:eastAsia="Times New Roman" w:hAnsi="Times New Roman"/>
          <w:sz w:val="19"/>
          <w:szCs w:val="19"/>
          <w:color w:val="auto"/>
        </w:rPr>
        <w:t>Name: John Rood</w:t>
      </w: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color w:val="auto"/>
        </w:rPr>
        <w:t>Its: Chief Financial Officer</w:t>
      </w:r>
      <w:r>
        <w:rPr>
          <w:sz w:val="20"/>
          <w:szCs w:val="20"/>
          <w:color w:val="auto"/>
        </w:rPr>
        <w:tab/>
      </w:r>
      <w:r>
        <w:rPr>
          <w:rFonts w:ascii="Times New Roman" w:cs="Times New Roman" w:eastAsia="Times New Roman" w:hAnsi="Times New Roman"/>
          <w:sz w:val="19"/>
          <w:szCs w:val="19"/>
          <w:color w:val="auto"/>
        </w:rPr>
        <w:t>Its: CEO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1064260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8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Subsidiaries of QuantumScape Corporation</w:t>
            </w:r>
          </w:p>
        </w:tc>
      </w:tr>
      <w:tr>
        <w:trPr>
          <w:trHeight w:val="35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4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Jurisdiction of Incorporation or Formation:</w:t>
            </w:r>
          </w:p>
        </w:tc>
      </w:tr>
      <w:tr>
        <w:trPr>
          <w:trHeight w:val="191"/>
        </w:trPr>
        <w:tc>
          <w:tcPr>
            <w:tcW w:w="3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QuantumScape Battery, Inc.</w:t>
            </w:r>
          </w:p>
        </w:tc>
        <w:tc>
          <w:tcPr>
            <w:tcW w:w="8240" w:type="dxa"/>
            <w:vAlign w:val="bottom"/>
          </w:tcPr>
          <w:p>
            <w:pPr>
              <w:ind w:left="2620"/>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QuantumScape Japan GK</w:t>
            </w:r>
          </w:p>
        </w:tc>
        <w:tc>
          <w:tcPr>
            <w:tcW w:w="82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Japan</w:t>
            </w:r>
          </w:p>
        </w:tc>
      </w:tr>
      <w:tr>
        <w:trPr>
          <w:trHeight w:val="1627"/>
        </w:trPr>
        <w:tc>
          <w:tcPr>
            <w:tcW w:w="300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25"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Post-Effective Amendment No. 5 to Registration Statement (Form S-1 on Form S-3 No. 333-251433) of QuantumScape Corporation,</w:t>
      </w:r>
    </w:p>
    <w:p>
      <w:pPr>
        <w:spacing w:after="0" w:line="11"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Registration Statement (Form S-3 No. 333-262659) of QuantumScape Corporation,</w:t>
      </w:r>
    </w:p>
    <w:p>
      <w:pPr>
        <w:spacing w:after="0" w:line="12" w:lineRule="exact"/>
        <w:rPr>
          <w:rFonts w:ascii="Times New Roman" w:cs="Times New Roman" w:eastAsia="Times New Roman" w:hAnsi="Times New Roman"/>
          <w:sz w:val="22"/>
          <w:szCs w:val="22"/>
          <w:color w:val="auto"/>
        </w:rPr>
      </w:pPr>
    </w:p>
    <w:p>
      <w:pPr>
        <w:ind w:left="760" w:right="40" w:hanging="378"/>
        <w:spacing w:after="0" w:line="233"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Registration Statement (Form S-8 No. 333-252606) pertaining to the 2020 Equity Incentive Plan, 2020 Employee Stock Purchase Plan, and 2010 Equity Incentive Plan of QuantumScape Corporation,</w:t>
      </w:r>
    </w:p>
    <w:p>
      <w:pPr>
        <w:spacing w:after="0" w:line="9" w:lineRule="exact"/>
        <w:rPr>
          <w:rFonts w:ascii="Times New Roman" w:cs="Times New Roman" w:eastAsia="Times New Roman" w:hAnsi="Times New Roman"/>
          <w:sz w:val="22"/>
          <w:szCs w:val="22"/>
          <w:color w:val="auto"/>
        </w:rPr>
      </w:pPr>
    </w:p>
    <w:p>
      <w:pPr>
        <w:ind w:left="760" w:right="340" w:hanging="378"/>
        <w:spacing w:after="0" w:line="234"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Registration Statement (Form S-8 No. 333-270117) pertaining to the 2020 Equity Incentive Plan and 2020 Employee Stock Purchase Plan of QuantumScape Corporation,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Registration Statement (Form S-8 No. 333-277401) pertaining to the 2020 Equity Incentive Plan of QuantumScape Corporation,</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Registration Statement (Form S-8 No. 333-285242) pertaining to the 2020 Equity Incentive Plan of QuantumScape Corporation;</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our reports dated February 26, 2026, with respect to the consolidated financial statements of QuantumScape Corporation and the effectiveness of internal control over financial reporting of QuantumScape Corporation included in this Annual Report (Form 10-K) of QuantumScape Corporation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1313180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Siva Sivaram, certify that:</w:t>
      </w:r>
    </w:p>
    <w:p>
      <w:pPr>
        <w:spacing w:after="0" w:line="235"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QuantumScape Corporation;</w:t>
      </w:r>
    </w:p>
    <w:p>
      <w:pPr>
        <w:spacing w:after="0" w:line="234" w:lineRule="exact"/>
        <w:rPr>
          <w:rFonts w:ascii="Times New Roman" w:cs="Times New Roman" w:eastAsia="Times New Roman" w:hAnsi="Times New Roman"/>
          <w:sz w:val="16"/>
          <w:szCs w:val="16"/>
          <w:color w:val="auto"/>
        </w:rPr>
      </w:pPr>
    </w:p>
    <w:p>
      <w:pPr>
        <w:ind w:left="520" w:right="140" w:hanging="512"/>
        <w:spacing w:after="0" w:line="298" w:lineRule="auto"/>
        <w:tabs>
          <w:tab w:leader="none" w:pos="5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520" w:right="660" w:hanging="512"/>
        <w:spacing w:after="0" w:line="298" w:lineRule="auto"/>
        <w:tabs>
          <w:tab w:leader="none" w:pos="5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520" w:right="80" w:hanging="512"/>
        <w:spacing w:after="0" w:line="298" w:lineRule="auto"/>
        <w:tabs>
          <w:tab w:leader="none" w:pos="5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85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6"/>
          <w:szCs w:val="16"/>
          <w:color w:val="auto"/>
        </w:rPr>
      </w:pPr>
    </w:p>
    <w:p>
      <w:pPr>
        <w:ind w:left="1020" w:hanging="479"/>
        <w:spacing w:after="0" w:line="281" w:lineRule="auto"/>
        <w:tabs>
          <w:tab w:leader="none" w:pos="85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360" w:hanging="479"/>
        <w:spacing w:after="0" w:line="298" w:lineRule="auto"/>
        <w:tabs>
          <w:tab w:leader="none" w:pos="85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81" w:lineRule="auto"/>
        <w:tabs>
          <w:tab w:leader="none" w:pos="85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520" w:right="300" w:hanging="512"/>
        <w:spacing w:after="0" w:line="298" w:lineRule="auto"/>
        <w:tabs>
          <w:tab w:leader="none" w:pos="5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520" w:hanging="479"/>
        <w:spacing w:after="0" w:line="298" w:lineRule="auto"/>
        <w:tabs>
          <w:tab w:leader="none" w:pos="85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140" w:hanging="479"/>
        <w:spacing w:after="0" w:line="298" w:lineRule="auto"/>
        <w:tabs>
          <w:tab w:leader="none" w:pos="85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6"/>
          <w:szCs w:val="16"/>
          <w:color w:val="auto"/>
        </w:rPr>
        <w:t>Date: February 25,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Siva Sivaram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20320</wp:posOffset>
            </wp:positionV>
            <wp:extent cx="33089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Siva Sivaram</w:t>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1237615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Kevin Hettrich, certify that:</w:t>
      </w:r>
    </w:p>
    <w:p>
      <w:pPr>
        <w:spacing w:after="0" w:line="235"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QuantumScape Corporation;</w:t>
      </w:r>
    </w:p>
    <w:p>
      <w:pPr>
        <w:spacing w:after="0" w:line="234" w:lineRule="exact"/>
        <w:rPr>
          <w:rFonts w:ascii="Times New Roman" w:cs="Times New Roman" w:eastAsia="Times New Roman" w:hAnsi="Times New Roman"/>
          <w:sz w:val="16"/>
          <w:szCs w:val="16"/>
          <w:color w:val="auto"/>
        </w:rPr>
      </w:pPr>
    </w:p>
    <w:p>
      <w:pPr>
        <w:ind w:left="520" w:right="140" w:hanging="512"/>
        <w:spacing w:after="0" w:line="298" w:lineRule="auto"/>
        <w:tabs>
          <w:tab w:leader="none" w:pos="5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520" w:right="660" w:hanging="512"/>
        <w:spacing w:after="0" w:line="298" w:lineRule="auto"/>
        <w:tabs>
          <w:tab w:leader="none" w:pos="5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520" w:right="80" w:hanging="512"/>
        <w:spacing w:after="0" w:line="298" w:lineRule="auto"/>
        <w:tabs>
          <w:tab w:leader="none" w:pos="5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85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6"/>
          <w:szCs w:val="16"/>
          <w:color w:val="auto"/>
        </w:rPr>
      </w:pPr>
    </w:p>
    <w:p>
      <w:pPr>
        <w:ind w:left="1020" w:hanging="479"/>
        <w:spacing w:after="0" w:line="281" w:lineRule="auto"/>
        <w:tabs>
          <w:tab w:leader="none" w:pos="85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360" w:hanging="479"/>
        <w:spacing w:after="0" w:line="298" w:lineRule="auto"/>
        <w:tabs>
          <w:tab w:leader="none" w:pos="85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81" w:lineRule="auto"/>
        <w:tabs>
          <w:tab w:leader="none" w:pos="85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520" w:right="300" w:hanging="512"/>
        <w:spacing w:after="0" w:line="298" w:lineRule="auto"/>
        <w:tabs>
          <w:tab w:leader="none" w:pos="5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520" w:hanging="479"/>
        <w:spacing w:after="0" w:line="298" w:lineRule="auto"/>
        <w:tabs>
          <w:tab w:leader="none" w:pos="85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140" w:hanging="479"/>
        <w:spacing w:after="0" w:line="298" w:lineRule="auto"/>
        <w:tabs>
          <w:tab w:leader="none" w:pos="85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25</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Kevin Hettrich</w:t>
            </w:r>
          </w:p>
        </w:tc>
      </w:tr>
      <w:tr>
        <w:trPr>
          <w:trHeight w:val="182"/>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Kevin Hettrich</w:t>
            </w:r>
          </w:p>
        </w:tc>
      </w:tr>
      <w:tr>
        <w:trPr>
          <w:trHeight w:val="210"/>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tc>
      </w:tr>
      <w:tr>
        <w:trPr>
          <w:trHeight w:val="1633"/>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6"/>
          <w:szCs w:val="16"/>
          <w:color w:val="auto"/>
        </w:rPr>
        <w:t>In connection with the Annual Report of QuantumScape Corporation (the “Company”) on Form 10-K for the period ended December 31, 2025 as filed with the Securities and Exchange Commission on the date hereof (the “Report”), I certify, pursuant to 18 U.S.C. Section 1350, as adopted pursuant to Section 906 of the Sarbanes-Oxley Act of 2002, that:</w:t>
      </w:r>
    </w:p>
    <w:p>
      <w:pPr>
        <w:spacing w:after="0" w:line="177" w:lineRule="exact"/>
        <w:rPr>
          <w:sz w:val="20"/>
          <w:szCs w:val="20"/>
          <w:color w:val="auto"/>
        </w:rPr>
      </w:pPr>
    </w:p>
    <w:p>
      <w:pPr>
        <w:ind w:left="860" w:hanging="319"/>
        <w:spacing w:after="0"/>
        <w:tabs>
          <w:tab w:leader="none" w:pos="8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34"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25,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Siva Sivaram</w:t>
            </w:r>
          </w:p>
        </w:tc>
      </w:tr>
      <w:tr>
        <w:trPr>
          <w:trHeight w:val="182"/>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Siva Sivaram</w:t>
            </w:r>
          </w:p>
        </w:tc>
      </w:tr>
      <w:tr>
        <w:trPr>
          <w:trHeight w:val="203"/>
        </w:trPr>
        <w:tc>
          <w:tcPr>
            <w:tcW w:w="3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0"/>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120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6"/>
          <w:szCs w:val="16"/>
          <w:color w:val="auto"/>
        </w:rPr>
        <w:t>In connection with the Annual Report of QuantumScape Corporation (the “Company”) on Form 10-K for the period ended December 31, 2025 as filed with the Securities and Exchange Commission on the date hereof (the “Report”), I certify, pursuant to 18 U.S.C. Section 1350, as adopted pursuant to Section 906 of the Sarbanes-Oxley Act of 2002, that:</w:t>
      </w:r>
    </w:p>
    <w:p>
      <w:pPr>
        <w:spacing w:after="0" w:line="177" w:lineRule="exact"/>
        <w:rPr>
          <w:sz w:val="20"/>
          <w:szCs w:val="20"/>
          <w:color w:val="auto"/>
        </w:rPr>
      </w:pPr>
    </w:p>
    <w:p>
      <w:pPr>
        <w:ind w:left="860" w:hanging="319"/>
        <w:spacing w:after="0"/>
        <w:tabs>
          <w:tab w:leader="none" w:pos="8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34"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25,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Kevin Hettrich</w:t>
            </w:r>
          </w:p>
        </w:tc>
      </w:tr>
      <w:tr>
        <w:trPr>
          <w:trHeight w:val="182"/>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Kevin Hettrich</w:t>
            </w:r>
          </w:p>
        </w:tc>
      </w:tr>
      <w:tr>
        <w:trPr>
          <w:trHeight w:val="210"/>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tc>
      </w:tr>
      <w:tr>
        <w:trPr>
          <w:trHeight w:val="120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19" w:name="page120"/>
    <w:bookmarkEnd w:id="1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emdash "/>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2"/>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lvl w:ilvl="1">
      <w:lvlJc w:val="left"/>
      <w:lvlText w:val="%2"/>
      <w:numFmt w:val="upperLetter"/>
      <w:start w:val="1"/>
    </w:lvl>
  </w:abstractNum>
  <w:abstractNum w:abstractNumId="41">
    <w:nsid w:val="79A1DEAA"/>
    <w:multiLevelType w:val="hybridMultilevel"/>
    <w:lvl w:ilvl="0">
      <w:lvlJc w:val="left"/>
      <w:lvlText w:val="%1."/>
      <w:numFmt w:val="upperLetter"/>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upperLetter"/>
      <w:start w:val="2"/>
    </w:lvl>
  </w:abstractNum>
  <w:abstractNum w:abstractNumId="44">
    <w:nsid w:val="70C6A529"/>
    <w:multiLevelType w:val="hybridMultilevel"/>
    <w:lvl w:ilvl="0">
      <w:lvlJc w:val="left"/>
      <w:lvlText w:val="%1"/>
      <w:numFmt w:val="decimal"/>
      <w:start w:val="1"/>
    </w:lvl>
    <w:lvl w:ilvl="1">
      <w:lvlJc w:val="left"/>
      <w:lvlText w:val="%2."/>
      <w:numFmt w:val="upperLetter"/>
      <w:start w:val="3"/>
    </w:lvl>
  </w:abstractNum>
  <w:abstractNum w:abstractNumId="45">
    <w:nsid w:val="520EEDD1"/>
    <w:multiLevelType w:val="hybridMultilevel"/>
    <w:lvl w:ilvl="0">
      <w:lvlJc w:val="left"/>
      <w:lvlText w:val="%1."/>
      <w:numFmt w:val="decimal"/>
      <w:start w:val="5"/>
    </w:lvl>
    <w:lvl w:ilvl="1">
      <w:lvlJc w:val="left"/>
      <w:lvlText w:val="%2"/>
      <w:numFmt w:val="upperLetter"/>
      <w:start w:val="1"/>
    </w:lvl>
  </w:abstractNum>
  <w:abstractNum w:abstractNumId="46">
    <w:nsid w:val="374A3FE6"/>
    <w:multiLevelType w:val="hybridMultilevel"/>
    <w:lvl w:ilvl="0">
      <w:lvlJc w:val="left"/>
      <w:lvlText w:val="%1."/>
      <w:numFmt w:val="decimal"/>
      <w:start w:val="7"/>
    </w:lvl>
  </w:abstractNum>
  <w:abstractNum w:abstractNumId="47">
    <w:nsid w:val="4F4EF005"/>
    <w:multiLevelType w:val="hybridMultilevel"/>
    <w:lvl w:ilvl="0">
      <w:lvlJc w:val="left"/>
      <w:lvlText w:val="%1."/>
      <w:numFmt w:val="decimal"/>
      <w:start w:val="11"/>
    </w:lvl>
  </w:abstractNum>
  <w:abstractNum w:abstractNumId="48">
    <w:nsid w:val="23F9C13C"/>
    <w:multiLevelType w:val="hybridMultilevel"/>
    <w:lvl w:ilvl="0">
      <w:lvlJc w:val="left"/>
      <w:lvlText w:val="%1."/>
      <w:numFmt w:val="decimal"/>
      <w:start w:val="15"/>
    </w:lvl>
  </w:abstractNum>
  <w:abstractNum w:abstractNumId="49">
    <w:nsid w:val="649BB77C"/>
    <w:multiLevelType w:val="hybridMultilevel"/>
    <w:lvl w:ilvl="0">
      <w:lvlJc w:val="left"/>
      <w:lvlText w:val="%1."/>
      <w:numFmt w:val="decimal"/>
      <w:start w:val="21"/>
    </w:lvl>
  </w:abstractNum>
  <w:abstractNum w:abstractNumId="50">
    <w:nsid w:val="275AC794"/>
    <w:multiLevelType w:val="hybridMultilevel"/>
    <w:lvl w:ilvl="0">
      <w:lvlJc w:val="left"/>
      <w:lvlText w:val="%1."/>
      <w:numFmt w:val="upperLetter"/>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lvl w:ilvl="1">
      <w:lvlJc w:val="left"/>
      <w:lvlText w:val="%2"/>
      <w:numFmt w:val="upperLetter"/>
      <w:start w:val="1"/>
    </w:lvl>
  </w:abstractNum>
  <w:abstractNum w:abstractNumId="55">
    <w:nsid w:val="47398C89"/>
    <w:multiLevelType w:val="hybridMultilevel"/>
    <w:lvl w:ilvl="0">
      <w:lvlJc w:val="left"/>
      <w:lvlText w:val="%1."/>
      <w:numFmt w:val="decimal"/>
      <w:start w:val="24"/>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79" Type="http://schemas.openxmlformats.org/officeDocument/2006/relationships/hyperlink" Target="https://www.sec.gov/ix?doc=/Archives/edgar/data/0001811414/000095017025027308/qs-20241231.htm#item_7_managements_discussion_analysis_" TargetMode="External"/><Relationship Id="rId287" Type="http://schemas.openxmlformats.org/officeDocument/2006/relationships/hyperlink" Target="https://www.sec.gov/Archives/edgar/data/1811414/000119312520290474/d14810ds4a.htm#ii14810_aa" TargetMode="External"/><Relationship Id="rId288" Type="http://schemas.openxmlformats.org/officeDocument/2006/relationships/hyperlink" Target="https://www.sec.gov/Archives/edgar/data/1811414/000119312520290474/d14810ds4a.htm#ii14810_aa1" TargetMode="External"/><Relationship Id="rId289" Type="http://schemas.openxmlformats.org/officeDocument/2006/relationships/hyperlink" Target="https://www.sec.gov/Archives/edgar/data/1811414/000095017024086884/qs-ex3_1.htm" TargetMode="External"/><Relationship Id="rId290" Type="http://schemas.openxmlformats.org/officeDocument/2006/relationships/hyperlink" Target="https://www.sec.gov/Archives/edgar/data/1811414/000095017022019936/qs-ex3_1.htm" TargetMode="External"/><Relationship Id="rId291" Type="http://schemas.openxmlformats.org/officeDocument/2006/relationships/hyperlink" Target="https://www.sec.gov/Archives/edgar/data/1811414/000119312520308489/d89618dex41.htm" TargetMode="External"/><Relationship Id="rId292" Type="http://schemas.openxmlformats.org/officeDocument/2006/relationships/hyperlink" Target="https://www.sec.gov/Archives/edgar/data/1811414/000095017024082847/qs-ex10_1.htm" TargetMode="External"/><Relationship Id="rId293" Type="http://schemas.openxmlformats.org/officeDocument/2006/relationships/hyperlink" Target="https://www.sec.gov/Archives/edgar/data/1811414/000095017025097892/qs-ex10_1.htm" TargetMode="External"/><Relationship Id="rId294" Type="http://schemas.openxmlformats.org/officeDocument/2006/relationships/hyperlink" Target="https://www.sec.gov/Archives/edgar/data/1811414/000156459020042442/kcac-ex103_63.htm" TargetMode="External"/><Relationship Id="rId295" Type="http://schemas.openxmlformats.org/officeDocument/2006/relationships/hyperlink" Target="https://www.sec.gov/Archives/edgar/data/0001811414/000119312520249736/d14810dex1018.htm" TargetMode="External"/><Relationship Id="rId296" Type="http://schemas.openxmlformats.org/officeDocument/2006/relationships/hyperlink" Target="https://www.sec.gov/Archives/edgar/data/0001811414/000119312520249736/d14810dex1019.htm" TargetMode="External"/><Relationship Id="rId297" Type="http://schemas.openxmlformats.org/officeDocument/2006/relationships/hyperlink" Target="https://www.sec.gov/Archives/edgar/data/1811414/000119312521155547/d183504dex1034.htm" TargetMode="External"/><Relationship Id="rId298" Type="http://schemas.openxmlformats.org/officeDocument/2006/relationships/hyperlink" Target="https://www.sec.gov/Archives/edgar/data/1811414/000119312521202146/d191380dex101.htm" TargetMode="External"/><Relationship Id="rId299" Type="http://schemas.openxmlformats.org/officeDocument/2006/relationships/hyperlink" Target="https://www.sec.gov/Archives/edgar/data/1811414/000119312521202146/d191380dex102.htm" TargetMode="External"/><Relationship Id="rId300" Type="http://schemas.openxmlformats.org/officeDocument/2006/relationships/hyperlink" Target="https://www.sec.gov/Archives/edgar/data/1811414/000119312521321678/d251781dex101.htm" TargetMode="External"/><Relationship Id="rId301" Type="http://schemas.openxmlformats.org/officeDocument/2006/relationships/hyperlink" Target="https://www.sec.gov/Archives/edgar/data/0001811414/000119312521321678/d251781dex102.htm" TargetMode="External"/><Relationship Id="rId302" Type="http://schemas.openxmlformats.org/officeDocument/2006/relationships/hyperlink" Target="https://www.sec.gov/Archives/edgar/data/1811414/000095017025098777/qs-ex10_1.htm" TargetMode="External"/><Relationship Id="rId303" Type="http://schemas.openxmlformats.org/officeDocument/2006/relationships/hyperlink" Target="https://www.sec.gov/Archives/edgar/data/1811414/000095017025098777/qs-ex10_2.htm" TargetMode="External"/><Relationship Id="rId306" Type="http://schemas.openxmlformats.org/officeDocument/2006/relationships/hyperlink" Target="https://www.sec.gov/Archives/edgar/data/0001811414/000119312520249736/d14810dex1013.htm" TargetMode="External"/><Relationship Id="rId307" Type="http://schemas.openxmlformats.org/officeDocument/2006/relationships/hyperlink" Target="https://www.sec.gov/Archives/edgar/data/0001811414/000119312520249736/d14810dex1014.htm" TargetMode="External"/><Relationship Id="rId308" Type="http://schemas.openxmlformats.org/officeDocument/2006/relationships/hyperlink" Target="https://www.sec.gov/Archives/edgar/data/0001811414/000119312520249736/d14810dex1016.htm" TargetMode="External"/><Relationship Id="rId309" Type="http://schemas.openxmlformats.org/officeDocument/2006/relationships/hyperlink" Target="https://www.sec.gov/Archives/edgar/data/0001811414/000119312520249736/d14810dex1017.htm" TargetMode="External"/><Relationship Id="rId310" Type="http://schemas.openxmlformats.org/officeDocument/2006/relationships/hyperlink" Target="https://www.sec.gov/Archives/edgar/data/1811414/000095017023055982/qs-ex10_2.htm" TargetMode="External"/><Relationship Id="rId311" Type="http://schemas.openxmlformats.org/officeDocument/2006/relationships/hyperlink" Target="https://www.sec.gov/Archives/edgar/data/1811414/000095017025098777/qs-ex10_3.htm" TargetMode="External"/><Relationship Id="rId312" Type="http://schemas.openxmlformats.org/officeDocument/2006/relationships/hyperlink" Target="https://www.sec.gov/Archives/edgar/data/1811414/000119312520308489/d89618dex107.htm" TargetMode="External"/><Relationship Id="rId313" Type="http://schemas.openxmlformats.org/officeDocument/2006/relationships/hyperlink" Target="https://www.sec.gov/Archives/edgar/data/1811414/000119312520308489/d89618dex108.htm" TargetMode="External"/><Relationship Id="rId314" Type="http://schemas.openxmlformats.org/officeDocument/2006/relationships/hyperlink" Target="https://www.sec.gov/Archives/edgar/data/1811414/000119312520308489/d89618dex109.htm" TargetMode="External"/><Relationship Id="rId315" Type="http://schemas.openxmlformats.org/officeDocument/2006/relationships/hyperlink" Target="https://www.sec.gov/Archives/edgar/data/1811414/000119312520308489/d89618dex1010.htm" TargetMode="External"/><Relationship Id="rId316" Type="http://schemas.openxmlformats.org/officeDocument/2006/relationships/hyperlink" Target="https://www.sec.gov/Archives/edgar/data/1811414/000119312520308489/d89618dex1011.htm" TargetMode="External"/><Relationship Id="rId317" Type="http://schemas.openxmlformats.org/officeDocument/2006/relationships/hyperlink" Target="https://www.sec.gov/Archives/edgar/data/1811414/000119312520308489/d89618dex1012.htm" TargetMode="External"/><Relationship Id="rId318" Type="http://schemas.openxmlformats.org/officeDocument/2006/relationships/hyperlink" Target="https://www.sec.gov/Archives/edgar/data/0001811414/000114036121037019/ny20000701x4_def14a.htm" TargetMode="External"/><Relationship Id="rId319" Type="http://schemas.openxmlformats.org/officeDocument/2006/relationships/hyperlink" Target="https://www.sec.gov/Archives/edgar/data/1811414/000119312521081348/d157069dex101.htm" TargetMode="External"/><Relationship Id="rId320" Type="http://schemas.openxmlformats.org/officeDocument/2006/relationships/hyperlink" Target="https://www.sec.gov/Archives/edgar/data/1811414/000119312521081348/d157069dex102.htm" TargetMode="External"/><Relationship Id="rId321" Type="http://schemas.openxmlformats.org/officeDocument/2006/relationships/hyperlink" Target="https://www.sec.gov/Archives/edgar/data/1811414/000095017025027308/qs-ex10_30.htm" TargetMode="External"/><Relationship Id="rId322" Type="http://schemas.openxmlformats.org/officeDocument/2006/relationships/hyperlink" Target="https://www.sec.gov/Archives/edgar/data/1811414/000095017025027308/qs-ex19_1.htm" TargetMode="External"/><Relationship Id="rId323" Type="http://schemas.openxmlformats.org/officeDocument/2006/relationships/hyperlink" Target="https://www.sec.gov/Archives/edgar/data/1811414/000095017024021100/qs-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2026-02-25T15:30:53Z</dcterms:created>
  <dcterms:modified xsi:type="dcterms:W3CDTF">2026-02-25T15:30:53Z</dcterms:modified>
</cp:coreProperties>
</file>