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Sivaram Srinivasan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336" w:lineRule="auto"/>
        <w:rPr>
          <w:sz w:val="20"/>
          <w:szCs w:val="20"/>
          <w:color w:val="auto"/>
        </w:rPr>
      </w:pPr>
      <w:r>
        <w:rPr>
          <w:rFonts w:ascii="Times New Roman" w:cs="Times New Roman" w:eastAsia="Times New Roman" w:hAnsi="Times New Roman"/>
          <w:sz w:val="17"/>
          <w:szCs w:val="17"/>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QuantumScape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84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8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11/18/2025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255,403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13.0416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3,877,297</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11/18/2025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3,274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13.4609</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3,874,023</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360,000</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Trusts</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sale to cover tax obligations on the release of restricted stock units ("RSUs") and performance restricted stock units ("PSUs").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$12.44 to $13.44,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$13.45 to $13.48,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3,319,260 shares represented by RSUs and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of the trusts and his family members are beneficiaries of the trusts.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7067"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2025-11-20T16:41:33Z</dcterms:created>
  <dcterms:modified xsi:type="dcterms:W3CDTF">2025-11-20T16:41:33Z</dcterms:modified>
</cp:coreProperties>
</file>