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333-266419</w:t>
      </w:r>
    </w:p>
    <w:p>
      <w:pPr>
        <w:spacing w:after="0" w:line="20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10, 2022)</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Up to $400,000,000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174625</wp:posOffset>
            </wp:positionV>
            <wp:extent cx="173164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164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have entered into separate Distribution Agreements (each a “Distribution Agreement” and together the “Distribution Agreements”) with J.P. Morgan Securities LLC, Cowen and Company, LLC, Deutsche Bank Securities Inc. and UBS Securities LLC (each a “Sales Agent” and together the “Sales Agents”) relating to the sale of shares of our Class A common stock, par value $0.0001 per share (the “Class A common stock”), offered by this prospectus supplement and the accompanying prospectus. In accordance with the terms of the Distribution Agreements, under this prospectus supplement, we may offer and sell shares of our Class A common stock having an aggregate offering price of up to $400,000,000 from time to time through the Sales Agents, acting as our agents, or directly to the Sales Agents, acting as principals.</w:t>
      </w:r>
    </w:p>
    <w:p>
      <w:pPr>
        <w:spacing w:after="0" w:line="178" w:lineRule="exact"/>
        <w:rPr>
          <w:sz w:val="24"/>
          <w:szCs w:val="24"/>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Class A common stock is listed on the New York Stock Exchange (the “NYSE”) under the symbol “QS.” The last reported sale price of our Class A common stock on February 24, 2023, was $9.08 per share.</w:t>
      </w:r>
    </w:p>
    <w:p>
      <w:pPr>
        <w:spacing w:after="0" w:line="170" w:lineRule="exact"/>
        <w:rPr>
          <w:sz w:val="24"/>
          <w:szCs w:val="24"/>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Sales of our Class A common stock, if any, under this prospectus supplement and the accompanying prospectus will be made in sales deemed to be an “at the market offering” as defined in Rule 415(a)(4) under the Securities Act of 1933, as amended (the “Securities Act”). The Sales Agents are not required to sell any specific amount of securities, but will act as our sales agents using commercially reasonable efforts consistent with their normal trading and sales practices and applicable law and regulation, on mutually agreed terms between the Sales Agents and us. There is no arrangement for funds to be received in any escrow, trust or similar arrangement.</w:t>
      </w:r>
    </w:p>
    <w:p>
      <w:pPr>
        <w:spacing w:after="0" w:line="176" w:lineRule="exact"/>
        <w:rPr>
          <w:sz w:val="24"/>
          <w:szCs w:val="24"/>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will pay each Sales Agent a commission of up to 3% of the aggregate gross proceeds of the shares of our Class A common stock sold by such Sales Agent under this prospectus supplement. In connection with the sale of the Class A common stock on our behalf, each Sales Agent may be deemed to be an “underwriter” within the meaning of the Securities Act and the compensation paid to each Sales Agent may be deemed to be underwriting commissions or discounts. The net proceeds we receive will be the gross proceeds we receive from such sales, less the commissions and any other costs we may incur in issuing the shares of our Class A common stock. See “Plan of Distribution” beginning on page S-17 for additional information.</w:t>
      </w:r>
    </w:p>
    <w:p>
      <w:pPr>
        <w:spacing w:after="0" w:line="161" w:lineRule="exact"/>
        <w:rPr>
          <w:sz w:val="24"/>
          <w:szCs w:val="24"/>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Under the terms of the Distribution Agreements, we may also sell shares of our Class A common stock to a Sales Agent, acting as principal, at a price per share to be agreed upon at the time of sale. If we sell shares to a Sales Agent as principal, we will enter into a separate terms agreement with that Sales Agent.</w:t>
      </w:r>
    </w:p>
    <w:p>
      <w:pPr>
        <w:spacing w:after="0" w:line="170" w:lineRule="exact"/>
        <w:rPr>
          <w:sz w:val="24"/>
          <w:szCs w:val="24"/>
          <w:color w:val="auto"/>
        </w:rPr>
      </w:pPr>
    </w:p>
    <w:p>
      <w:pPr>
        <w:ind w:left="120" w:right="60" w:firstLine="440"/>
        <w:spacing w:after="0" w:line="239" w:lineRule="auto"/>
        <w:rPr>
          <w:sz w:val="20"/>
          <w:szCs w:val="20"/>
          <w:color w:val="auto"/>
        </w:rPr>
      </w:pPr>
      <w:r>
        <w:rPr>
          <w:rFonts w:ascii="Arial" w:cs="Arial" w:eastAsia="Arial" w:hAnsi="Arial"/>
          <w:sz w:val="22"/>
          <w:szCs w:val="22"/>
          <w:b w:val="1"/>
          <w:bCs w:val="1"/>
          <w:color w:val="auto"/>
        </w:rPr>
        <w:t>Investing in our Class A common stock involves risks. Please read the information contained in and incorporated by reference under the heading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S-9 of this prospectus supplement, and under similar headings in the other documents that are filed after the date hereof and incorporated by reference into this prospectus supplement and accompanying prospectus.</w:t>
      </w:r>
    </w:p>
    <w:p>
      <w:pPr>
        <w:spacing w:after="0" w:line="193" w:lineRule="exact"/>
        <w:rPr>
          <w:sz w:val="24"/>
          <w:szCs w:val="24"/>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ectPr>
          <w:pgSz w:w="11900" w:h="16838" w:orient="portrait"/>
          <w:cols w:equalWidth="0" w:num="1">
            <w:col w:w="11140"/>
          </w:cols>
          <w:pgMar w:left="320" w:top="230" w:right="439" w:bottom="1440" w:gutter="0" w:footer="0" w:header="0"/>
        </w:sectPr>
      </w:pPr>
    </w:p>
    <w:p>
      <w:pPr>
        <w:spacing w:after="0" w:line="138"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Cowen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640"/>
        <w:spacing w:after="0"/>
        <w:rPr>
          <w:sz w:val="20"/>
          <w:szCs w:val="20"/>
          <w:color w:val="auto"/>
        </w:rPr>
      </w:pPr>
      <w:r>
        <w:rPr>
          <w:rFonts w:ascii="Arial" w:cs="Arial" w:eastAsia="Arial" w:hAnsi="Arial"/>
          <w:sz w:val="19"/>
          <w:szCs w:val="19"/>
          <w:b w:val="1"/>
          <w:bCs w:val="1"/>
          <w:color w:val="auto"/>
        </w:rPr>
        <w:t>Deutsche Bank</w:t>
      </w:r>
    </w:p>
    <w:p>
      <w:pPr>
        <w:spacing w:after="0" w:line="49" w:lineRule="exact"/>
        <w:rPr>
          <w:sz w:val="24"/>
          <w:szCs w:val="24"/>
          <w:color w:val="auto"/>
        </w:rPr>
      </w:pPr>
    </w:p>
    <w:p>
      <w:pPr>
        <w:jc w:val="center"/>
        <w:ind w:right="640"/>
        <w:spacing w:after="0"/>
        <w:rPr>
          <w:sz w:val="20"/>
          <w:szCs w:val="20"/>
          <w:color w:val="auto"/>
        </w:rPr>
      </w:pPr>
      <w:r>
        <w:rPr>
          <w:rFonts w:ascii="Arial" w:cs="Arial" w:eastAsia="Arial" w:hAnsi="Arial"/>
          <w:sz w:val="22"/>
          <w:szCs w:val="22"/>
          <w:b w:val="1"/>
          <w:bCs w:val="1"/>
          <w:color w:val="auto"/>
        </w:rPr>
        <w:t>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-1178560</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580"/>
        <w:spacing w:after="0"/>
        <w:rPr>
          <w:sz w:val="20"/>
          <w:szCs w:val="20"/>
          <w:color w:val="auto"/>
        </w:rPr>
      </w:pPr>
      <w:r>
        <w:rPr>
          <w:rFonts w:ascii="Arial" w:cs="Arial" w:eastAsia="Arial" w:hAnsi="Arial"/>
          <w:sz w:val="19"/>
          <w:szCs w:val="19"/>
          <w:b w:val="1"/>
          <w:bCs w:val="1"/>
          <w:color w:val="auto"/>
        </w:rPr>
        <w:t>UBS Investment</w:t>
      </w:r>
    </w:p>
    <w:p>
      <w:pPr>
        <w:spacing w:after="0" w:line="49" w:lineRule="exact"/>
        <w:rPr>
          <w:sz w:val="24"/>
          <w:szCs w:val="24"/>
          <w:color w:val="auto"/>
        </w:rPr>
      </w:pPr>
    </w:p>
    <w:p>
      <w:pPr>
        <w:jc w:val="center"/>
        <w:ind w:right="580"/>
        <w:spacing w:after="0"/>
        <w:rPr>
          <w:sz w:val="20"/>
          <w:szCs w:val="20"/>
          <w:color w:val="auto"/>
        </w:rPr>
      </w:pPr>
      <w:r>
        <w:rPr>
          <w:rFonts w:ascii="Arial" w:cs="Arial" w:eastAsia="Arial" w:hAnsi="Arial"/>
          <w:sz w:val="22"/>
          <w:szCs w:val="22"/>
          <w:b w:val="1"/>
          <w:bCs w:val="1"/>
          <w:color w:val="auto"/>
        </w:rPr>
        <w:t>Bank</w:t>
      </w:r>
    </w:p>
    <w:p>
      <w:pPr>
        <w:spacing w:after="0" w:line="200" w:lineRule="exact"/>
        <w:rPr>
          <w:sz w:val="24"/>
          <w:szCs w:val="24"/>
          <w:color w:val="auto"/>
        </w:rPr>
      </w:pPr>
    </w:p>
    <w:p>
      <w:pPr>
        <w:sectPr>
          <w:pgSz w:w="11900" w:h="16838" w:orient="portrait"/>
          <w:cols w:equalWidth="0" w:num="4">
            <w:col w:w="3120" w:space="720"/>
            <w:col w:w="1760" w:space="720"/>
            <w:col w:w="2020" w:space="720"/>
            <w:col w:w="2080"/>
          </w:cols>
          <w:pgMar w:left="320" w:top="230" w:right="439" w:bottom="1440" w:gutter="0" w:footer="0" w:header="0"/>
          <w:type w:val="continuous"/>
        </w:sect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The date of this prospectus supplement is February 28, 2023.</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220" w:type="dxa"/>
            <w:vAlign w:val="bottom"/>
            <w:gridSpan w:val="24"/>
          </w:tcPr>
          <w:p>
            <w:pPr>
              <w:spacing w:after="0"/>
              <w:rPr>
                <w:sz w:val="20"/>
                <w:szCs w:val="20"/>
                <w:color w:val="auto"/>
              </w:rPr>
            </w:pPr>
            <w:r>
              <w:rPr>
                <w:rFonts w:ascii="Arial" w:cs="Arial" w:eastAsia="Arial" w:hAnsi="Arial"/>
                <w:sz w:val="18"/>
                <w:szCs w:val="18"/>
                <w:b w:val="1"/>
                <w:bCs w:val="1"/>
                <w:color w:val="0000EE"/>
              </w:rPr>
              <w:t>Table of Contents</w:t>
            </w:r>
          </w:p>
        </w:tc>
        <w:tc>
          <w:tcPr>
            <w:tcW w:w="68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6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100" w:type="dxa"/>
            <w:vAlign w:val="bottom"/>
            <w:gridSpan w:val="23"/>
          </w:tcPr>
          <w:p>
            <w:pPr>
              <w:spacing w:after="0"/>
              <w:rPr>
                <w:sz w:val="20"/>
                <w:szCs w:val="20"/>
                <w:color w:val="auto"/>
              </w:rPr>
            </w:pPr>
            <w:r>
              <w:rPr>
                <w:rFonts w:ascii="Arial" w:cs="Arial" w:eastAsia="Arial" w:hAnsi="Arial"/>
                <w:sz w:val="18"/>
                <w:szCs w:val="18"/>
                <w:b w:val="1"/>
                <w:bCs w:val="1"/>
                <w:color w:val="auto"/>
              </w:rPr>
              <w:t>Prospectus Supplement</w:t>
            </w:r>
          </w:p>
        </w:tc>
        <w:tc>
          <w:tcPr>
            <w:tcW w:w="686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2480" w:type="dxa"/>
            <w:vAlign w:val="bottom"/>
            <w:tcBorders>
              <w:bottom w:val="single" w:sz="8" w:color="0000EE"/>
            </w:tcBorders>
            <w:gridSpan w:val="18"/>
          </w:tcPr>
          <w:p>
            <w:pPr>
              <w:spacing w:after="0" w:line="190" w:lineRule="exact"/>
              <w:rPr>
                <w:sz w:val="20"/>
                <w:szCs w:val="20"/>
                <w:color w:val="auto"/>
              </w:rPr>
            </w:pPr>
            <w:r>
              <w:rPr>
                <w:rFonts w:ascii="Arial" w:cs="Arial" w:eastAsia="Arial" w:hAnsi="Arial"/>
                <w:sz w:val="18"/>
                <w:szCs w:val="18"/>
                <w:color w:val="0000EE"/>
                <w:w w:val="89"/>
              </w:rPr>
              <w:t>About this Prospectus Supplement</w:t>
            </w:r>
          </w:p>
        </w:tc>
        <w:tc>
          <w:tcPr>
            <w:tcW w:w="1620" w:type="dxa"/>
            <w:vAlign w:val="bottom"/>
            <w:gridSpan w:val="5"/>
          </w:tcPr>
          <w:p>
            <w:pPr>
              <w:spacing w:after="0"/>
              <w:rPr>
                <w:sz w:val="16"/>
                <w:szCs w:val="16"/>
                <w:color w:val="auto"/>
              </w:rPr>
            </w:pPr>
          </w:p>
        </w:tc>
        <w:tc>
          <w:tcPr>
            <w:tcW w:w="6860" w:type="dxa"/>
            <w:vAlign w:val="bottom"/>
          </w:tcPr>
          <w:p>
            <w:pPr>
              <w:jc w:val="right"/>
              <w:spacing w:after="0" w:line="190" w:lineRule="exact"/>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Forward-Looking Statements</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Prospectus Supplement Summary</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Risk Factors</w:t>
            </w:r>
          </w:p>
        </w:tc>
        <w:tc>
          <w:tcPr>
            <w:tcW w:w="1680" w:type="dxa"/>
            <w:vAlign w:val="bottom"/>
            <w:gridSpan w:val="7"/>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Use of Proceeds</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Dividend Policy</w:t>
            </w:r>
          </w:p>
        </w:tc>
        <w:tc>
          <w:tcPr>
            <w:tcW w:w="2920" w:type="dxa"/>
            <w:vAlign w:val="bottom"/>
            <w:gridSpan w:val="17"/>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6"/>
              </w:rPr>
              <w:t>Dilution</w:t>
            </w:r>
          </w:p>
        </w:tc>
        <w:tc>
          <w:tcPr>
            <w:tcW w:w="3500" w:type="dxa"/>
            <w:vAlign w:val="bottom"/>
            <w:gridSpan w:val="21"/>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Plan of Distribution</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Legal Matters</w:t>
            </w:r>
          </w:p>
        </w:tc>
        <w:tc>
          <w:tcPr>
            <w:tcW w:w="2680" w:type="dxa"/>
            <w:vAlign w:val="bottom"/>
            <w:gridSpan w:val="15"/>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3100" w:type="dxa"/>
            <w:vAlign w:val="bottom"/>
            <w:gridSpan w:val="19"/>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2"/>
              </w:rPr>
              <w:t>Where You Can Find More Information</w:t>
            </w:r>
          </w:p>
        </w:tc>
        <w:tc>
          <w:tcPr>
            <w:tcW w:w="1220" w:type="dxa"/>
            <w:vAlign w:val="bottom"/>
            <w:gridSpan w:val="2"/>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Incorporation of Certain Information by Reference</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438"/>
        </w:trPr>
        <w:tc>
          <w:tcPr>
            <w:tcW w:w="120" w:type="dxa"/>
            <w:vAlign w:val="bottom"/>
          </w:tcPr>
          <w:p>
            <w:pPr>
              <w:spacing w:after="0"/>
              <w:rPr>
                <w:sz w:val="24"/>
                <w:szCs w:val="24"/>
                <w:color w:val="auto"/>
              </w:rPr>
            </w:pPr>
          </w:p>
        </w:tc>
        <w:tc>
          <w:tcPr>
            <w:tcW w:w="3640" w:type="dxa"/>
            <w:vAlign w:val="bottom"/>
            <w:tcBorders>
              <w:top w:val="single" w:sz="8" w:color="0000EE"/>
            </w:tcBorders>
            <w:gridSpan w:val="22"/>
          </w:tcPr>
          <w:p>
            <w:pPr>
              <w:spacing w:after="0"/>
              <w:rPr>
                <w:sz w:val="20"/>
                <w:szCs w:val="20"/>
                <w:color w:val="auto"/>
              </w:rPr>
            </w:pPr>
            <w:r>
              <w:rPr>
                <w:rFonts w:ascii="Arial" w:cs="Arial" w:eastAsia="Arial" w:hAnsi="Arial"/>
                <w:sz w:val="18"/>
                <w:szCs w:val="18"/>
                <w:b w:val="1"/>
                <w:bCs w:val="1"/>
                <w:color w:val="auto"/>
              </w:rPr>
              <w:t>Prospectus</w:t>
            </w:r>
          </w:p>
        </w:tc>
        <w:tc>
          <w:tcPr>
            <w:tcW w:w="46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1580" w:type="dxa"/>
            <w:vAlign w:val="bottom"/>
            <w:tcBorders>
              <w:bottom w:val="single" w:sz="8" w:color="0000EE"/>
            </w:tcBorders>
            <w:gridSpan w:val="11"/>
          </w:tcPr>
          <w:p>
            <w:pPr>
              <w:spacing w:after="0" w:line="190" w:lineRule="exact"/>
              <w:rPr>
                <w:sz w:val="20"/>
                <w:szCs w:val="20"/>
                <w:color w:val="auto"/>
              </w:rPr>
            </w:pPr>
            <w:r>
              <w:rPr>
                <w:rFonts w:ascii="Arial" w:cs="Arial" w:eastAsia="Arial" w:hAnsi="Arial"/>
                <w:sz w:val="18"/>
                <w:szCs w:val="18"/>
                <w:color w:val="0000EE"/>
                <w:w w:val="89"/>
              </w:rPr>
              <w:t>About this Prospectus</w:t>
            </w:r>
          </w:p>
        </w:tc>
        <w:tc>
          <w:tcPr>
            <w:tcW w:w="2520" w:type="dxa"/>
            <w:vAlign w:val="bottom"/>
            <w:gridSpan w:val="12"/>
          </w:tcPr>
          <w:p>
            <w:pPr>
              <w:spacing w:after="0"/>
              <w:rPr>
                <w:sz w:val="16"/>
                <w:szCs w:val="16"/>
                <w:color w:val="auto"/>
              </w:rPr>
            </w:pPr>
          </w:p>
        </w:tc>
        <w:tc>
          <w:tcPr>
            <w:tcW w:w="68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Prospectus Summary</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0" w:type="dxa"/>
            <w:vAlign w:val="bottom"/>
          </w:tcPr>
          <w:p>
            <w:pPr>
              <w:spacing w:after="0"/>
              <w:rPr>
                <w:sz w:val="17"/>
                <w:szCs w:val="17"/>
                <w:color w:val="auto"/>
              </w:rPr>
            </w:pPr>
          </w:p>
        </w:tc>
        <w:tc>
          <w:tcPr>
            <w:tcW w:w="15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Risk Factors</w:t>
            </w:r>
          </w:p>
        </w:tc>
        <w:tc>
          <w:tcPr>
            <w:tcW w:w="2580" w:type="dxa"/>
            <w:vAlign w:val="bottom"/>
            <w:gridSpan w:val="13"/>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Forward-Looking Statements</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2060" w:type="dxa"/>
            <w:vAlign w:val="bottom"/>
            <w:gridSpan w:val="10"/>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920" w:type="dxa"/>
            <w:vAlign w:val="bottom"/>
            <w:gridSpan w:val="9"/>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238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Description of Warrants</w:t>
            </w:r>
          </w:p>
        </w:tc>
        <w:tc>
          <w:tcPr>
            <w:tcW w:w="1720" w:type="dxa"/>
            <w:vAlign w:val="bottom"/>
            <w:gridSpan w:val="8"/>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1"/>
              </w:rPr>
              <w:t>Description of Subscription Rights</w:t>
            </w:r>
          </w:p>
        </w:tc>
        <w:tc>
          <w:tcPr>
            <w:tcW w:w="1600" w:type="dxa"/>
            <w:vAlign w:val="bottom"/>
            <w:gridSpan w:val="4"/>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9"/>
              </w:rPr>
              <w:t>Description of Purchase Contracts</w:t>
            </w:r>
          </w:p>
        </w:tc>
        <w:tc>
          <w:tcPr>
            <w:tcW w:w="1640" w:type="dxa"/>
            <w:vAlign w:val="bottom"/>
            <w:gridSpan w:val="6"/>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Description of Units</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5"/>
              </w:rPr>
              <w:t>Plan of Distribution</w:t>
            </w:r>
          </w:p>
        </w:tc>
        <w:tc>
          <w:tcPr>
            <w:tcW w:w="2640" w:type="dxa"/>
            <w:vAlign w:val="bottom"/>
            <w:gridSpan w:val="14"/>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Legal Matters</w:t>
            </w:r>
          </w:p>
        </w:tc>
        <w:tc>
          <w:tcPr>
            <w:tcW w:w="2680" w:type="dxa"/>
            <w:vAlign w:val="bottom"/>
            <w:gridSpan w:val="15"/>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3100" w:type="dxa"/>
            <w:vAlign w:val="bottom"/>
            <w:gridSpan w:val="19"/>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gridSpan w:val="1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00" w:type="dxa"/>
            <w:vAlign w:val="bottom"/>
            <w:gridSpan w:val="23"/>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Incorporation by Reference</w:t>
            </w:r>
          </w:p>
        </w:tc>
        <w:tc>
          <w:tcPr>
            <w:tcW w:w="820" w:type="dxa"/>
            <w:vAlign w:val="bottom"/>
            <w:tcBorders>
              <w:top w:val="single" w:sz="8" w:color="0000EE"/>
            </w:tcBorders>
            <w:gridSpan w:val="7"/>
          </w:tcPr>
          <w:p>
            <w:pPr>
              <w:spacing w:after="0"/>
              <w:rPr>
                <w:sz w:val="17"/>
                <w:szCs w:val="17"/>
                <w:color w:val="auto"/>
              </w:rPr>
            </w:pPr>
          </w:p>
        </w:tc>
        <w:tc>
          <w:tcPr>
            <w:tcW w:w="1240" w:type="dxa"/>
            <w:vAlign w:val="bottom"/>
            <w:gridSpan w:val="3"/>
          </w:tcPr>
          <w:p>
            <w:pPr>
              <w:spacing w:after="0"/>
              <w:rPr>
                <w:sz w:val="17"/>
                <w:szCs w:val="17"/>
                <w:color w:val="auto"/>
              </w:rPr>
            </w:pPr>
          </w:p>
        </w:tc>
        <w:tc>
          <w:tcPr>
            <w:tcW w:w="68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This prospectus supplement and the accompanying prospectus are part of a registration statement on Form S-3 (File No. 333-266419) that we filed with the Securities and Exchange Commission (the “SEC”), on July 29, 2022 utilizing a “shelf” registration process. Under this shelf registration process, we may from time to time offer shares of our Class A common stock having an aggregate offering price of up to $400,000,000 under this prospectus supplement at prices and on terms to be determined by market conditions at the time of each such offering.</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providing information to you about this offering of our Class A common stock in two parts. The first part is this prospectus supplement, which provides you with specific information regarding the terms of this offering and our Class A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Class A common stock.</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Before buying any of the shares of Class A common stock that we are offering, we urge you to carefully read this prospectus supplement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7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not, and the Sales Agents have not, authorized anyone to provide you with any information other than that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supplement, the accompanying prospectus and the documents incorporated by reference herein and therein is accurate only as of their respective dates. Our business, financial condition, results of operations and prospects may have changed materially since those dates.</w:t>
      </w:r>
    </w:p>
    <w:p>
      <w:pPr>
        <w:spacing w:after="0" w:line="19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the context otherwise indicates, references in this prospectus supplement, the accompanying prospectus and the information incorporated by reference herein and therein to “QuantumScape Corporation,” “QuantumScape,” “we,” “our” and “us” refer, collectively, to QuantumScape Corporation, a Delaware corporation, and its subsidiaries taken as a whole.</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320" w:top="459" w:right="6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forward-looking statements within the meaning of Section 27A of the Securities Act, and Section 21E of the Securities Exchange Act of 1934, as amended (the “Exchange Act”). These forward-looking statements include, but are not limited to ones listed here. We face significant barriers in our attempts to produce a solid-state battery cell and may not be able to successfully develop our solid-state battery cell. Building high volumes of multilayer cells in commercially relevant areas and with higher layer count requires substantial development effort. We could encounter significant delays and/or technical challenges in replicating the performance seen in its single-layer and early multilayer cells and in achieving the high quality, consistency and throughput required for commercial production and sale (e.g., unanticipated contamination issues). We have encountered delays and other obstacles in acquiring, installing and operating new manufacturing equipment for automated and/or continuous-flow processes, including vendor delays and other supply chain disruptions and challenges optimizing complex manufacturing processes. We may encounter delays in hiring the engineers we need to expand our development and production efforts, delays in building out our pre-pilot line facility, and delays caused by the COVID-19 pandemic. Delays in increasing production of engineering samples have slowed our development efforts. These or other sources of delay could delay our delivery of our products. Delays or difficulties in meeting technical milestones could cause prospective joint venture partners not to purchase cells from our pre-production line or not to proceed with a manufacturing joint venture. We may be unable to adequately control the costs associated with our operations and the components necessary to build our solid-state battery cells at competitive prices. Our spending may be higher than currently anticipated. We may not be successful in competing in the battery market industry or establishing and maintaining confidence in our long-term business prospects among current and future partners and customers.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39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you should not rely upon forward-looking statements as predictions of future events. We may not actually achieve the plans, intentions or expectations disclosed in our forward-looking statements and you should not place undue reliance on our forward-looking statements.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spacing w:after="0" w:line="17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prospectus supplement and the documents incorporated by reference in this prospectus supplement and in the accompanying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supplement, actual results may differ from the projections.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00"/>
          </w:cols>
          <w:pgMar w:left="320" w:top="45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i w:val="1"/>
          <w:iCs w:val="1"/>
          <w:color w:val="auto"/>
        </w:rPr>
        <w:t>This summary highlights selected information that is presented in greater detail elsewhere, or incorporated by reference, in this prospectus supplement and the accompanying prospectus. It does not contain all of the information that may be important to you and your investment decision. Before investing in our securities, you should carefully read the entire prospectus supplement and accompanying prospectus, including the matters set forth under the section of this prospectus captioned “Risk Factors” and the financial statements and related notes and other information that we incorporate by reference herein and therein, including our Annual Report on Form 10-K, as amended, and our Quarterly Reports on</w:t>
      </w:r>
    </w:p>
    <w:p>
      <w:pPr>
        <w:spacing w:after="0" w:line="2" w:lineRule="exact"/>
        <w:rPr>
          <w:sz w:val="20"/>
          <w:szCs w:val="20"/>
          <w:color w:val="auto"/>
        </w:rPr>
      </w:pPr>
    </w:p>
    <w:p>
      <w:pPr>
        <w:ind w:left="300" w:right="200"/>
        <w:spacing w:after="0" w:line="260" w:lineRule="auto"/>
        <w:rPr>
          <w:sz w:val="20"/>
          <w:szCs w:val="20"/>
          <w:color w:val="auto"/>
        </w:rPr>
      </w:pPr>
      <w:r>
        <w:rPr>
          <w:rFonts w:ascii="Arial" w:cs="Arial" w:eastAsia="Arial" w:hAnsi="Arial"/>
          <w:sz w:val="18"/>
          <w:szCs w:val="18"/>
          <w:i w:val="1"/>
          <w:iCs w:val="1"/>
          <w:color w:val="auto"/>
        </w:rPr>
        <w:t>Form 10-Q. Unless the context indicates otherwise, references in this prospectus to “QuantumScape Corporation,” “we,” “our” and “us” refer, collectively, to QuantumScape Corporation, a Delaware corporation, and its subsidiaries taken as a whole.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original QuantumScape Corporation was founded in 2010 with the mission to revolutionize energy storage to enable a sustainable future.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are developing next generation battery technology for electric vehicles (“EVs”) and other applications.</w:t>
      </w:r>
    </w:p>
    <w:p>
      <w:pPr>
        <w:spacing w:after="0" w:line="211"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We are at the beginning of a forecasted once-in-a-century shift in automotive powertrains, from internal combustion engines to clean EVs. After 30 years of gradual improvements in conventional lithium-ion batteries, the benefits of EVs have been demonstrated, principally in the premium passenger car market. However, there are fundamental limitations inhibiting widespread adoption of battery technology, and we believe the automotive market needs a step change in battery technology to make mass market EVs competitive with the fossil fuel alternative.</w:t>
      </w:r>
    </w:p>
    <w:p>
      <w:pPr>
        <w:spacing w:after="0" w:line="157" w:lineRule="exact"/>
        <w:rPr>
          <w:sz w:val="20"/>
          <w:szCs w:val="20"/>
          <w:color w:val="auto"/>
        </w:rPr>
      </w:pPr>
    </w:p>
    <w:p>
      <w:pPr>
        <w:ind w:left="300" w:right="340" w:firstLine="426"/>
        <w:spacing w:after="0" w:line="263" w:lineRule="auto"/>
        <w:rPr>
          <w:sz w:val="20"/>
          <w:szCs w:val="20"/>
          <w:color w:val="auto"/>
        </w:rPr>
      </w:pPr>
      <w:r>
        <w:rPr>
          <w:rFonts w:ascii="Arial" w:cs="Arial" w:eastAsia="Arial" w:hAnsi="Arial"/>
          <w:sz w:val="18"/>
          <w:szCs w:val="18"/>
          <w:color w:val="auto"/>
        </w:rPr>
        <w:t>We have spent more than a decade developing a proprietary solid-state battery technology to meet this challenge. Our solid-state lithium-metal battery technology is being designed to offer greater energy density, faster charging, and enhanced safety when compared to today’s conventional lithium-ion batteries.</w:t>
      </w:r>
    </w:p>
    <w:p>
      <w:pPr>
        <w:spacing w:after="0" w:line="184"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On November 25, 2020, the original QuantumScape Corporation, now named QuantumScape Battery, Inc. (“Legacy QuantumScape”), consummated a business combination with Kensington Capital Acquisition Corp., a special purpose acquisition company (“Kensington”). Legacy QuantumScape became a wholly-owned subsidiary of Kensington, and Kensington changed its name to QuantumScape Corporation. Our Class A common stock is listed on the NYSE under the symbol “QS”. Our Class B common stock is neither listed nor publicly traded.</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principal executive offices are located at 1730 Technology Drive, San Jose, California, 95110, and our telephone number is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(408) 452-2000.</w:t>
      </w:r>
    </w:p>
    <w:p>
      <w:pPr>
        <w:spacing w:after="0" w:line="211" w:lineRule="exact"/>
        <w:rPr>
          <w:sz w:val="20"/>
          <w:szCs w:val="20"/>
          <w:color w:val="auto"/>
        </w:rPr>
      </w:pPr>
    </w:p>
    <w:p>
      <w:pPr>
        <w:ind w:left="300" w:right="60" w:firstLine="426"/>
        <w:spacing w:after="0" w:line="270" w:lineRule="auto"/>
        <w:rPr>
          <w:sz w:val="20"/>
          <w:szCs w:val="20"/>
          <w:color w:val="auto"/>
        </w:rPr>
      </w:pPr>
      <w:r>
        <w:rPr>
          <w:rFonts w:ascii="Arial" w:cs="Arial" w:eastAsia="Arial" w:hAnsi="Arial"/>
          <w:sz w:val="17"/>
          <w:szCs w:val="17"/>
          <w:color w:val="auto"/>
        </w:rPr>
        <w:t>Our investor relations website is located at https://ir.quantumscape.com, our Twitter account is @QuantumScapeCo, our investor relations Twitter account is @QuantumScapeIR, our Chief Executive Officer’s Twitter account is @startupjag, our Chief Technology Officer’s Twitter account @ironmantimholme, our Chief Marketing Officer’s Twitter account is @HussainAsim, and our corporate LinkedIn account is located at https://www.linkedin.com/company/quantumscape/posts/. The information on, or that can be accessed through our website and the aforementioned Twitter accounts and LinkedIn account is not incorporated by reference into this prospectus and should not be considered to be part of this prospectus unless expressly noted. We may use our investor relations website and the aforementioned Twitter accounts and LinkedIn account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and the</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84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784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4" w:lineRule="auto"/>
        <w:rPr>
          <w:sz w:val="20"/>
          <w:szCs w:val="20"/>
          <w:color w:val="auto"/>
        </w:rPr>
      </w:pPr>
      <w:r>
        <w:rPr>
          <w:rFonts w:ascii="Arial" w:cs="Arial" w:eastAsia="Arial" w:hAnsi="Arial"/>
          <w:sz w:val="17"/>
          <w:szCs w:val="17"/>
          <w:color w:val="auto"/>
        </w:rPr>
        <w:t>aforementioned Twitter accounts and LinkedIn account, in addition to following press releases, filings with the SEC and public conference calls and webcasts. We also make available, free of charge, on our investor relations website under “SEC Filings,” our Annual Reports on</w:t>
      </w:r>
    </w:p>
    <w:p>
      <w:pPr>
        <w:ind w:left="300" w:right="40"/>
        <w:spacing w:after="0" w:line="260" w:lineRule="auto"/>
        <w:rPr>
          <w:sz w:val="20"/>
          <w:szCs w:val="20"/>
          <w:color w:val="auto"/>
        </w:rPr>
      </w:pPr>
      <w:r>
        <w:rPr>
          <w:rFonts w:ascii="Arial" w:cs="Arial" w:eastAsia="Arial" w:hAnsi="Arial"/>
          <w:sz w:val="18"/>
          <w:szCs w:val="18"/>
          <w:color w:val="auto"/>
        </w:rPr>
        <w:t>Form 10-K, Quarterly Reports on Form 10-Q, Current Reports on Form 8-K and amendments to these reports as soon as reasonably practicable after electronically filing or furnishing those reports to the SEC.</w:t>
      </w:r>
    </w:p>
    <w:p>
      <w:pPr>
        <w:spacing w:after="0" w:line="29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660"/>
          </w:cols>
          <w:pgMar w:left="320" w:top="459" w:right="9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Shares of our Class A common stock having an aggregate offering price of up to $400,000,000.</w:t>
      </w:r>
    </w:p>
    <w:p>
      <w:pPr>
        <w:spacing w:after="0" w:line="193"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4340" w:hanging="4034"/>
        <w:spacing w:after="0" w:line="270" w:lineRule="auto"/>
        <w:rPr>
          <w:sz w:val="20"/>
          <w:szCs w:val="20"/>
          <w:color w:val="auto"/>
        </w:rPr>
      </w:pPr>
      <w:r>
        <w:rPr>
          <w:rFonts w:ascii="Arial" w:cs="Arial" w:eastAsia="Arial" w:hAnsi="Arial"/>
          <w:sz w:val="17"/>
          <w:szCs w:val="17"/>
          <w:b w:val="1"/>
          <w:bCs w:val="1"/>
          <w:color w:val="auto"/>
        </w:rPr>
        <w:t xml:space="preserve">Common stock to be outstanding after this offering: </w:t>
      </w:r>
      <w:r>
        <w:rPr>
          <w:rFonts w:ascii="Arial" w:cs="Arial" w:eastAsia="Arial" w:hAnsi="Arial"/>
          <w:sz w:val="17"/>
          <w:szCs w:val="17"/>
          <w:color w:val="auto"/>
        </w:rPr>
        <w:t>Up to 482,012,167 shares of Class A common stock (including 79,454,147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Class A common stock issuable upon conversion of shares of Class B common stock (“the Class B common stock,” and together with the Class A common stock, the “Common Stock”), assuming the sale in this offering of $400,000,000 of shares of our Class A common stock at a price of $9.08 per share, which was the closing price of our Class A common stock on the NYSE on February 24, 2023. The actual number of shares issued will vary depending on the sales price under this offering. In addition, as there is no minimum offering amount required as a condition to close this offering, the actual number of shares that may be sold is not determinable at this time. See “Dilution” beginning on page S-15 of this prospectus supplement.</w:t>
      </w:r>
    </w:p>
    <w:p>
      <w:pPr>
        <w:sectPr>
          <w:pgSz w:w="11900" w:h="16838" w:orient="portrait"/>
          <w:cols w:equalWidth="0" w:num="1">
            <w:col w:w="10940"/>
          </w:cols>
          <w:pgMar w:left="320" w:top="459" w:right="639" w:bottom="1440" w:gutter="0" w:footer="0" w:header="0"/>
          <w:type w:val="continuous"/>
        </w:sect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market offering” that may be made from time to time through, at our option, our Sales Agents using commercially reasonable efforts consistent with their normal trading and sales practices and applicable law and regulation. No Sales Agent is required to sell any specific number or dollar amount of our Class A common stock. Under the terms of the Distribution Agreements, we may also sell shares of our Class A common stock to a Sales Agent, acting as principal, at a price per share to be agreed upon at the time of sale. If we sell shares to a Sales Agent as principal, we will enter into a separate terms agreement with that Sales Agent. See “Plan of Distribution” beginning on page S-17 of this prospectus supplement.</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4"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220"/>
        <w:spacing w:after="0" w:line="259" w:lineRule="auto"/>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for working capital and other general corporate purposes. See “Use of Proceeds” beginning on page S-13 of this prospectus supplement for more information.</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7"/>
          <w:szCs w:val="17"/>
          <w:color w:val="auto"/>
        </w:rPr>
        <w:t>Investing in our Class A common stock involves a high degree of risk. You should read the “Risk Factors” section of this prospectus supplement on page S-9, as well as those risk factors that are incorporated by reference in this prospectus supplement and the accompanying prospectus, for a discussion of factors to consider carefully before deciding to purchase shares of our Class A common stock.</w:t>
      </w:r>
    </w:p>
    <w:p>
      <w:pPr>
        <w:spacing w:after="0" w:line="199"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QS</w:t>
      </w:r>
    </w:p>
    <w:p>
      <w:pPr>
        <w:spacing w:after="0" w:line="207"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66" w:lineRule="exact"/>
        <w:rPr>
          <w:sz w:val="20"/>
          <w:szCs w:val="20"/>
          <w:color w:val="auto"/>
        </w:rPr>
      </w:pPr>
    </w:p>
    <w:p>
      <w:pPr>
        <w:ind w:left="300" w:right="520" w:firstLine="426"/>
        <w:spacing w:after="0" w:line="308" w:lineRule="auto"/>
        <w:rPr>
          <w:sz w:val="20"/>
          <w:szCs w:val="20"/>
          <w:color w:val="auto"/>
        </w:rPr>
      </w:pPr>
      <w:r>
        <w:rPr>
          <w:rFonts w:ascii="Arial" w:cs="Arial" w:eastAsia="Arial" w:hAnsi="Arial"/>
          <w:sz w:val="17"/>
          <w:szCs w:val="17"/>
          <w:color w:val="auto"/>
        </w:rPr>
        <w:t>The number of shares of our Class A common stock to be outstanding after this offering is based on 358,505,157 shares of our Class A common stock outstanding and 79,454,147 shares of Class B common stock outstanding as of December 31, 2022.</w:t>
      </w: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564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15640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1240" w:hanging="415"/>
        <w:spacing w:after="0" w:line="263"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37,938,768 shares of our Common Stock, 34,165,974 shares of which are issuable upon the exercise of options under our 2010 Equity Incentive Plan with a weighted-average exercise price of $1.93 per share and 3,772,794 shares of which are issuable upon vesting of certain restricted stock units granted before November 25, 2020;</w:t>
      </w:r>
    </w:p>
    <w:p>
      <w:pPr>
        <w:spacing w:after="0" w:line="89" w:lineRule="exact"/>
        <w:rPr>
          <w:rFonts w:ascii="Arial" w:cs="Arial" w:eastAsia="Arial" w:hAnsi="Arial"/>
          <w:sz w:val="18"/>
          <w:szCs w:val="18"/>
          <w:color w:val="auto"/>
        </w:rPr>
      </w:pPr>
    </w:p>
    <w:p>
      <w:pPr>
        <w:ind w:left="1240" w:right="120" w:hanging="415"/>
        <w:spacing w:after="0" w:line="286" w:lineRule="auto"/>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62,554,391 shares of our Class A common stock, 15,958,344 shares of which are issuable upon the exercise of options with a weighted average exercise price of $23.04 per share, 12,789,899 shares of which are issuable upon vesting of certain restricted stock units, and 33,806,148 shares reserved for future issuance under our 2020 Equity Incentive Plan; and</w:t>
      </w:r>
    </w:p>
    <w:p>
      <w:pPr>
        <w:spacing w:after="0" w:line="70" w:lineRule="exact"/>
        <w:rPr>
          <w:rFonts w:ascii="Arial" w:cs="Arial" w:eastAsia="Arial" w:hAnsi="Arial"/>
          <w:sz w:val="17"/>
          <w:szCs w:val="17"/>
          <w:color w:val="auto"/>
        </w:rPr>
      </w:pPr>
    </w:p>
    <w:p>
      <w:pPr>
        <w:ind w:left="1240" w:hanging="415"/>
        <w:spacing w:after="0"/>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 to 11,305,773 shares of our Class A common stock reserved for future issuance under our 2020 Employee Stock Purchase Plan.</w:t>
      </w:r>
    </w:p>
    <w:p>
      <w:pPr>
        <w:spacing w:after="0" w:line="3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880"/>
          </w:cols>
          <w:pgMar w:left="320" w:top="459" w:right="6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Investing in our securities involves a high degree of risk. Before making a decision to invest in our securities, in addition to carefully considering the other information contained in this prospectus supplement, the accompanying prospectus and the documents incorporated by reference herein and therein, you should carefully consider the risks described under the caption “Risk Factors” contained in the accompanying prospectus, and the risks discussed under the caption “Risk Factors” contained in our most recent annual report on Form 10-K, as amended, and in our most recent quarterly reports on Form 10-Q, as well as any amendments thereto, which are incorporated by reference into this prospectus supplement and the accompanying prospectus in their entirety, together with other information in this prospectus supplement, the accompanying prospectus and the documents incorporated by reference herein and therein. See “Where You Can Find More Information” and “Incorporation by Reference.”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Investors in this offering will pay a much higher price than the book value of our Class A common stock and therefore you will incur immediate and substantial dilution of your investment.</w:t>
      </w:r>
    </w:p>
    <w:p>
      <w:pPr>
        <w:spacing w:after="0" w:line="6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 public offering price of our Class A common stock in this offering will be substantially higher than the net tangible book value per common share based on the total value of our tangible assets less our total liabilities immediately following this offering. Assuming that an aggregate of 44,052,863 shares of our Class A common stock are sold at a price of $9.08 per share pursuant to this prospectus supplement, which was the closing price of our Class A common stock on the NYSE on February 24, 2023, for an aggregate offering price of approximately $400,000,000 in this offering, and after deducting estimated commissions and estimated aggregate offering expenses payable by us, you would experience immediate and substantial dilution of approximately $5.53 per share, representing the difference between our adjusted net tangible book value per share as of December 31, 2022 after giving effect to this offering and the assumed public offering price. For a further description of the dilution that you will experience immediately after this offering, see the section titled “Dilution.”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Class A common stock in the public market could cause our stock price to fall.</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As of February 21, 2023, we had 360,515,533 shares of our Class A common stock outstanding. If our stockholders sell, or the market perceives that our stockholders intend to sell, a substantial number of shares of our Class A common stock in the public market, the market price of our Class A common stock could decline significantly.</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Moreover, certain holders of our Class A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Class A common stock could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dual class structure may depress the trading price of our Class A common stock.</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of our Class A common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shares we will issue under the Distribution Agreements, at any one time or in total, is uncertain.</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Subject to certain limitations in the Distribution Agreements and compliance with applicable law, we have the discretion to deliver a placement notice to a Sales Agent at any time throughout the term of the Distribution Agreement with that Sales Agent. The number of shares that are sold by a Sales Agent after delivering a placement notice will fluctuate based on the market price of our Class A common stock during the sales period and limits we set with that Sales Agent. Because the price per share of each share sold will fluctuate based on the market price of our common stock during the sales period, it is not possible at this stage to predict the number of shares that will be ultimately issued.</w:t>
      </w:r>
    </w:p>
    <w:p>
      <w:pPr>
        <w:spacing w:after="0" w:line="2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Accordingly, we will have broad discretion in using these proceeds. Until the net proceeds are used, they may be placed in investments that do not produce significant income or that may lose.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Class A common stock will be your sole source of gain on your investment for the foreseeable future. Investors seeking cash dividends should not invest in our Class A common stock.</w:t>
      </w:r>
    </w:p>
    <w:p>
      <w:pPr>
        <w:spacing w:after="0" w:line="2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Class A common stock in this offering, restrict our operations or require us to relinquish substantial rights.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or scale back our development or production efforts or grant rights to develop, produce and market battery cells that we would otherwise prefer to develop, produce and market ourselves. In addition, we may seek additional capital due to favorable market conditions or strategic considerations even if we believe we have sufficient funds for our current or future operating plans.</w:t>
      </w:r>
    </w:p>
    <w:p>
      <w:pPr>
        <w:spacing w:after="0" w:line="26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Class A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Distribution Agreements,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Class A common stock has been and may in the future continue to be subject to extreme volatility.</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trading price of our Class A common stock has been and may in the future continue to be subject to extreme volatility. For example, from November 27, 2020, the date our Class A common stock began trading on the NYSE, through December 31, 2022, our Class A common stock has experienced an intra-day trading high of $132.73 per share and an intra-day trading low of $5.11 per share. At certain times during such period, the daily fluctuations in the trading price of our Class A common stock were substantially greater than 10%. We cannot predict the magnitude of future fluctuations in the trading price of our Class A common stock. The trading price of our Class A common stock may be affected by a number of factors, including events described in the risk factors set forth in this prospectus supplement and in our other reports filed with the SEC from time to time, as well as our operating results, financial condition and other events or factors. Any of the factors listed below could have a material adverse effect on your investment in our securities. Factors affecting the trading price of our securities may include:</w:t>
      </w:r>
    </w:p>
    <w:p>
      <w:pPr>
        <w:spacing w:after="0" w:line="84" w:lineRule="exact"/>
        <w:rPr>
          <w:sz w:val="20"/>
          <w:szCs w:val="20"/>
          <w:color w:val="auto"/>
        </w:rPr>
      </w:pPr>
    </w:p>
    <w:p>
      <w:pPr>
        <w:ind w:left="1080" w:right="3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by us or our competitors regarding technical developments and levels of performance achieved by our or their battery technologies;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by us regarding the timing of our production objectives, including regarding the addition of a pre-pilot line facility in California, a 1GWh pilot-production line, and subsequently the expansion to the full 21GWh target;</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by us or Volkswagen Group of America Investments, LLC (“VGA”) and certain of its affiliates (together with VGA, “Volkswagen”) regarding developments in our relationship with Volkswagen;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bring our products and technologies to market on a timely basis, or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operating results or development efforts failing to meet the expectation of securities analysts or investors in a particular period;</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 or the EV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 of competitors’ actual or perceived development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battery industry in general;</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us;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intellectual property protection for our technologies;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compliance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volume of shares of Class A common stock available for public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demand for our Common Stock, including the amount of short interest in our Class A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substantial amounts of the shares of Class A common stock by our directors, executive officers or significant stockholders or the perception that such sales could occur;</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estimates and assumptions that we make in the preparation of our financial statements may result in the fluctuation of our results of operations; and</w:t>
      </w:r>
    </w:p>
    <w:p>
      <w:pPr>
        <w:spacing w:after="0" w:line="75" w:lineRule="exact"/>
        <w:rPr>
          <w:rFonts w:ascii="Arial" w:cs="Arial" w:eastAsia="Arial" w:hAnsi="Arial"/>
          <w:sz w:val="18"/>
          <w:szCs w:val="18"/>
          <w:color w:val="auto"/>
        </w:rPr>
      </w:pPr>
    </w:p>
    <w:p>
      <w:pPr>
        <w:ind w:left="1080" w:right="540" w:hanging="424"/>
        <w:spacing w:after="0" w:line="308"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recessions, interest rates, fuel prices, international currency fluctuations, acts of terrorism, hostilities or the perception that hostilities may be imminent, and military conflict and acts of war.</w:t>
      </w:r>
    </w:p>
    <w:p>
      <w:pPr>
        <w:spacing w:after="0" w:line="14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has experienced price and volume fluctuations that have often been unrelated or disproportionate to the operating performance of the particular companies affected. The trading prices and valuations of securities may not be predictable. A loss of investor confidence in the market or the securities of other companies which investors perceive to be similar to us could depress the market price of our securities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Following certain periods of volatility in the market price of our securities, we may become the subject of securities litigation. We have experienced and may in the future experience additional litigation following periods of volatility. This type of litigation may result in substantial costs and a diversion of management’s attention and resources.</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80"/>
          </w:cols>
          <w:pgMar w:left="320" w:top="459" w:right="5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issue and sell shares of our Class A common stock having an aggregate gross sales proceeds of up to $400,000,000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Distribution Agreements with the Sales Agents as a source of financing.</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currently intend to use the net proceeds, together with our existing cash and cash equivalents, from this offering for working capital and other general corporate purposes.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acquire or invest in additional businesses, technologies, products or assets. Although we have no specific agreements, commitments or understandings with respect to any acquisition, we evaluate these opportunities and engage in related discussions with other companies from time to time.</w:t>
      </w:r>
    </w:p>
    <w:p>
      <w:pPr>
        <w:spacing w:after="0" w:line="16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net proceeds from this offering, together with our existing cash and cash equivalents, may not be sufficient for us to fund our development and production efforts, and we may need to raise additional capital to achieve our business objectives.</w:t>
      </w:r>
    </w:p>
    <w:p>
      <w:pPr>
        <w:spacing w:after="0" w:line="170"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amount and timing of our actual expenditures will depend on numerous factors, including the results of our research and development efforts, the timing and outcome of any ongoing or future development and production efforts and any unforeseen cash needs. As a result, our management will have broad discretion over the use of the proceeds from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never declared or paid cash dividends on our Class A common stock. We currently intend to retain all of our future earnings, if any, to finance the growth and development of our business. We do not intend to pay cash dividends to holders of our Class A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080"/>
          </w:cols>
          <w:pgMar w:left="320" w:top="459"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immediately to the extent of the difference between the public offering price per share of our Class A common stock and the as adjusted net tangible book value per share of our common stock after this offering.</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historical net tangible book value as of December 31, 2022 was $1.3 billion, or $3.01 per share of our Common Stock. Historical net tangible book value per share represents the amount of our total tangible assets less total liabilities, divided by the number of shares of our Common Stock outstanding. After giving effect to the assumed sale by us of shares of our Class A common stock having an aggregate offering price of $400,000,000 at an assumed public offering price of $9.08 per share, which was the last reported sale price of our Class A common stock on the NYSE on February 24, 2023 and after deducting estimated commissions and estimated offering expenses payable by us, our as adjusted net tangible book value as of December 31, 2022 would have been $1.7 billion, or $3.55 per share. This represents an immediate increase in net tangible book value per share of $0.54 to existing stockholders and immediate dilution of $5.53 in net tangible book value per share to new investors purchasing shares of Class A common stock in this offering. Dilution per share to new investors is determined by subtracting as adjusted net tangible book value per share after this offering from the public offering price per share paid by new investors. The following table illustrates this dilution on a per share basis. The as adjusted information is illustrative only and will adjust based on the actual price to the public, the actual number of shares sold and other terms of the offering determined at the time shares of our Class A common stock are sold pursuant to this prospectus supplement. The shares sold in this offering, if any, will be sold from time to time at various prices.</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r>
      <w:tr>
        <w:trPr>
          <w:trHeight w:val="216"/>
        </w:trPr>
        <w:tc>
          <w:tcPr>
            <w:tcW w:w="88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December 31, 2022</w:t>
            </w:r>
          </w:p>
        </w:tc>
        <w:tc>
          <w:tcPr>
            <w:tcW w:w="1320" w:type="dxa"/>
            <w:vAlign w:val="bottom"/>
            <w:gridSpan w:val="3"/>
          </w:tcPr>
          <w:p>
            <w:pPr>
              <w:jc w:val="right"/>
              <w:ind w:right="390"/>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880" w:type="dxa"/>
            <w:vAlign w:val="bottom"/>
          </w:tcPr>
          <w:p>
            <w:pPr>
              <w:spacing w:after="0"/>
              <w:rPr>
                <w:sz w:val="17"/>
                <w:szCs w:val="17"/>
                <w:color w:val="auto"/>
              </w:rPr>
            </w:pPr>
          </w:p>
        </w:tc>
        <w:tc>
          <w:tcPr>
            <w:tcW w:w="6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Increase in net tangible book value per share attributable to new investors in this</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6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132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0.54</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3"/>
        </w:trPr>
        <w:tc>
          <w:tcPr>
            <w:tcW w:w="88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4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3.55</w:t>
            </w:r>
          </w:p>
        </w:tc>
      </w:tr>
      <w:tr>
        <w:trPr>
          <w:trHeight w:val="27"/>
        </w:trPr>
        <w:tc>
          <w:tcPr>
            <w:tcW w:w="8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5.53</w:t>
            </w:r>
          </w:p>
        </w:tc>
      </w:tr>
      <w:tr>
        <w:trPr>
          <w:trHeight w:val="20"/>
        </w:trPr>
        <w:tc>
          <w:tcPr>
            <w:tcW w:w="8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foregoing table and calculations (other than the historical net tangible book value calculations) are based on 358,505,157 shares of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Class A common stock outstanding and 79,454,147 shares of Class B common stock as of December 31, 2022 and exclude as of such date:</w:t>
      </w:r>
    </w:p>
    <w:p>
      <w:pPr>
        <w:spacing w:after="0" w:line="128" w:lineRule="exact"/>
        <w:rPr>
          <w:sz w:val="20"/>
          <w:szCs w:val="20"/>
          <w:color w:val="auto"/>
        </w:rPr>
      </w:pPr>
    </w:p>
    <w:p>
      <w:pPr>
        <w:ind w:left="1080" w:right="3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37,938,768 shares of our Common Stock, 34,165,974 shares of which are issuable upon the exercise of options under our 2010 Equity Incentive Plan with a weighted-average exercise price of $1.93 per share and 3,772,794 shares of which are issuable upon vesting of certain restricted stock units granted before November 25, 2020;</w:t>
      </w:r>
    </w:p>
    <w:p>
      <w:pPr>
        <w:spacing w:after="0" w:line="89" w:lineRule="exact"/>
        <w:rPr>
          <w:rFonts w:ascii="Arial" w:cs="Arial" w:eastAsia="Arial" w:hAnsi="Arial"/>
          <w:sz w:val="18"/>
          <w:szCs w:val="18"/>
          <w:color w:val="auto"/>
        </w:rPr>
      </w:pPr>
    </w:p>
    <w:p>
      <w:pPr>
        <w:ind w:left="1080" w:right="260" w:hanging="424"/>
        <w:spacing w:after="0" w:line="286"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62,554,391 shares of our Class A common stock, 15,958,344 shares of which are issuable upon the exercise of options with a weighted average exercise price of $23.04 per share, 12,789,899 shares of which are issuable upon vesting of certain restricted stock units, and 33,806,148 shares reserved for future issuance under our 2020 Equity Incentive Plan;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up to 11,305,773 shares of our Class A common stock reserved for future issuance under our 2020 Employee Stock Purchase Plan.</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60"/>
          </w:cols>
          <w:pgMar w:left="320" w:top="459"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shares of our Class A common stock reserved for future issuance under our equity plan will be subject to automatic annual increases in accordance with the terms of the plan. To the extent that options or warrants are exercised, new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40"/>
          </w:cols>
          <w:pgMar w:left="320" w:top="459" w:right="5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entered into separate Distribution Agreements with the Sales Agents on February 28, 2023, under which we may offer and sale from time to time shares of our Class A common stock having an aggregate offering price of up to $400,000,000 through any of the Sales Agents. Sales of our Class A common stock, if any, will be made by any method permitted by law, including by means of ordinary brokers’ transactions on the NYSE at market prices, in block transactions, or as otherwise agreed with the applicable Sales Agent, or by means of any other existing trading market for our Class A common stock or to or through a market maker other than on an exchange. As an agent, a Sales Agent will not engage in any transactions that stabilize the price of our Class A common stock.</w:t>
      </w:r>
    </w:p>
    <w:p>
      <w:pPr>
        <w:spacing w:after="0" w:line="19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Each Sales Agent will offer our Class A common stock subject to the terms and conditions of the Distribution Agreement with that Sales Agent on a daily basis or as otherwise agreed upon by us and each Sales Agent. We will designate the maximum amount of Class A common stock to be sold through each Sales Agent on a daily basis or otherwise determine such maximum amount together with each Sales Agent. Subject to the terms and conditions of the Distribution Agreement to which it is a party, each Sales Agent will use its commercially reasonable efforts to sell on our behalf the shares of Class A common stock requested from time to time to be sold by us by that Sales Agent. We may instruct a Sales Agent not to sell Class A common stock if the sales cannot be effected at or above the price designated by us in any such instruction. No Sales Agent will be obligated to use its reasonable efforts to sell our Class A common stock at any price below the designated price. We or a Sales Agent may suspend the offering of our Class A common stock being made through that Sales Agent under the Distribution Agreement to which it is a party upon proper notice to the other party. We and each Sales Agent each have the right, by giving written notice as specified in the Distribution Agreement to which such Sales Agent is a party, to terminate such Distribution Agreement in each party’s sole discretion at any time.</w:t>
      </w:r>
    </w:p>
    <w:p>
      <w:pPr>
        <w:spacing w:after="0" w:line="16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Each Sales Agent will receive from us a commission of up to 3.0% of the gross sales price per share of our Class A common stock for any shares sold through such Sales Agent under the Distribution Agreement to which such Sales Agent is a party. The remaining sales proceeds, after deducting any expenses payable by us and any transaction fees imposed by any governmental, regulatory or self-regulatory organization in connection with the sales, will equal our net proceeds for the sale of such shares. We have also agreed to reimburse each Sales Agent the reasonable and documented out-of-pocket expenses of each Sales Agent, including the reasonable fees and disbursements of legal counsel to the Sales Agents incurred in connection with this offering, in the amount of up to $300,000 in the aggregate for the Distribution Agreements, and to be incurred in connection with the transactions contemplated by the Distribution Agreements, in the amount of up to $25,000 in the aggregate on a quarterly basis. We estimate that the total expenses of the offering payable by us, excluding commissions payable to the Sales Agents under the Distribution Agreements, will be approximately $1.5 million.</w:t>
      </w:r>
    </w:p>
    <w:p>
      <w:pPr>
        <w:spacing w:after="0" w:line="19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Each Sales Agent will provide written confirmation to us following the close of trading on the NYSE each day on which shares of our Class A common stock are sold by such Sales Agent for us under the Distribution Agreement to which it is a party. Each confirmation will include the number of shares sold on that day, the gross sales price per share and the net proceeds to us.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will report in a prospectus supplement and/or our filings with the SEC under the Exchange Act at least quarterly the number of shares of Class A common stock sold through the Sales Agents under the Distribution Agreements, the net proceeds to us and the compensation paid by us to the Sales Agents in connection with the sales of Class A common stock.</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Settlement for sales of Class A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the terms of the Distribution Agreements, we may also sell shares of our Class A common stock to a Sales Agent, acting as principal, at a price per share to be agreed upon at the time of sale. If we sell shares to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40"/>
          </w:cols>
          <w:pgMar w:left="320" w:top="45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Sales Agent as principal, we will enter into a separate terms agreement with that Sales Agent, and we will describe such agreement in a separate prospectus supplement or pricing supplement.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the sale of the Class A common stock on our behalf, each of the Sales Agents may be deemed to be an “underwriter” within the meaning of the Securities Act and the compensation paid to the Sales Agents may be deemed to be underwriting commissions or discounts. We have agreed in the Distribution Agreements to provide indemnification and contribution to each of the Sales Agents against certain liabilities, including liabilities under the Securities Act.</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Sales Agents and their respective affiliates have engaged in, and may in the future engage in, investment banking and other commercial dealings in the ordinary course of business with us or our affiliates. They have received, or may in the future receive, customary fees and commissions for these transactions. In addition, in the ordinary course of their business activities, the Sales Agents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Sales Agents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8"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we or a Sales Agent has reason to believe that the exemptive provisions set forth in Rule 101(c)(1) of Regulation M under the Exchange Act are not satisfied, that party will promptly notify the other and sales of our Class A common stock under the Distribution Agreement to which such Sales Agent is a party will be suspended until that or other exemptive provisions have been satisfied in the judgment of such Sales Agent and us.</w:t>
      </w:r>
    </w:p>
    <w:p>
      <w:pPr>
        <w:spacing w:after="0" w:line="14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offering of our Class A common stock pursuant to each Distribution Agreement will terminate upon the earlier of (i) the sale of all shares of our Class A common stock subject to such Distribution Agreement and (ii) the termination of the Distribution Agreement by us and/or by the Sales Agent that is a party thereto.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validity of the securities offered hereby will be passed upon for us by Wilson Sonsini Goodrich &amp; Rosati, Professional Corporation, Palo Alto, California, and for the Sales Agents by Sullivan &amp; Cromwell LLP, Palo Alto, California.</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consolidated financial statements of QuantumScape Corporation appearing in QuantumScape Corporation’s Annual Report (Form 10-K) for the year ended December 31, 2022, and the effectiveness of QuantumScape Corporation’s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We also maintain a website at www.quantumscape.com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prospectus about any of our contracts, agreements or other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except as may be noted in any such Form 8-K, exhibits filed on such form that are related to such information), until the offering of the securities under the registration statement of which this prospectus supplement forms a part is terminated or completed:</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2022, as filed with the SEC on </w:t>
      </w:r>
      <w:hyperlink r:id="rId36">
        <w:r>
          <w:rPr>
            <w:rFonts w:ascii="Arial" w:cs="Arial" w:eastAsia="Arial" w:hAnsi="Arial"/>
            <w:sz w:val="18"/>
            <w:szCs w:val="18"/>
            <w:u w:val="single" w:color="auto"/>
            <w:color w:val="0000EE"/>
          </w:rPr>
          <w:t>February 28, 2023</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7">
        <w:r>
          <w:rPr>
            <w:rFonts w:ascii="Arial" w:cs="Arial" w:eastAsia="Arial" w:hAnsi="Arial"/>
            <w:sz w:val="18"/>
            <w:szCs w:val="18"/>
            <w:u w:val="single" w:color="auto"/>
            <w:color w:val="0000EE"/>
          </w:rPr>
          <w:t>February 9, 2023</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February 9, 2023</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February 13,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0">
        <w:r>
          <w:rPr>
            <w:rFonts w:ascii="Arial" w:cs="Arial" w:eastAsia="Arial" w:hAnsi="Arial"/>
            <w:sz w:val="18"/>
            <w:szCs w:val="18"/>
            <w:u w:val="single" w:color="auto"/>
            <w:color w:val="0000EE"/>
          </w:rPr>
          <w:t>February 28, 2023</w:t>
        </w:r>
      </w:hyperlink>
      <w:r>
        <w:rPr>
          <w:rFonts w:ascii="Arial" w:cs="Arial" w:eastAsia="Arial" w:hAnsi="Arial"/>
          <w:sz w:val="18"/>
          <w:szCs w:val="18"/>
          <w:color w:val="auto"/>
        </w:rPr>
        <w:t xml:space="preserve"> (excluding any information furnished in such reports under Item 2.02, Item 7.01 or Item 9.01); and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
        </w:numPr>
        <w:rPr>
          <w:rFonts w:ascii="Arial" w:cs="Arial" w:eastAsia="Arial" w:hAnsi="Arial"/>
          <w:sz w:val="18"/>
          <w:szCs w:val="18"/>
          <w:color w:val="0000EE"/>
        </w:rPr>
      </w:pPr>
      <w:r>
        <w:rPr>
          <w:rFonts w:ascii="Arial" w:cs="Arial" w:eastAsia="Arial" w:hAnsi="Arial"/>
          <w:sz w:val="18"/>
          <w:szCs w:val="18"/>
          <w:color w:val="auto"/>
        </w:rPr>
        <w:t xml:space="preserve">the description of our common stock contained in the Registration Statement on Form 8-A relating thereto, as filed with the SEC on </w:t>
      </w:r>
      <w:hyperlink r:id="rId41">
        <w:r>
          <w:rPr>
            <w:rFonts w:ascii="Arial" w:cs="Arial" w:eastAsia="Arial" w:hAnsi="Arial"/>
            <w:sz w:val="18"/>
            <w:szCs w:val="18"/>
            <w:u w:val="single" w:color="auto"/>
            <w:color w:val="0000EE"/>
          </w:rPr>
          <w:t>June 24,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any amendment or report filed for the purpose of updating such description, including</w:t>
      </w:r>
      <w:r>
        <w:rPr>
          <w:rFonts w:ascii="Arial" w:cs="Arial" w:eastAsia="Arial" w:hAnsi="Arial"/>
          <w:sz w:val="18"/>
          <w:szCs w:val="18"/>
          <w:color w:val="0000EE"/>
        </w:rPr>
        <w:t xml:space="preserve"> </w:t>
      </w:r>
      <w:hyperlink r:id="rId42">
        <w:r>
          <w:rPr>
            <w:rFonts w:ascii="Arial" w:cs="Arial" w:eastAsia="Arial" w:hAnsi="Arial"/>
            <w:sz w:val="18"/>
            <w:szCs w:val="18"/>
            <w:u w:val="single" w:color="auto"/>
            <w:color w:val="0000EE"/>
          </w:rPr>
          <w:t xml:space="preserve">Exhibit 4.4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Annual</w:t>
      </w:r>
      <w:r>
        <w:rPr>
          <w:rFonts w:ascii="Arial" w:cs="Arial" w:eastAsia="Arial" w:hAnsi="Arial"/>
          <w:sz w:val="18"/>
          <w:szCs w:val="18"/>
          <w:color w:val="0000EE"/>
        </w:rPr>
        <w:t xml:space="preserve"> </w:t>
      </w:r>
      <w:r>
        <w:rPr>
          <w:rFonts w:ascii="Arial" w:cs="Arial" w:eastAsia="Arial" w:hAnsi="Arial"/>
          <w:sz w:val="18"/>
          <w:szCs w:val="18"/>
          <w:color w:val="000000"/>
        </w:rPr>
        <w:t>Report on Form 10-K, as amended, as filed with the SEC on February 28, 2022.</w:t>
      </w:r>
    </w:p>
    <w:p>
      <w:pPr>
        <w:spacing w:after="0" w:line="184" w:lineRule="exact"/>
        <w:rPr>
          <w:rFonts w:ascii="Arial" w:cs="Arial" w:eastAsia="Arial" w:hAnsi="Arial"/>
          <w:sz w:val="18"/>
          <w:szCs w:val="18"/>
          <w:color w:val="auto"/>
        </w:rPr>
      </w:pPr>
    </w:p>
    <w:p>
      <w:pPr>
        <w:ind w:left="120" w:firstLine="440"/>
        <w:spacing w:after="0" w:line="291" w:lineRule="auto"/>
        <w:rPr>
          <w:sz w:val="20"/>
          <w:szCs w:val="20"/>
          <w:color w:val="auto"/>
        </w:rPr>
      </w:pPr>
      <w:r>
        <w:rPr>
          <w:rFonts w:ascii="Arial" w:cs="Arial" w:eastAsia="Arial" w:hAnsi="Arial"/>
          <w:sz w:val="16"/>
          <w:szCs w:val="16"/>
          <w:color w:val="auto"/>
        </w:rPr>
        <w:t>Any documents we file with the SEC pursuant to Section 13(a), 13(c), 14 or 15(d) of the Exchange Act after the date of this prospectus supplement and prior to the termination of the offering of our securities to which this prospectus supplement relates will automatically be deemed to be incorporated by reference into this prospectus supplement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66"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QuantumScape Corporation</w:t>
      </w:r>
    </w:p>
    <w:p>
      <w:pPr>
        <w:spacing w:after="0" w:line="23"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1730 Technology Drive</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San Jose, California 95110</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(408) 452-2000</w:t>
      </w:r>
    </w:p>
    <w:p>
      <w:pPr>
        <w:spacing w:after="0" w:line="207" w:lineRule="exact"/>
        <w:rPr>
          <w:rFonts w:ascii="Arial" w:cs="Arial" w:eastAsia="Arial" w:hAnsi="Arial"/>
          <w:sz w:val="18"/>
          <w:szCs w:val="18"/>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The information accessible through any website referred to in this prospectus supplement is not, and should not be deemed to be, a part of this prospectus supplement.</w:t>
      </w:r>
    </w:p>
    <w:p>
      <w:pPr>
        <w:spacing w:after="0" w:line="98"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80"/>
          </w:cols>
          <w:pgMar w:left="320" w:top="459"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171450</wp:posOffset>
            </wp:positionV>
            <wp:extent cx="1731645" cy="659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73164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QuantumScape Corporation</w:t>
      </w: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$1,000,000,000</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Class A Common Stock</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Preferred Stock</w:t>
      </w:r>
    </w:p>
    <w:p>
      <w:pPr>
        <w:jc w:val="center"/>
        <w:ind w:right="-199"/>
        <w:spacing w:after="0" w:line="230" w:lineRule="auto"/>
        <w:rPr>
          <w:sz w:val="20"/>
          <w:szCs w:val="20"/>
          <w:color w:val="auto"/>
        </w:rPr>
      </w:pPr>
      <w:r>
        <w:rPr>
          <w:rFonts w:ascii="Arial" w:cs="Arial" w:eastAsia="Arial" w:hAnsi="Arial"/>
          <w:sz w:val="22"/>
          <w:szCs w:val="22"/>
          <w:b w:val="1"/>
          <w:bCs w:val="1"/>
          <w:color w:val="auto"/>
        </w:rPr>
        <w:t>Debt Securities</w:t>
      </w:r>
    </w:p>
    <w:p>
      <w:pPr>
        <w:jc w:val="center"/>
        <w:ind w:right="-199"/>
        <w:spacing w:after="0" w:line="231" w:lineRule="auto"/>
        <w:rPr>
          <w:sz w:val="20"/>
          <w:szCs w:val="20"/>
          <w:color w:val="auto"/>
        </w:rPr>
      </w:pPr>
      <w:r>
        <w:rPr>
          <w:rFonts w:ascii="Arial" w:cs="Arial" w:eastAsia="Arial" w:hAnsi="Arial"/>
          <w:sz w:val="22"/>
          <w:szCs w:val="22"/>
          <w:b w:val="1"/>
          <w:bCs w:val="1"/>
          <w:color w:val="auto"/>
        </w:rPr>
        <w:t>Depositary Shares</w:t>
      </w:r>
    </w:p>
    <w:p>
      <w:pPr>
        <w:jc w:val="center"/>
        <w:ind w:right="-199"/>
        <w:spacing w:after="0" w:line="230" w:lineRule="auto"/>
        <w:rPr>
          <w:sz w:val="20"/>
          <w:szCs w:val="20"/>
          <w:color w:val="auto"/>
        </w:rPr>
      </w:pPr>
      <w:r>
        <w:rPr>
          <w:rFonts w:ascii="Arial" w:cs="Arial" w:eastAsia="Arial" w:hAnsi="Arial"/>
          <w:sz w:val="22"/>
          <w:szCs w:val="22"/>
          <w:b w:val="1"/>
          <w:bCs w:val="1"/>
          <w:color w:val="auto"/>
        </w:rPr>
        <w:t>Warrants</w:t>
      </w:r>
    </w:p>
    <w:p>
      <w:pPr>
        <w:jc w:val="center"/>
        <w:ind w:right="-199"/>
        <w:spacing w:after="0" w:line="231" w:lineRule="auto"/>
        <w:rPr>
          <w:sz w:val="20"/>
          <w:szCs w:val="20"/>
          <w:color w:val="auto"/>
        </w:rPr>
      </w:pPr>
      <w:r>
        <w:rPr>
          <w:rFonts w:ascii="Arial" w:cs="Arial" w:eastAsia="Arial" w:hAnsi="Arial"/>
          <w:sz w:val="22"/>
          <w:szCs w:val="22"/>
          <w:b w:val="1"/>
          <w:bCs w:val="1"/>
          <w:color w:val="auto"/>
        </w:rPr>
        <w:t>Subscription Rights</w:t>
      </w:r>
    </w:p>
    <w:p>
      <w:pPr>
        <w:jc w:val="center"/>
        <w:ind w:right="-199"/>
        <w:spacing w:after="0" w:line="230" w:lineRule="auto"/>
        <w:rPr>
          <w:sz w:val="20"/>
          <w:szCs w:val="20"/>
          <w:color w:val="auto"/>
        </w:rPr>
      </w:pPr>
      <w:r>
        <w:rPr>
          <w:rFonts w:ascii="Arial" w:cs="Arial" w:eastAsia="Arial" w:hAnsi="Arial"/>
          <w:sz w:val="22"/>
          <w:szCs w:val="22"/>
          <w:b w:val="1"/>
          <w:bCs w:val="1"/>
          <w:color w:val="auto"/>
        </w:rPr>
        <w:t>Purchase Contracts</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$1,000,000,000.</w:t>
      </w:r>
    </w:p>
    <w:p>
      <w:pPr>
        <w:spacing w:after="0" w:line="16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Class A common stock is listed on the New York Stock Exchange under the symbol “QS.” Each prospectus supplement will indicate whether the securities offered thereby will be listed on any securities exchange.</w:t>
      </w:r>
    </w:p>
    <w:p>
      <w:pPr>
        <w:spacing w:after="0" w:line="157" w:lineRule="exact"/>
        <w:rPr>
          <w:sz w:val="20"/>
          <w:szCs w:val="20"/>
          <w:color w:val="auto"/>
        </w:rPr>
      </w:pPr>
    </w:p>
    <w:p>
      <w:pPr>
        <w:ind w:left="120" w:right="420" w:firstLine="440"/>
        <w:spacing w:after="0" w:line="300" w:lineRule="auto"/>
        <w:rPr>
          <w:sz w:val="20"/>
          <w:szCs w:val="20"/>
          <w:color w:val="auto"/>
        </w:rPr>
      </w:pPr>
      <w:r>
        <w:rPr>
          <w:rFonts w:ascii="Arial" w:cs="Arial" w:eastAsia="Arial" w:hAnsi="Arial"/>
          <w:sz w:val="19"/>
          <w:szCs w:val="19"/>
          <w:b w:val="1"/>
          <w:bCs w:val="1"/>
          <w:color w:val="auto"/>
        </w:rPr>
        <w:t>Investing in these securities involves risks. Please carefully read the information under the headings “</w:t>
      </w:r>
      <w:r>
        <w:rPr>
          <w:rFonts w:ascii="Arial" w:cs="Arial" w:eastAsia="Arial" w:hAnsi="Arial"/>
          <w:sz w:val="19"/>
          <w:szCs w:val="19"/>
          <w:b w:val="1"/>
          <w:bCs w:val="1"/>
          <w:u w:val="single" w:color="auto"/>
          <w:color w:val="0000EE"/>
        </w:rPr>
        <w:t>Risk</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0000EE"/>
        </w:rPr>
        <w:t>Factors</w:t>
      </w:r>
      <w:r>
        <w:rPr>
          <w:rFonts w:ascii="Arial" w:cs="Arial" w:eastAsia="Arial" w:hAnsi="Arial"/>
          <w:sz w:val="19"/>
          <w:szCs w:val="19"/>
          <w:b w:val="1"/>
          <w:bCs w:val="1"/>
          <w:color w:val="000000"/>
        </w:rPr>
        <w:t>” beginning on page 5 of this prospectus and “Item 1A — Risk Factors” of our most recent report on Form</w:t>
      </w:r>
      <w:r>
        <w:rPr>
          <w:rFonts w:ascii="Arial" w:cs="Arial" w:eastAsia="Arial" w:hAnsi="Arial"/>
          <w:sz w:val="19"/>
          <w:szCs w:val="19"/>
          <w:b w:val="1"/>
          <w:bCs w:val="1"/>
          <w:color w:val="0000EE"/>
        </w:rPr>
        <w:t xml:space="preserve"> </w:t>
      </w:r>
      <w:r>
        <w:rPr>
          <w:rFonts w:ascii="Arial" w:cs="Arial" w:eastAsia="Arial" w:hAnsi="Arial"/>
          <w:sz w:val="19"/>
          <w:szCs w:val="19"/>
          <w:b w:val="1"/>
          <w:bCs w:val="1"/>
          <w:color w:val="000000"/>
        </w:rPr>
        <w:t>10-K or 10-Q that is incorporated by reference in this prospectus before you invest in our securities.</w:t>
      </w:r>
    </w:p>
    <w:p>
      <w:pPr>
        <w:spacing w:after="0" w:line="135" w:lineRule="exact"/>
        <w:rPr>
          <w:sz w:val="20"/>
          <w:szCs w:val="20"/>
          <w:color w:val="auto"/>
        </w:rPr>
      </w:pPr>
    </w:p>
    <w:p>
      <w:pPr>
        <w:ind w:left="120" w:right="6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August 10, 2022.</w:t>
      </w:r>
    </w:p>
    <w:p>
      <w:pPr>
        <w:sectPr>
          <w:pgSz w:w="11900" w:h="16838" w:orient="portrait"/>
          <w:cols w:equalWidth="0" w:num="1">
            <w:col w:w="11040"/>
          </w:cols>
          <w:pgMar w:left="320" w:top="459" w:right="5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580" w:type="dxa"/>
            <w:vAlign w:val="bottom"/>
            <w:gridSpan w:val="8"/>
            <w:vMerge w:val="restart"/>
          </w:tcPr>
          <w:p>
            <w:pPr>
              <w:spacing w:after="0"/>
              <w:rPr>
                <w:sz w:val="20"/>
                <w:szCs w:val="20"/>
                <w:color w:val="auto"/>
              </w:rPr>
            </w:pPr>
            <w:r>
              <w:rPr>
                <w:rFonts w:ascii="Arial" w:cs="Arial" w:eastAsia="Arial" w:hAnsi="Arial"/>
                <w:sz w:val="18"/>
                <w:szCs w:val="18"/>
                <w:color w:val="0000EE"/>
                <w:w w:val="89"/>
              </w:rPr>
              <w:t>About this Prospectus</w:t>
            </w:r>
          </w:p>
        </w:tc>
        <w:tc>
          <w:tcPr>
            <w:tcW w:w="2120" w:type="dxa"/>
            <w:vAlign w:val="bottom"/>
            <w:gridSpan w:val="9"/>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1580" w:type="dxa"/>
            <w:vAlign w:val="bottom"/>
            <w:tcBorders>
              <w:bottom w:val="single" w:sz="8" w:color="0000EE"/>
            </w:tcBorders>
            <w:gridSpan w:val="8"/>
            <w:vMerge w:val="continue"/>
          </w:tcPr>
          <w:p>
            <w:pPr>
              <w:spacing w:after="0"/>
              <w:rPr>
                <w:sz w:val="13"/>
                <w:szCs w:val="13"/>
                <w:color w:val="auto"/>
              </w:rPr>
            </w:pPr>
          </w:p>
        </w:tc>
        <w:tc>
          <w:tcPr>
            <w:tcW w:w="2120" w:type="dxa"/>
            <w:vAlign w:val="bottom"/>
            <w:gridSpan w:val="9"/>
            <w:vMerge w:val="continue"/>
          </w:tcPr>
          <w:p>
            <w:pPr>
              <w:spacing w:after="0"/>
              <w:rPr>
                <w:sz w:val="13"/>
                <w:szCs w:val="13"/>
                <w:color w:val="auto"/>
              </w:rPr>
            </w:pPr>
          </w:p>
        </w:tc>
        <w:tc>
          <w:tcPr>
            <w:tcW w:w="69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00" w:type="dxa"/>
            <w:vAlign w:val="bottom"/>
            <w:gridSpan w:val="17"/>
          </w:tcPr>
          <w:p>
            <w:pPr>
              <w:spacing w:after="0"/>
              <w:rPr>
                <w:sz w:val="20"/>
                <w:szCs w:val="20"/>
                <w:color w:val="auto"/>
              </w:rPr>
            </w:pPr>
            <w:r>
              <w:rPr>
                <w:rFonts w:ascii="Arial" w:cs="Arial" w:eastAsia="Arial" w:hAnsi="Arial"/>
                <w:sz w:val="18"/>
                <w:szCs w:val="18"/>
                <w:color w:val="0000EE"/>
              </w:rPr>
              <w:t>Prospectus Summary</w:t>
            </w:r>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Risk Factors</w:t>
            </w:r>
          </w:p>
        </w:tc>
        <w:tc>
          <w:tcPr>
            <w:tcW w:w="21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Use of Proceeds</w:t>
            </w:r>
          </w:p>
        </w:tc>
        <w:tc>
          <w:tcPr>
            <w:tcW w:w="160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52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Description of Warrants</w:t>
            </w:r>
          </w:p>
        </w:tc>
        <w:tc>
          <w:tcPr>
            <w:tcW w:w="132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Description of Subscription Rights</w:t>
            </w:r>
          </w:p>
        </w:tc>
        <w:tc>
          <w:tcPr>
            <w:tcW w:w="12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Description of Purchase Contracts</w:t>
            </w:r>
          </w:p>
        </w:tc>
        <w:tc>
          <w:tcPr>
            <w:tcW w:w="124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Description of Units</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5"/>
              </w:rPr>
              <w:t>Plan of Distribution</w:t>
            </w:r>
          </w:p>
        </w:tc>
        <w:tc>
          <w:tcPr>
            <w:tcW w:w="224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Legal Matters</w:t>
            </w:r>
          </w:p>
        </w:tc>
        <w:tc>
          <w:tcPr>
            <w:tcW w:w="2280" w:type="dxa"/>
            <w:vAlign w:val="bottom"/>
            <w:gridSpan w:val="1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Experts</w:t>
            </w:r>
          </w:p>
        </w:tc>
        <w:tc>
          <w:tcPr>
            <w:tcW w:w="2700" w:type="dxa"/>
            <w:vAlign w:val="bottom"/>
            <w:gridSpan w:val="1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Incorporation by Reference</w:t>
            </w:r>
          </w:p>
        </w:tc>
        <w:tc>
          <w:tcPr>
            <w:tcW w:w="82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$1,000,000,000.</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“Where You Can Find More Information” and “Incorporation by Reference.”</w:t>
      </w:r>
    </w:p>
    <w:p>
      <w:pPr>
        <w:spacing w:after="0" w:line="15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8"/>
          <w:szCs w:val="18"/>
          <w:color w:val="auto"/>
        </w:rPr>
        <w:t xml:space="preserve">The QuantumScape design logo and the QuantumScape mark appearing in this prospectus are the property of QuantumScape Corporation. Trade names, trademarks and service marks of other companies appearing in this prospectus are the property of their respective holders. We have omitted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designations, as applicable, for the trademarks used in this prospectus.</w:t>
      </w: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“QuantumScape Corporation,” “we,” “our” and “us” refer, collectively, to QuantumScape Corporation, a Delaware corporation, and its subsidiaries taken as a whole.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original QuantumScape Corporation was founded in 2010 with the mission to revolutionize energy storage to enable a sustainable future. More specifically, our goal has been to build the world’s best batteries, as measured by energy density, power density (charge time), cycle life, and safety. We are developing next generation battery technology for electric vehicles (“EVs”) and other applications, focusing first on the transformation of the electrification of the automotive powertrain, an application that we believe represents both an important part of the solution to the emissions problem as well as an opportunity to create tremendous value over the coming decades.</w:t>
      </w:r>
    </w:p>
    <w:p>
      <w:pPr>
        <w:spacing w:after="0" w:line="176" w:lineRule="exact"/>
        <w:rPr>
          <w:sz w:val="20"/>
          <w:szCs w:val="20"/>
          <w:color w:val="auto"/>
        </w:rPr>
      </w:pPr>
    </w:p>
    <w:p>
      <w:pPr>
        <w:ind w:left="300" w:right="120" w:firstLine="426"/>
        <w:spacing w:after="0" w:line="275" w:lineRule="auto"/>
        <w:rPr>
          <w:sz w:val="20"/>
          <w:szCs w:val="20"/>
          <w:color w:val="auto"/>
        </w:rPr>
      </w:pPr>
      <w:r>
        <w:rPr>
          <w:rFonts w:ascii="Arial" w:cs="Arial" w:eastAsia="Arial" w:hAnsi="Arial"/>
          <w:sz w:val="17"/>
          <w:szCs w:val="17"/>
          <w:color w:val="auto"/>
        </w:rPr>
        <w:t>We are at the beginning of a forecasted once-in-a-century shift in automotive powertrains, from internal combustion engines to clean EVs. While EV adoption is advancing, principally in the premium passenger car market, Morgan Stanley estimated that only approximately 6% of new sales of global light-vehicles in 2021 were EVs. We believe that fundamental limitations of lithium-ion battery technology—limitations that affect range, useful life, charging time, cost and safety—inhibit more widespread adoption of EVs. We believe the market needs a step change in battery technology to make mass market EVs competitive with the fossil fuel alternative.</w:t>
      </w:r>
    </w:p>
    <w:p>
      <w:pPr>
        <w:spacing w:after="0" w:line="176" w:lineRule="exact"/>
        <w:rPr>
          <w:sz w:val="20"/>
          <w:szCs w:val="20"/>
          <w:color w:val="auto"/>
        </w:rPr>
      </w:pPr>
    </w:p>
    <w:p>
      <w:pPr>
        <w:ind w:left="300" w:right="280" w:firstLine="426"/>
        <w:spacing w:after="0" w:line="263" w:lineRule="auto"/>
        <w:rPr>
          <w:sz w:val="20"/>
          <w:szCs w:val="20"/>
          <w:color w:val="auto"/>
        </w:rPr>
      </w:pPr>
      <w:r>
        <w:rPr>
          <w:rFonts w:ascii="Arial" w:cs="Arial" w:eastAsia="Arial" w:hAnsi="Arial"/>
          <w:sz w:val="18"/>
          <w:szCs w:val="18"/>
          <w:color w:val="auto"/>
        </w:rPr>
        <w:t>We have spent more than a decade developing a proprietary solid-state battery technology to meet this challenge. Our lithium-metal solid-state battery technology is intended to provide greater energy density, longer life, faster charging, and greater safety than today’s lithium-ion batteries.</w:t>
      </w:r>
    </w:p>
    <w:p>
      <w:pPr>
        <w:spacing w:after="0" w:line="184" w:lineRule="exact"/>
        <w:rPr>
          <w:sz w:val="20"/>
          <w:szCs w:val="20"/>
          <w:color w:val="auto"/>
        </w:rPr>
      </w:pPr>
    </w:p>
    <w:p>
      <w:pPr>
        <w:ind w:left="300" w:right="320" w:firstLine="426"/>
        <w:spacing w:after="0" w:line="257" w:lineRule="auto"/>
        <w:rPr>
          <w:sz w:val="20"/>
          <w:szCs w:val="20"/>
          <w:color w:val="auto"/>
        </w:rPr>
      </w:pPr>
      <w:r>
        <w:rPr>
          <w:rFonts w:ascii="Arial" w:cs="Arial" w:eastAsia="Arial" w:hAnsi="Arial"/>
          <w:sz w:val="18"/>
          <w:szCs w:val="18"/>
          <w:color w:val="auto"/>
        </w:rPr>
        <w:t>On November 25, 2020, the original QuantumScape Corporation, now named QuantumScape Battery, Inc. (“Legacy QuantumScape”), consummated a business combination (the “Business Combination”) with Kensington Capital Acquisition Corp., a special purpose acquisition company (“Kensington”). Legacy QuantumScape became a wholly-owned subsidiary of Kensington, and Kensington changed its name to QuantumScape Corporation. Our Class A common stock is listed on the New York Stock Exchange (the “NYSE”) under the symbol “QS”. Our Class B common stock is neither listed nor publicly traded.</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Our principal executive offices are located at 1730 Technology Drive, San Jose, California, 95110, and our telephone number is (408) 452-2000.</w:t>
      </w:r>
    </w:p>
    <w:p>
      <w:pPr>
        <w:spacing w:after="0" w:line="170" w:lineRule="exact"/>
        <w:rPr>
          <w:sz w:val="20"/>
          <w:szCs w:val="20"/>
          <w:color w:val="auto"/>
        </w:rPr>
      </w:pPr>
    </w:p>
    <w:p>
      <w:pPr>
        <w:ind w:left="300" w:right="80" w:firstLine="426"/>
        <w:spacing w:after="0" w:line="255" w:lineRule="auto"/>
        <w:rPr>
          <w:sz w:val="20"/>
          <w:szCs w:val="20"/>
          <w:color w:val="auto"/>
        </w:rPr>
      </w:pPr>
      <w:r>
        <w:rPr>
          <w:rFonts w:ascii="Arial" w:cs="Arial" w:eastAsia="Arial" w:hAnsi="Arial"/>
          <w:sz w:val="18"/>
          <w:szCs w:val="18"/>
          <w:color w:val="auto"/>
        </w:rPr>
        <w:t xml:space="preserve">Our investor relations website is located at </w:t>
      </w:r>
      <w:r>
        <w:rPr>
          <w:rFonts w:ascii="Arial" w:cs="Arial" w:eastAsia="Arial" w:hAnsi="Arial"/>
          <w:sz w:val="18"/>
          <w:szCs w:val="18"/>
          <w:i w:val="1"/>
          <w:iCs w:val="1"/>
          <w:color w:val="auto"/>
        </w:rPr>
        <w:t>https://ir.quantumscape.com</w:t>
      </w:r>
      <w:r>
        <w:rPr>
          <w:rFonts w:ascii="Arial" w:cs="Arial" w:eastAsia="Arial" w:hAnsi="Arial"/>
          <w:sz w:val="18"/>
          <w:szCs w:val="18"/>
          <w:color w:val="auto"/>
        </w:rPr>
        <w:t xml:space="preserve">, our Company Twitter account is located at </w:t>
      </w:r>
      <w:r>
        <w:rPr>
          <w:rFonts w:ascii="Arial" w:cs="Arial" w:eastAsia="Arial" w:hAnsi="Arial"/>
          <w:sz w:val="18"/>
          <w:szCs w:val="18"/>
          <w:i w:val="1"/>
          <w:iCs w:val="1"/>
          <w:color w:val="auto"/>
        </w:rPr>
        <w:t>https://twitter.com/QuantumScapeCo</w:t>
      </w:r>
      <w:r>
        <w:rPr>
          <w:rFonts w:ascii="Arial" w:cs="Arial" w:eastAsia="Arial" w:hAnsi="Arial"/>
          <w:sz w:val="18"/>
          <w:szCs w:val="18"/>
          <w:color w:val="auto"/>
        </w:rPr>
        <w:t>, our investor relations Twitter account is located at</w:t>
      </w:r>
      <w:r>
        <w:rPr>
          <w:rFonts w:ascii="Arial" w:cs="Arial" w:eastAsia="Arial" w:hAnsi="Arial"/>
          <w:sz w:val="18"/>
          <w:szCs w:val="18"/>
          <w:i w:val="1"/>
          <w:iCs w:val="1"/>
          <w:color w:val="auto"/>
        </w:rPr>
        <w:t xml:space="preserve"> https://twitter.com/QuantumScapeIR</w:t>
      </w:r>
      <w:r>
        <w:rPr>
          <w:rFonts w:ascii="Arial" w:cs="Arial" w:eastAsia="Arial" w:hAnsi="Arial"/>
          <w:sz w:val="18"/>
          <w:szCs w:val="18"/>
          <w:color w:val="auto"/>
        </w:rPr>
        <w:t>, our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Officer’s Twitter account is located at </w:t>
      </w:r>
      <w:r>
        <w:rPr>
          <w:rFonts w:ascii="Arial" w:cs="Arial" w:eastAsia="Arial" w:hAnsi="Arial"/>
          <w:sz w:val="18"/>
          <w:szCs w:val="18"/>
          <w:i w:val="1"/>
          <w:iCs w:val="1"/>
          <w:color w:val="auto"/>
        </w:rPr>
        <w:t>https://twitter.com/startupjag</w:t>
      </w:r>
      <w:r>
        <w:rPr>
          <w:rFonts w:ascii="Arial" w:cs="Arial" w:eastAsia="Arial" w:hAnsi="Arial"/>
          <w:sz w:val="18"/>
          <w:szCs w:val="18"/>
          <w:color w:val="auto"/>
        </w:rPr>
        <w:t xml:space="preserve">, our Chief Technology Officer’s Twitter account is located at </w:t>
      </w:r>
      <w:r>
        <w:rPr>
          <w:rFonts w:ascii="Arial" w:cs="Arial" w:eastAsia="Arial" w:hAnsi="Arial"/>
          <w:sz w:val="18"/>
          <w:szCs w:val="18"/>
          <w:i w:val="1"/>
          <w:iCs w:val="1"/>
          <w:color w:val="auto"/>
        </w:rPr>
        <w:t>https://twitter.com/ironmantimholme</w:t>
      </w:r>
      <w:r>
        <w:rPr>
          <w:rFonts w:ascii="Arial" w:cs="Arial" w:eastAsia="Arial" w:hAnsi="Arial"/>
          <w:sz w:val="18"/>
          <w:szCs w:val="18"/>
          <w:color w:val="auto"/>
        </w:rPr>
        <w:t>, our Chief Marketing Officer’s Twitter account is located at</w:t>
      </w:r>
      <w:r>
        <w:rPr>
          <w:rFonts w:ascii="Arial" w:cs="Arial" w:eastAsia="Arial" w:hAnsi="Arial"/>
          <w:sz w:val="18"/>
          <w:szCs w:val="18"/>
          <w:i w:val="1"/>
          <w:iCs w:val="1"/>
          <w:color w:val="auto"/>
        </w:rPr>
        <w:t xml:space="preserve"> https://twitter.com/HussainAsim</w:t>
      </w:r>
      <w:r>
        <w:rPr>
          <w:rFonts w:ascii="Arial" w:cs="Arial" w:eastAsia="Arial" w:hAnsi="Arial"/>
          <w:sz w:val="18"/>
          <w:szCs w:val="18"/>
          <w:color w:val="auto"/>
        </w:rPr>
        <w:t>,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corporate LinkedIn account is located at </w:t>
      </w:r>
      <w:r>
        <w:rPr>
          <w:rFonts w:ascii="Arial" w:cs="Arial" w:eastAsia="Arial" w:hAnsi="Arial"/>
          <w:sz w:val="18"/>
          <w:szCs w:val="18"/>
          <w:i w:val="1"/>
          <w:iCs w:val="1"/>
          <w:color w:val="auto"/>
        </w:rPr>
        <w:t>https://www.linkedin.com/company/quantumscape/posts/</w:t>
      </w:r>
      <w:r>
        <w:rPr>
          <w:rFonts w:ascii="Arial" w:cs="Arial" w:eastAsia="Arial" w:hAnsi="Arial"/>
          <w:sz w:val="18"/>
          <w:szCs w:val="18"/>
          <w:color w:val="auto"/>
        </w:rPr>
        <w:t>. The information on, or that can be accessed through,</w:t>
      </w: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0" w:lineRule="auto"/>
        <w:rPr>
          <w:sz w:val="20"/>
          <w:szCs w:val="20"/>
          <w:color w:val="auto"/>
        </w:rPr>
      </w:pPr>
      <w:r>
        <w:rPr>
          <w:rFonts w:ascii="Arial" w:cs="Arial" w:eastAsia="Arial" w:hAnsi="Arial"/>
          <w:sz w:val="17"/>
          <w:szCs w:val="17"/>
          <w:color w:val="auto"/>
        </w:rPr>
        <w:t>our website and the aforementioned Twitter accounts and LinkedIn account is not incorporated by reference into this prospectus and should not be considered to be part of this prospectus unless expressly noted. We may use our investor relations website and the aforementioned Twitter accounts and LinkedIn account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and the aforementioned Twitter accounts and LinkedIn account, in addition to following press releases, filings with the Securities and Exchange Commission (the “SEC”) and public conference calls and webcasts. We also make available, free of charge, on our investor relations website under “Financials—SEC Filings,” our Annual Reports on Form 10-K, Quarterly Reports on Form 10-Q, Current Reports on Form 8-K and amendments to these reports as soon as reasonably practicable after electronically filing or furnishing those reports to the SEC.</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That May Be Offered</w:t>
      </w:r>
    </w:p>
    <w:p>
      <w:pPr>
        <w:spacing w:after="0" w:line="121"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We may offer or sell Class A common stock, preferred stock, depositary shares, debt securities, warrants, subscription rights, purchase contracts and units in one or more offerings and in any combination. The aggregate offering price of the securities we sell pursuant to this prospectus will not exceed $1,000,000,000.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We may offer shares of our Class A common stock, par value $0.0001 per share,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300" w:right="180" w:firstLine="426"/>
        <w:spacing w:after="0" w:line="255" w:lineRule="auto"/>
        <w:rPr>
          <w:sz w:val="20"/>
          <w:szCs w:val="20"/>
          <w:color w:val="auto"/>
        </w:rPr>
      </w:pPr>
      <w:r>
        <w:rPr>
          <w:rFonts w:ascii="Arial" w:cs="Arial" w:eastAsia="Arial" w:hAnsi="Arial"/>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30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Depositary Shares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may issue fractional shares of preferred stock that will be represented by depositary shares and depositary receipts.</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0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17" w:lineRule="exact"/>
        <w:rPr>
          <w:sz w:val="20"/>
          <w:szCs w:val="20"/>
          <w:color w:val="auto"/>
        </w:rPr>
      </w:pPr>
    </w:p>
    <w:p>
      <w:pPr>
        <w:ind w:left="300" w:right="200" w:firstLine="426"/>
        <w:spacing w:after="0" w:line="255" w:lineRule="auto"/>
        <w:rPr>
          <w:sz w:val="20"/>
          <w:szCs w:val="20"/>
          <w:color w:val="auto"/>
        </w:rPr>
      </w:pPr>
      <w:r>
        <w:rPr>
          <w:rFonts w:ascii="Arial" w:cs="Arial" w:eastAsia="Arial" w:hAnsi="Arial"/>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or exchangeable for shares of our Class A common stock.</w:t>
      </w:r>
    </w:p>
    <w:p>
      <w:pPr>
        <w:spacing w:after="0" w:line="192" w:lineRule="exact"/>
        <w:rPr>
          <w:sz w:val="20"/>
          <w:szCs w:val="20"/>
          <w:color w:val="auto"/>
        </w:rPr>
      </w:pPr>
    </w:p>
    <w:p>
      <w:pPr>
        <w:jc w:val="both"/>
        <w:ind w:left="300" w:right="240" w:firstLine="426"/>
        <w:spacing w:after="0" w:line="311" w:lineRule="auto"/>
        <w:rPr>
          <w:sz w:val="20"/>
          <w:szCs w:val="20"/>
          <w:color w:val="auto"/>
        </w:rPr>
      </w:pPr>
      <w:r>
        <w:rPr>
          <w:rFonts w:ascii="Arial" w:cs="Arial" w:eastAsia="Arial" w:hAnsi="Arial"/>
          <w:sz w:val="16"/>
          <w:szCs w:val="16"/>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57"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We may offer warrants for the purchase of Class A common stock, preferred stock, debt securities or depositary shares. We may offer warrants independently or together with other securities.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Subscription Rights</w:t>
      </w:r>
    </w:p>
    <w:p>
      <w:pPr>
        <w:spacing w:after="0" w:line="117" w:lineRule="exact"/>
        <w:rPr>
          <w:sz w:val="20"/>
          <w:szCs w:val="20"/>
          <w:color w:val="auto"/>
        </w:rPr>
      </w:pPr>
    </w:p>
    <w:p>
      <w:pPr>
        <w:ind w:left="300" w:right="40" w:firstLine="426"/>
        <w:spacing w:after="0" w:line="286" w:lineRule="auto"/>
        <w:rPr>
          <w:sz w:val="20"/>
          <w:szCs w:val="20"/>
          <w:color w:val="auto"/>
        </w:rPr>
      </w:pPr>
      <w:r>
        <w:rPr>
          <w:rFonts w:ascii="Arial" w:cs="Arial" w:eastAsia="Arial" w:hAnsi="Arial"/>
          <w:sz w:val="17"/>
          <w:szCs w:val="17"/>
          <w:color w:val="auto"/>
        </w:rPr>
        <w:t>We may offer subscription rights to purchase our Class A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Purchase Contracts</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We may offer purchase contracts, including contracts obligating holders or us to purchase from the other a specific or variable number of securities at a future date or dates.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Units</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6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 We may also use a portion of the net proceeds to acquire, license or invest in complementary products, technologies or businesses; however, we currently have no agreements or commitments to complete any such transaction. The expected use of net proceeds of this offering represents our current intentions based on our present plans and business conditions. We cannot specify with certainty all of the particular uses for the net proceeds to be received upon the closing of this offering. Pending these uses, we plan to invest the net proceeds of this offering in short- and intermediate-term, interest-bearing obligations, investment-grade instruments, certificates of deposit or direct or guaranteed obligations of the U.S. government.</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description of our capital stock is incorporated by reference to Exhibit 4.4 to our Annual Report on Form 10-K for the fiscal year ended December 31, 2021, filed with the SEC on February 28, 2022.</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transfer or exchange, and where notices and demands to us in respect of the debt securities may be delivered;</w:t>
      </w:r>
    </w:p>
    <w:p>
      <w:pPr>
        <w:spacing w:after="0" w:line="131" w:lineRule="exact"/>
        <w:rPr>
          <w:sz w:val="20"/>
          <w:szCs w:val="20"/>
          <w:color w:val="auto"/>
        </w:rPr>
      </w:pPr>
    </w:p>
    <w:p>
      <w:pPr>
        <w:ind w:left="1080" w:right="6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153"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Certificated Debt Securities</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Global Debt Securities and Book-Entry System</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any series of debt securities that are convertible into or exchangeable for shares of our Class A common stock, we will set forth in the applicable prospectus supplement the terms on which such series of debt securities may be convertible into or exchangeable for our Class A common stock. We will include provisions as to settlement upon conversion or exchange and whether conversion or exchange is mandatory, at the option of the holder or at our option. We may include provisions pursuant to which the number of shares of our Class A common stock that the holders of the series of debt securities receive would be subject to adjustment.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76" w:lineRule="exact"/>
        <w:rPr>
          <w:sz w:val="20"/>
          <w:szCs w:val="20"/>
          <w:color w:val="auto"/>
        </w:rPr>
      </w:pPr>
    </w:p>
    <w:p>
      <w:pPr>
        <w:ind w:left="1080" w:right="60" w:hanging="424"/>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jc w:val="center"/>
        <w:ind w:left="5540" w:right="1220" w:hanging="4884"/>
        <w:spacing w:after="0" w:line="449" w:lineRule="auto"/>
        <w:tabs>
          <w:tab w:leader="none" w:pos="10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 12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153" w:lineRule="exact"/>
        <w:rPr>
          <w:rFonts w:ascii="Arial" w:cs="Arial" w:eastAsia="Arial" w:hAnsi="Arial"/>
          <w:sz w:val="16"/>
          <w:szCs w:val="16"/>
          <w:color w:val="auto"/>
        </w:rPr>
      </w:pPr>
    </w:p>
    <w:p>
      <w:pPr>
        <w:ind w:left="1080" w:right="7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Legal Defeasance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Defeasance of Certain Covenants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indenture provides that, unless otherwise provided by the terms of the applicable series of debt securities, upon compliance with certain conditions:</w:t>
      </w:r>
    </w:p>
    <w:p>
      <w:pPr>
        <w:spacing w:after="0" w:line="76" w:lineRule="exact"/>
        <w:rPr>
          <w:sz w:val="20"/>
          <w:szCs w:val="20"/>
          <w:color w:val="auto"/>
        </w:rPr>
      </w:pPr>
    </w:p>
    <w:p>
      <w:pPr>
        <w:ind w:left="1080" w:right="20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refer to this as covenant defeasance. The conditions include:</w:t>
      </w:r>
    </w:p>
    <w:p>
      <w:pPr>
        <w:spacing w:after="0" w:line="131" w:lineRule="exact"/>
        <w:rPr>
          <w:sz w:val="20"/>
          <w:szCs w:val="20"/>
          <w:color w:val="auto"/>
        </w:rPr>
      </w:pPr>
    </w:p>
    <w:p>
      <w:pPr>
        <w:ind w:left="1080" w:right="100" w:hanging="424"/>
        <w:spacing w:after="0" w:line="273"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3"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to which we are a party;</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75" w:lineRule="exact"/>
        <w:rPr>
          <w:rFonts w:ascii="Arial" w:cs="Arial" w:eastAsia="Arial" w:hAnsi="Arial"/>
          <w:sz w:val="18"/>
          <w:szCs w:val="18"/>
          <w:color w:val="auto"/>
        </w:rPr>
      </w:pPr>
    </w:p>
    <w:p>
      <w:pPr>
        <w:jc w:val="both"/>
        <w:ind w:left="1080" w:right="2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9" w:lineRule="auto"/>
        <w:rPr>
          <w:sz w:val="20"/>
          <w:szCs w:val="20"/>
          <w:color w:val="auto"/>
        </w:rPr>
      </w:pPr>
      <w:r>
        <w:rPr>
          <w:rFonts w:ascii="Arial" w:cs="Arial" w:eastAsia="Arial" w:hAnsi="Arial"/>
          <w:sz w:val="17"/>
          <w:szCs w:val="17"/>
          <w:color w:val="auto"/>
        </w:rPr>
        <w:t>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jc w:val="both"/>
        <w:ind w:left="120" w:right="200" w:firstLine="440"/>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right="360" w:firstLine="440"/>
        <w:spacing w:after="0" w:line="279" w:lineRule="auto"/>
        <w:rPr>
          <w:sz w:val="20"/>
          <w:szCs w:val="20"/>
          <w:color w:val="auto"/>
        </w:rPr>
      </w:pPr>
      <w:r>
        <w:rPr>
          <w:rFonts w:ascii="Arial" w:cs="Arial" w:eastAsia="Arial" w:hAnsi="Arial"/>
          <w:sz w:val="17"/>
          <w:szCs w:val="17"/>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the Depositary</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warrants to purchase debt securities, preferred stock, depositary shares or Class A common stock. We may offer warrants separately or together with one or more additional warrants, debt securities, preferred stock, depositary shares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preferred stock, depositary shares or Class A common stock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Class A common stock will be separately transferable;</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of preferred stock, the number of depositary shares or the number of shares of Class A common stock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antidilution provisions,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or exercise of the warrants.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may issue subscription rights to purchase our Class A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 payable for our Class A common stock, preferred stock, debt securities, depositary shares, warrants or units consisting of some or all of these securities upon the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subscription rights to be issued to each stockholder;</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terms of our Class A common stock, preferred stock, debt securities, depositary shares, warrants or units consisting of some or all of these securities which may be purchased per each subscription right;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date on which the right to exercise the subscription rights shall commence, and the date on which the subscription rights shall expire;</w:t>
      </w:r>
    </w:p>
    <w:p>
      <w:pPr>
        <w:spacing w:after="0" w:line="153"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which may be entered into by us in connection with the offering of subscription rights.</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76" w:lineRule="exact"/>
        <w:rPr>
          <w:sz w:val="20"/>
          <w:szCs w:val="20"/>
          <w:color w:val="auto"/>
        </w:rPr>
      </w:pPr>
    </w:p>
    <w:p>
      <w:pPr>
        <w:ind w:left="1080" w:right="1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of the securities or other property subject to the purchase contracts (which may be determined by reference to a specific formula described in the purchase contracts);</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requirement for us to make periodic payments to holders or vice versa, and whether the payments are unsecured or pre-funded;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30"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purchase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5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76" w:lineRule="exact"/>
        <w:rPr>
          <w:sz w:val="20"/>
          <w:szCs w:val="20"/>
          <w:color w:val="auto"/>
        </w:rPr>
      </w:pPr>
    </w:p>
    <w:p>
      <w:pPr>
        <w:ind w:left="1080" w:right="4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provision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securityholders.</w:t>
      </w:r>
    </w:p>
    <w:p>
      <w:pPr>
        <w:spacing w:after="0" w:line="23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distribute securities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 fixed price or prices that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spacing w:after="0" w:line="29" w:lineRule="exact"/>
        <w:rPr>
          <w:sz w:val="20"/>
          <w:szCs w:val="20"/>
          <w:color w:val="auto"/>
        </w:rPr>
      </w:pPr>
    </w:p>
    <w:p>
      <w:pPr>
        <w:ind w:left="1080" w:right="1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or through the facilities of the NYSE or any other securities exchange or quotation or trading service on which such securities may be listed, quoted or traded at the time of sale; and/or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or through a market maker otherwise than on the NYSE or such other securities exchanges or quotation trading services.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at the market offerings, if any, may be conducted by underwriters acting as principal or agent.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5540" w:right="4100" w:hanging="4884"/>
        <w:spacing w:after="0" w:line="449" w:lineRule="auto"/>
        <w:tabs>
          <w:tab w:leader="none" w:pos="10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 23</w:t>
      </w:r>
    </w:p>
    <w:p>
      <w:pPr>
        <w:sectPr>
          <w:pgSz w:w="11900" w:h="16838" w:orient="portrait"/>
          <w:cols w:equalWidth="0" w:num="1">
            <w:col w:w="11100"/>
          </w:cols>
          <w:pgMar w:left="320" w:top="459"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84"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70"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underwriters and other persons acting as agents will not have any responsibility in respect of the validity or performance of delayed delivery contracts.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311" w:lineRule="auto"/>
        <w:rPr>
          <w:sz w:val="20"/>
          <w:szCs w:val="20"/>
          <w:color w:val="auto"/>
        </w:rPr>
      </w:pPr>
      <w:r>
        <w:rPr>
          <w:rFonts w:ascii="Arial" w:cs="Arial" w:eastAsia="Arial" w:hAnsi="Arial"/>
          <w:sz w:val="16"/>
          <w:szCs w:val="16"/>
          <w:color w:val="auto"/>
        </w:rPr>
        <w:t>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92"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validity of the securities offered hereby will be passed upon for us by Wilson Sonsini Goodrich &amp; Rosati, Professional Corporation, Palo Alto, California. Additional legal matters may be passed on for us, or any underwriters, dealers or agents by counsel we will name in the applicable prospectus supplement.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QuantumScape Corporation appearing in QuantumScape Corporation’s Annual Report (Form 10-K/A) for the year ended December 31, 2021, and the effectiveness of QuantumScape Corporation’s internal control over financial reporting as of December 31, 2021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Copies of certain information filed by us with the SEC are also available on our website at </w:t>
      </w:r>
      <w:r>
        <w:rPr>
          <w:rFonts w:ascii="Arial" w:cs="Arial" w:eastAsia="Arial" w:hAnsi="Arial"/>
          <w:sz w:val="18"/>
          <w:szCs w:val="18"/>
          <w:i w:val="1"/>
          <w:iCs w:val="1"/>
          <w:color w:val="auto"/>
        </w:rPr>
        <w:t>www.quantumscape.com</w:t>
      </w:r>
      <w:r>
        <w:rPr>
          <w:rFonts w:ascii="Arial" w:cs="Arial" w:eastAsia="Arial" w:hAnsi="Arial"/>
          <w:sz w:val="18"/>
          <w:szCs w:val="18"/>
          <w:color w:val="auto"/>
        </w:rPr>
        <w:t>. Information accessible on or through our website is not a part of this prospectus.</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1" w:lineRule="exact"/>
        <w:rPr>
          <w:sz w:val="20"/>
          <w:szCs w:val="20"/>
          <w:color w:val="auto"/>
        </w:rPr>
      </w:pPr>
    </w:p>
    <w:p>
      <w:pPr>
        <w:ind w:left="1080" w:right="600" w:hanging="424"/>
        <w:spacing w:after="0" w:line="277" w:lineRule="auto"/>
        <w:tabs>
          <w:tab w:leader="none" w:pos="1080" w:val="left"/>
        </w:tabs>
        <w:numPr>
          <w:ilvl w:val="0"/>
          <w:numId w:val="27"/>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year ended December 31, 2021, filed with the SEC on </w:t>
      </w:r>
      <w:hyperlink r:id="rId77">
        <w:r>
          <w:rPr>
            <w:rFonts w:ascii="Arial" w:cs="Arial" w:eastAsia="Arial" w:hAnsi="Arial"/>
            <w:sz w:val="18"/>
            <w:szCs w:val="18"/>
            <w:u w:val="single" w:color="auto"/>
            <w:color w:val="0000EE"/>
          </w:rPr>
          <w:t>February 28, 2022</w:t>
        </w:r>
      </w:hyperlink>
      <w:r>
        <w:rPr>
          <w:rFonts w:ascii="Arial" w:cs="Arial" w:eastAsia="Arial" w:hAnsi="Arial"/>
          <w:sz w:val="18"/>
          <w:szCs w:val="18"/>
          <w:color w:val="auto"/>
        </w:rPr>
        <w:t xml:space="preserve">, as amended on </w:t>
      </w:r>
      <w:hyperlink r:id="rId78">
        <w:r>
          <w:rPr>
            <w:rFonts w:ascii="Arial" w:cs="Arial" w:eastAsia="Arial" w:hAnsi="Arial"/>
            <w:sz w:val="18"/>
            <w:szCs w:val="18"/>
            <w:u w:val="single" w:color="auto"/>
            <w:color w:val="0000EE"/>
          </w:rPr>
          <w:t>April 6, 2022</w:t>
        </w:r>
      </w:hyperlink>
      <w:r>
        <w:rPr>
          <w:rFonts w:ascii="Arial" w:cs="Arial" w:eastAsia="Arial" w:hAnsi="Arial"/>
          <w:sz w:val="18"/>
          <w:szCs w:val="18"/>
          <w:color w:val="000000"/>
        </w:rPr>
        <w:t>;</w:t>
      </w:r>
    </w:p>
    <w:p>
      <w:pPr>
        <w:spacing w:after="0" w:line="10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77" w:lineRule="auto"/>
        <w:tabs>
          <w:tab w:leader="none" w:pos="108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2022 and June 30, 2022, filed with the SEC on </w:t>
      </w:r>
      <w:hyperlink r:id="rId80">
        <w:r>
          <w:rPr>
            <w:rFonts w:ascii="Arial" w:cs="Arial" w:eastAsia="Arial" w:hAnsi="Arial"/>
            <w:sz w:val="18"/>
            <w:szCs w:val="18"/>
            <w:u w:val="single" w:color="auto"/>
            <w:color w:val="0000EE"/>
          </w:rPr>
          <w:t>May 2,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1">
        <w:r>
          <w:rPr>
            <w:rFonts w:ascii="Arial" w:cs="Arial" w:eastAsia="Arial" w:hAnsi="Arial"/>
            <w:sz w:val="18"/>
            <w:szCs w:val="18"/>
            <w:u w:val="single" w:color="auto"/>
            <w:color w:val="0000EE"/>
          </w:rPr>
          <w:t>July 29,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hanging="424"/>
        <w:spacing w:after="0" w:line="308" w:lineRule="auto"/>
        <w:tabs>
          <w:tab w:leader="none" w:pos="1080" w:val="left"/>
        </w:tabs>
        <w:numPr>
          <w:ilvl w:val="0"/>
          <w:numId w:val="28"/>
        </w:numPr>
        <w:rPr>
          <w:rFonts w:ascii="Arial" w:cs="Arial" w:eastAsia="Arial" w:hAnsi="Arial"/>
          <w:sz w:val="17"/>
          <w:szCs w:val="17"/>
          <w:color w:val="0000EE"/>
        </w:rPr>
      </w:pPr>
      <w:hyperlink r:id="rId82">
        <w:r>
          <w:rPr>
            <w:rFonts w:ascii="Arial" w:cs="Arial" w:eastAsia="Arial" w:hAnsi="Arial"/>
            <w:sz w:val="17"/>
            <w:szCs w:val="17"/>
            <w:color w:val="auto"/>
          </w:rPr>
          <w:t xml:space="preserve">our Current Reports on Form 8-K filed </w:t>
        </w:r>
        <w:r>
          <w:rPr>
            <w:rFonts w:ascii="Arial" w:cs="Arial" w:eastAsia="Arial" w:hAnsi="Arial"/>
            <w:sz w:val="17"/>
            <w:szCs w:val="17"/>
            <w:u w:val="single" w:color="auto"/>
            <w:color w:val="0000EE"/>
          </w:rPr>
          <w:t>January 5,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January 21,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11,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 1,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April 20, 2022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May 23,</w:t>
        </w:r>
      </w:hyperlink>
      <w:r>
        <w:rPr>
          <w:rFonts w:ascii="Arial" w:cs="Arial" w:eastAsia="Arial" w:hAnsi="Arial"/>
          <w:sz w:val="17"/>
          <w:szCs w:val="17"/>
          <w:color w:val="auto"/>
        </w:rPr>
        <w:t xml:space="preserve"> </w:t>
      </w:r>
      <w:hyperlink r:id="rId82">
        <w:r>
          <w:rPr>
            <w:rFonts w:ascii="Arial" w:cs="Arial" w:eastAsia="Arial" w:hAnsi="Arial"/>
            <w:sz w:val="17"/>
            <w:szCs w:val="17"/>
            <w:u w:val="single" w:color="auto"/>
            <w:color w:val="0000EE"/>
          </w:rPr>
          <w:t>2022</w:t>
        </w:r>
        <w:r>
          <w:rPr>
            <w:rFonts w:ascii="Arial" w:cs="Arial" w:eastAsia="Arial" w:hAnsi="Arial"/>
            <w:sz w:val="17"/>
            <w:szCs w:val="17"/>
            <w:color w:val="0000EE"/>
          </w:rPr>
          <w:t xml:space="preserve"> </w:t>
        </w:r>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83">
        <w:r>
          <w:rPr>
            <w:rFonts w:ascii="Arial" w:cs="Arial" w:eastAsia="Arial" w:hAnsi="Arial"/>
            <w:sz w:val="17"/>
            <w:szCs w:val="17"/>
            <w:u w:val="single" w:color="auto"/>
            <w:color w:val="0000EE"/>
          </w:rPr>
          <w:t xml:space="preserve">June 10, 2022 </w:t>
        </w:r>
      </w:hyperlink>
      <w:hyperlink r:id="rId82">
        <w:r>
          <w:rPr>
            <w:rFonts w:ascii="Arial" w:cs="Arial" w:eastAsia="Arial" w:hAnsi="Arial"/>
            <w:sz w:val="17"/>
            <w:szCs w:val="17"/>
            <w:color w:val="000000"/>
          </w:rPr>
          <w:t>(excluding any information furnished in such reports under Item 2.02, Item 7.01 or Item 9.01); and</w:t>
        </w:r>
      </w:hyperlink>
    </w:p>
    <w:p>
      <w:pPr>
        <w:spacing w:after="0" w:line="51" w:lineRule="exact"/>
        <w:rPr>
          <w:rFonts w:ascii="Arial" w:cs="Arial" w:eastAsia="Arial" w:hAnsi="Arial"/>
          <w:sz w:val="17"/>
          <w:szCs w:val="17"/>
          <w:color w:val="0000EE"/>
        </w:rPr>
      </w:pPr>
    </w:p>
    <w:p>
      <w:pPr>
        <w:ind w:left="1080" w:right="12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our registration statement on Form 8-A, filed with the SEC on </w:t>
      </w:r>
      <w:hyperlink r:id="rId41">
        <w:r>
          <w:rPr>
            <w:rFonts w:ascii="Arial" w:cs="Arial" w:eastAsia="Arial" w:hAnsi="Arial"/>
            <w:sz w:val="16"/>
            <w:szCs w:val="16"/>
            <w:u w:val="single" w:color="auto"/>
            <w:color w:val="0000EE"/>
          </w:rPr>
          <w:t>June 24, 2020</w:t>
        </w:r>
      </w:hyperlink>
      <w:r>
        <w:rPr>
          <w:rFonts w:ascii="Arial" w:cs="Arial" w:eastAsia="Arial" w:hAnsi="Arial"/>
          <w:sz w:val="16"/>
          <w:szCs w:val="16"/>
          <w:color w:val="auto"/>
        </w:rPr>
        <w:t xml:space="preserve">, and any amendment or report filed with the SEC for the purpose of updating the description, including </w:t>
      </w:r>
      <w:hyperlink r:id="rId42">
        <w:r>
          <w:rPr>
            <w:rFonts w:ascii="Arial" w:cs="Arial" w:eastAsia="Arial" w:hAnsi="Arial"/>
            <w:sz w:val="16"/>
            <w:szCs w:val="16"/>
            <w:u w:val="single" w:color="auto"/>
            <w:color w:val="0000EE"/>
          </w:rPr>
          <w:t>Exhibit 4.4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Annual Report.</w:t>
      </w:r>
    </w:p>
    <w:p>
      <w:pPr>
        <w:spacing w:after="0" w:line="124"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25" w:lineRule="exact"/>
        <w:rPr>
          <w:rFonts w:ascii="Arial" w:cs="Arial" w:eastAsia="Arial" w:hAnsi="Arial"/>
          <w:sz w:val="16"/>
          <w:szCs w:val="16"/>
          <w:color w:val="auto"/>
        </w:rPr>
      </w:pPr>
    </w:p>
    <w:p>
      <w:pPr>
        <w:jc w:val="center"/>
        <w:ind w:right="-199"/>
        <w:spacing w:after="0"/>
        <w:rPr>
          <w:sz w:val="20"/>
          <w:szCs w:val="20"/>
          <w:color w:val="auto"/>
        </w:rPr>
      </w:pPr>
      <w:r>
        <w:rPr>
          <w:rFonts w:ascii="Arial" w:cs="Arial" w:eastAsia="Arial" w:hAnsi="Arial"/>
          <w:sz w:val="18"/>
          <w:szCs w:val="18"/>
          <w:color w:val="auto"/>
        </w:rPr>
        <w:t>QuantumScape Corporation</w:t>
      </w:r>
    </w:p>
    <w:p>
      <w:pPr>
        <w:spacing w:after="0" w:line="23" w:lineRule="exact"/>
        <w:rPr>
          <w:rFonts w:ascii="Arial" w:cs="Arial" w:eastAsia="Arial" w:hAnsi="Arial"/>
          <w:sz w:val="16"/>
          <w:szCs w:val="16"/>
          <w:color w:val="auto"/>
        </w:rPr>
      </w:pPr>
    </w:p>
    <w:p>
      <w:pPr>
        <w:jc w:val="center"/>
        <w:ind w:right="-199"/>
        <w:spacing w:after="0"/>
        <w:rPr>
          <w:sz w:val="20"/>
          <w:szCs w:val="20"/>
          <w:color w:val="auto"/>
        </w:rPr>
      </w:pPr>
      <w:r>
        <w:rPr>
          <w:rFonts w:ascii="Arial" w:cs="Arial" w:eastAsia="Arial" w:hAnsi="Arial"/>
          <w:sz w:val="18"/>
          <w:szCs w:val="18"/>
          <w:color w:val="auto"/>
        </w:rPr>
        <w:t>1730 Technology Drive</w:t>
      </w:r>
    </w:p>
    <w:p>
      <w:pPr>
        <w:spacing w:after="0" w:line="9" w:lineRule="exact"/>
        <w:rPr>
          <w:rFonts w:ascii="Arial" w:cs="Arial" w:eastAsia="Arial" w:hAnsi="Arial"/>
          <w:sz w:val="16"/>
          <w:szCs w:val="16"/>
          <w:color w:val="auto"/>
        </w:rPr>
      </w:pPr>
    </w:p>
    <w:p>
      <w:pPr>
        <w:jc w:val="center"/>
        <w:ind w:right="-199"/>
        <w:spacing w:after="0"/>
        <w:rPr>
          <w:sz w:val="20"/>
          <w:szCs w:val="20"/>
          <w:color w:val="auto"/>
        </w:rPr>
      </w:pPr>
      <w:r>
        <w:rPr>
          <w:rFonts w:ascii="Arial" w:cs="Arial" w:eastAsia="Arial" w:hAnsi="Arial"/>
          <w:sz w:val="18"/>
          <w:szCs w:val="18"/>
          <w:color w:val="auto"/>
        </w:rPr>
        <w:t>San Jose, California 95110</w:t>
      </w:r>
    </w:p>
    <w:p>
      <w:pPr>
        <w:spacing w:after="0" w:line="9" w:lineRule="exact"/>
        <w:rPr>
          <w:rFonts w:ascii="Arial" w:cs="Arial" w:eastAsia="Arial" w:hAnsi="Arial"/>
          <w:sz w:val="16"/>
          <w:szCs w:val="16"/>
          <w:color w:val="auto"/>
        </w:rPr>
      </w:pPr>
    </w:p>
    <w:p>
      <w:pPr>
        <w:jc w:val="center"/>
        <w:ind w:right="-19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6"/>
          <w:szCs w:val="16"/>
          <w:color w:val="auto"/>
        </w:rPr>
      </w:pPr>
    </w:p>
    <w:p>
      <w:pPr>
        <w:ind w:left="5500" w:hanging="438"/>
        <w:spacing w:after="0"/>
        <w:tabs>
          <w:tab w:leader="none" w:pos="5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452-2000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060"/>
          </w:cols>
          <w:pgMar w:left="320" w:top="459" w:right="5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1780"/>
        <w:spacing w:after="0"/>
        <w:rPr>
          <w:sz w:val="20"/>
          <w:szCs w:val="20"/>
          <w:color w:val="auto"/>
        </w:rPr>
      </w:pPr>
      <w:r>
        <w:rPr>
          <w:rFonts w:ascii="Arial" w:cs="Arial" w:eastAsia="Arial" w:hAnsi="Arial"/>
          <w:sz w:val="29"/>
          <w:szCs w:val="29"/>
          <w:b w:val="1"/>
          <w:bCs w:val="1"/>
          <w:color w:val="auto"/>
        </w:rPr>
        <w:t>Up to $400,000,000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254635</wp:posOffset>
            </wp:positionV>
            <wp:extent cx="1731645" cy="668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17316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6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1143635</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0"/>
          </w:cols>
          <w:pgMar w:left="320" w:top="45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40"/>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Cowen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Deutsche Bank</w:t>
      </w:r>
    </w:p>
    <w:p>
      <w:pPr>
        <w:spacing w:after="0" w:line="72"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859790</wp:posOffset>
            </wp:positionV>
            <wp:extent cx="1474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UBS Investment Bank</w:t>
      </w:r>
    </w:p>
    <w:p>
      <w:pPr>
        <w:spacing w:after="0" w:line="559" w:lineRule="exact"/>
        <w:rPr>
          <w:sz w:val="20"/>
          <w:szCs w:val="20"/>
          <w:color w:val="auto"/>
        </w:rPr>
      </w:pPr>
    </w:p>
    <w:p>
      <w:pPr>
        <w:sectPr>
          <w:pgSz w:w="11900" w:h="16838" w:orient="portrait"/>
          <w:cols w:equalWidth="0" w:num="4">
            <w:col w:w="2600" w:space="720"/>
            <w:col w:w="1480" w:space="720"/>
            <w:col w:w="2120" w:space="720"/>
            <w:col w:w="2380"/>
          </w:cols>
          <w:pgMar w:left="320" w:top="459"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99"/>
        <w:spacing w:after="0"/>
        <w:rPr>
          <w:sz w:val="20"/>
          <w:szCs w:val="20"/>
          <w:color w:val="auto"/>
        </w:rPr>
      </w:pPr>
      <w:r>
        <w:rPr>
          <w:rFonts w:ascii="Arial" w:cs="Arial" w:eastAsia="Arial" w:hAnsi="Arial"/>
          <w:sz w:val="16"/>
          <w:szCs w:val="16"/>
          <w:b w:val="1"/>
          <w:bCs w:val="1"/>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2166620</wp:posOffset>
            </wp:positionV>
            <wp:extent cx="6995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2226310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740"/>
      </w:cols>
      <w:pgMar w:left="320" w:top="459" w:right="8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jpe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9"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jpe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36" Type="http://schemas.openxmlformats.org/officeDocument/2006/relationships/hyperlink" Target="http://www.sec.gov/ix?doc=/Archives/edgar/data/1811414/000095017023005129/qs-20221231.htm" TargetMode="External"/><Relationship Id="rId37" Type="http://schemas.openxmlformats.org/officeDocument/2006/relationships/hyperlink" Target="http://www.sec.gov/ix?doc=/Archives/edgar/data/0001811414/000095017023002396/qs-20230209.htm" TargetMode="External"/><Relationship Id="rId38" Type="http://schemas.openxmlformats.org/officeDocument/2006/relationships/hyperlink" Target="http://www.sec.gov/ix?doc=/Archives/edgar/data/0001811414/000095017023002398/qs-20230209.htm" TargetMode="External"/><Relationship Id="rId39" Type="http://schemas.openxmlformats.org/officeDocument/2006/relationships/hyperlink" Target="http://www.sec.gov/ix?doc=/Archives/edgar/data/0001811414/000095017023002626/qs-20230210.htm" TargetMode="External"/><Relationship Id="rId40" Type="http://schemas.openxmlformats.org/officeDocument/2006/relationships/hyperlink" Target="http://www.sec.gov/ix?doc=/Archives/edgar/data/0001811414/000095017023004820/qs-20230227.htm" TargetMode="External"/><Relationship Id="rId41" Type="http://schemas.openxmlformats.org/officeDocument/2006/relationships/hyperlink" Target="http://www.sec.gov/Archives/edgar/data/1811414/000095012320006374/cik1811414-8A_20200624.htm" TargetMode="External"/><Relationship Id="rId42" Type="http://schemas.openxmlformats.org/officeDocument/2006/relationships/hyperlink" Target="http://www.sec.gov/Archives/edgar/data/1811414/000095017022002330/qs-ex4_4.htm" TargetMode="External"/><Relationship Id="rId77" Type="http://schemas.openxmlformats.org/officeDocument/2006/relationships/hyperlink" Target="http://www.sec.gov/ix?doc=/Archives/edgar/data/1811414/000095017022002330/qs-20211231.htm" TargetMode="External"/><Relationship Id="rId78" Type="http://schemas.openxmlformats.org/officeDocument/2006/relationships/hyperlink" Target="http://www.sec.gov/ix?doc=/Archives/edgar/data/1811414/000119312522097451/d276774d10ka.htm" TargetMode="External"/><Relationship Id="rId80" Type="http://schemas.openxmlformats.org/officeDocument/2006/relationships/hyperlink" Target="http://www.sec.gov/ix?doc=/Archives/edgar/data/1811414/000095017022006871/qs-20220331.htm" TargetMode="External"/><Relationship Id="rId81" Type="http://schemas.openxmlformats.org/officeDocument/2006/relationships/hyperlink" Target="http://www.sec.gov/ix?doc=/Archives/edgar/data/0001811414/000095017022013499/qs-20220630.htm" TargetMode="External"/><Relationship Id="rId82" Type="http://schemas.openxmlformats.org/officeDocument/2006/relationships/hyperlink" Target="http://www.sec.gov/ix?doc=/Archives/edgar/data/0001811414/000095017022010424/qs-20220523.htm" TargetMode="External"/><Relationship Id="rId83" Type="http://schemas.openxmlformats.org/officeDocument/2006/relationships/hyperlink" Target="http://www.sec.gov/ix?doc=/Archives/edgar/data/1811414/000095017022011492/qs-202206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2023-02-28T21:57:59Z</dcterms:created>
  <dcterms:modified xsi:type="dcterms:W3CDTF">2023-02-28T21:57:59Z</dcterms:modified>
</cp:coreProperties>
</file>