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Singh Mohit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0"/>
        <w:spacing w:after="0" w:line="320" w:lineRule="auto"/>
        <w:rPr>
          <w:sz w:val="20"/>
          <w:szCs w:val="20"/>
          <w:color w:val="auto"/>
        </w:rPr>
      </w:pPr>
      <w:r>
        <w:rPr>
          <w:rFonts w:ascii="Times New Roman" w:cs="Times New Roman" w:eastAsia="Times New Roman" w:hAnsi="Times New Roman"/>
          <w:sz w:val="17"/>
          <w:szCs w:val="17"/>
          <w:color w:val="0000FF"/>
        </w:rPr>
        <w:t>C/O QUANTUMSCAPE CORPORATION 1730 TECHNOLOGY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QuantumScape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QS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11/18/2024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285"/>
        <w:spacing w:after="0"/>
        <w:rPr>
          <w:sz w:val="20"/>
          <w:szCs w:val="20"/>
          <w:color w:val="auto"/>
        </w:rPr>
      </w:pPr>
      <w:r>
        <w:rPr>
          <w:rFonts w:ascii="Times New Roman" w:cs="Times New Roman" w:eastAsia="Times New Roman" w:hAnsi="Times New Roman"/>
          <w:sz w:val="17"/>
          <w:szCs w:val="17"/>
          <w:color w:val="0000FF"/>
        </w:rPr>
        <w:t>CHIEF DEVELOPMENT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JOSE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95110</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11/18/2024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28,696</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4.7509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1,116,263</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sale to cover tax obligations on the release of restricted stock units ("RSUs").</w:t>
      </w:r>
    </w:p>
    <w:p>
      <w:pPr>
        <w:spacing w:after="0" w:line="5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$4.66 to $4.82,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913,409 shares represented by RSUs and performance restricted stock units ("PSUs"). Each RSU/PSU represents the Reporting Person's right to receive one share of Class A Common Stock of the Issuer. The RSUs vest each quarter and the PSUs vest upon achievement of certain performance milestones, in both cases subject to the Reporting Person's continued service as of each vesting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O McCarthy III,</w:t>
            </w:r>
          </w:p>
        </w:tc>
        <w:tc>
          <w:tcPr>
            <w:tcW w:w="1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11/20/2024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4019" TargetMode="External"/><Relationship Id="rId14" Type="http://schemas.openxmlformats.org/officeDocument/2006/relationships/hyperlink" Target="http://www.sec.gov/cgi-bin/browse-edgar?action=getcompany&amp;CIK=00018114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2024-11-20T17:42:45Z</dcterms:created>
  <dcterms:modified xsi:type="dcterms:W3CDTF">2024-11-20T17:42:45Z</dcterms:modified>
</cp:coreProperties>
</file>