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Hettrich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20"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92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0"/>
                <w:szCs w:val="10"/>
                <w:color w:val="auto"/>
              </w:rPr>
            </w:pPr>
          </w:p>
        </w:tc>
        <w:tc>
          <w:tcPr>
            <w:tcW w:w="3340" w:type="dxa"/>
            <w:vAlign w:val="bottom"/>
            <w:gridSpan w:val="8"/>
          </w:tcPr>
          <w:p>
            <w:pPr>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19,231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5.7392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1,131,691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08/19/2024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23,542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5.7763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1,108,149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11,734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5.7241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1,096,415</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to cover tax obligations on the release of restricted stock units ("RSUs").</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$5.70 to $5.89,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$5.70 to $5.8253,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$5.66 to $5.825,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1,009,176 shares represented by RSUs and performance restricted stock units ("PSUs"). Each RSU and 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025"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2024-08-20T18:57:16Z</dcterms:created>
  <dcterms:modified xsi:type="dcterms:W3CDTF">2024-08-20T18:57:16Z</dcterms:modified>
</cp:coreProperties>
</file>