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s-20260930.htm"/>
      <w:bookmarkStart w:id="1" w:name="ksqs2026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001-39345</w:t>
      </w:r>
    </w:p>
    <w:p>
      <w:pPr>
        <w:pStyle w:val="TextBody"/>
        <w:bidi w:val="0"/>
        <w:jc w:val="center"/>
        <w:rPr/>
      </w:pPr>
      <w:r>
        <w:rPr/>
        <w:t> </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QUANTUMSCAPE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85-0796578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1730 Technology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452-2000</w:t>
      </w:r>
    </w:p>
    <w:p>
      <w:pPr>
        <w:pStyle w:val="TextBody"/>
        <w:pBdr>
          <w:bottom w:val="single" w:sz="4" w:space="1" w:color="000000"/>
        </w:pBdr>
        <w:bidi w:val="0"/>
        <w:spacing w:before="40" w:after="283"/>
        <w:jc w:val="center"/>
        <w:rPr/>
      </w:pPr>
      <w:r>
        <w:rPr/>
        <w:t> </w:t>
      </w:r>
    </w:p>
    <w:p>
      <w:pPr>
        <w:pStyle w:val="TextBody"/>
        <w:bidi w:val="0"/>
        <w:spacing w:before="80" w:after="283"/>
        <w:jc w:val="center"/>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center"/>
        <w:rPr/>
      </w:pPr>
      <w:r>
        <w:rPr/>
        <w:t> </w:t>
      </w:r>
    </w:p>
    <w:tbl>
      <w:tblPr>
        <w:tblW w:w="9055" w:type="dxa"/>
        <w:jc w:val="left"/>
        <w:tblInd w:w="0" w:type="dxa"/>
        <w:tblLayout w:type="fixed"/>
        <w:tblCellMar>
          <w:top w:w="28" w:type="dxa"/>
          <w:left w:w="28" w:type="dxa"/>
          <w:bottom w:w="28" w:type="dxa"/>
          <w:right w:w="28" w:type="dxa"/>
        </w:tblCellMar>
      </w:tblPr>
      <w:tblGrid>
        <w:gridCol w:w="3946"/>
        <w:gridCol w:w="146"/>
        <w:gridCol w:w="1501"/>
        <w:gridCol w:w="146"/>
        <w:gridCol w:w="33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16"/>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16"/>
        </w:rPr>
        <w:t>☒</w:t>
      </w:r>
    </w:p>
    <w:p>
      <w:pPr>
        <w:pStyle w:val="TextBody"/>
        <w:pBdr>
          <w:bottom w:val="double" w:sz="6" w:space="1" w:color="000000"/>
        </w:pBdr>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Class A Common Stock, par value $0.0001 per share outstanding was 590,302,892, and the number of shares of the registrant’s Class B Common Stock, par value $0.0001 per share outstanding was 31,755,903, as of October 14, 2026.</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635" w:type="dxa"/>
        <w:jc w:val="left"/>
        <w:tblInd w:w="0" w:type="dxa"/>
        <w:tblLayout w:type="fixed"/>
        <w:tblCellMar>
          <w:top w:w="28" w:type="dxa"/>
          <w:left w:w="28" w:type="dxa"/>
          <w:bottom w:w="28" w:type="dxa"/>
          <w:right w:w="28" w:type="dxa"/>
        </w:tblCellMar>
      </w:tblPr>
      <w:tblGrid>
        <w:gridCol w:w="886"/>
        <w:gridCol w:w="8101"/>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stateme">
              <w:r>
                <w:rPr>
                  <w:rStyle w:val="InternetLink"/>
                  <w:rFonts w:ascii="Times New Roman" w:hAnsi="Times New Roman"/>
                  <w:color w:val="0563C1"/>
                  <w:sz w:val="20"/>
                  <w:u w:val="single"/>
                </w:rPr>
                <w:t>Condensed Consolidated Statements of Operations and Comprehensive Income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equity">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ash_flow">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Unless the context otherwise requires, all references to “QuantumScape,” “we,” “us,” “our,” or the “Company” in this Quarterly Report on Form 10-Q (this “Report”) refer to QuantumScape Corporation and its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the development of the Company’s battery technology,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“prospective,”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risks and uncertainties, including those described in Part II, Item 1A, “Risk Factors” in this Report, most of which are difficult to predict and many of which are beyond the control of the Company and incidental to its business.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a number of known and unknown risks and uncertainties, the Company’s actual results or performance may be materially different from those expressed or implied by these forward-looking statements. Some factors that could cause actual results to differ include those discussed in Part II, Item 1A, “Risk Factors” in this Report and in our other filings with the Securities and Exchange Commission (“SEC”). </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and contingencies (see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 shares authorized, none issued and outstanding as of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$0.0001 par value; 1,250,000 shares authorized (1,000,000 Class A and 250,000 Class B); 590,244 Class A and 31,815 Class B shares issued and outstanding as of September 30, 2026, 570,128 Class A and 37,502 Class B shares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4,961,832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4231"/>
        <w:gridCol w:w="146"/>
        <w:gridCol w:w="231"/>
        <w:gridCol w:w="857"/>
        <w:gridCol w:w="182"/>
        <w:gridCol w:w="160"/>
        <w:gridCol w:w="231"/>
        <w:gridCol w:w="923"/>
        <w:gridCol w:w="166"/>
        <w:gridCol w:w="146"/>
        <w:gridCol w:w="221"/>
        <w:gridCol w:w="884"/>
        <w:gridCol w:w="174"/>
        <w:gridCol w:w="153"/>
        <w:gridCol w:w="221"/>
        <w:gridCol w:w="884"/>
        <w:gridCol w:w="395"/>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288,840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307,730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(307,730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(333,751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(334,830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620,557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616,251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566,293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6" w:name="unaudited_condensed_equity"/>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899"/>
        <w:gridCol w:w="146"/>
        <w:gridCol w:w="146"/>
        <w:gridCol w:w="601"/>
        <w:gridCol w:w="146"/>
        <w:gridCol w:w="146"/>
        <w:gridCol w:w="216"/>
        <w:gridCol w:w="415"/>
        <w:gridCol w:w="146"/>
        <w:gridCol w:w="146"/>
        <w:gridCol w:w="181"/>
        <w:gridCol w:w="721"/>
        <w:gridCol w:w="146"/>
        <w:gridCol w:w="146"/>
        <w:gridCol w:w="181"/>
        <w:gridCol w:w="766"/>
        <w:gridCol w:w="151"/>
        <w:gridCol w:w="146"/>
        <w:gridCol w:w="293"/>
        <w:gridCol w:w="803"/>
        <w:gridCol w:w="151"/>
        <w:gridCol w:w="146"/>
        <w:gridCol w:w="193"/>
        <w:gridCol w:w="777"/>
        <w:gridCol w:w="397"/>
      </w:tblGrid>
      <w:tr>
        <w:trPr/>
        <w:tc>
          <w:tcPr>
            <w:tcW w:w="2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Months Ended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619,109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5,041,507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(3,992,603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1,047,972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14,333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Capital contribution under collaboration agreement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(84,477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622,059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5,074,451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(4,077,080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995,344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Nine Months Ended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607,630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4,961,832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(3,793,564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1,168,973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16,742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63,307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Capital contribution under collaboration agreement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28,856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(283,516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(283,516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622,059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5,074,451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(4,077,080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995,344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99"/>
        <w:gridCol w:w="146"/>
        <w:gridCol w:w="146"/>
        <w:gridCol w:w="601"/>
        <w:gridCol w:w="146"/>
        <w:gridCol w:w="146"/>
        <w:gridCol w:w="216"/>
        <w:gridCol w:w="415"/>
        <w:gridCol w:w="146"/>
        <w:gridCol w:w="146"/>
        <w:gridCol w:w="181"/>
        <w:gridCol w:w="721"/>
        <w:gridCol w:w="146"/>
        <w:gridCol w:w="146"/>
        <w:gridCol w:w="181"/>
        <w:gridCol w:w="766"/>
        <w:gridCol w:w="151"/>
        <w:gridCol w:w="146"/>
        <w:gridCol w:w="356"/>
        <w:gridCol w:w="740"/>
        <w:gridCol w:w="151"/>
        <w:gridCol w:w="146"/>
        <w:gridCol w:w="193"/>
        <w:gridCol w:w="777"/>
        <w:gridCol w:w="397"/>
      </w:tblGrid>
      <w:tr>
        <w:trPr/>
        <w:tc>
          <w:tcPr>
            <w:tcW w:w="2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4,612,488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(3,587,635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1,024,796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under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263,269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24,840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(105,824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601,148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4,908,604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(3,693,459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1,215,748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542,549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4,515,879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(3,358,514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1,157,847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under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264,176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84,645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(334,945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601,148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4,908,604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(3,693,459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1,215,748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7" w:name="unaudited_condensed_cash_flow"/>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9856" w:type="dxa"/>
        <w:jc w:val="left"/>
        <w:tblInd w:w="0" w:type="dxa"/>
        <w:tblLayout w:type="fixed"/>
        <w:tblCellMar>
          <w:top w:w="28" w:type="dxa"/>
          <w:left w:w="28" w:type="dxa"/>
          <w:bottom w:w="28" w:type="dxa"/>
          <w:right w:w="28" w:type="dxa"/>
        </w:tblCellMar>
      </w:tblPr>
      <w:tblGrid>
        <w:gridCol w:w="6561"/>
        <w:gridCol w:w="146"/>
        <w:gridCol w:w="146"/>
        <w:gridCol w:w="226"/>
        <w:gridCol w:w="903"/>
        <w:gridCol w:w="178"/>
        <w:gridCol w:w="156"/>
        <w:gridCol w:w="226"/>
        <w:gridCol w:w="903"/>
        <w:gridCol w:w="411"/>
      </w:tblGrid>
      <w:tr>
        <w:trPr/>
        <w:tc>
          <w:tcPr>
            <w:tcW w:w="6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 and 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liabilities and 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(171,319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689,168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(684,299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issuance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 for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under collaboration agreement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28,856</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(154,906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244,179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cash, cash equivalents and restricted cash by category in the Company’s Condensed Consolidated Balance Sheets (Unaudited) (amounts in thousands):</w:t>
      </w:r>
    </w:p>
    <w:tbl>
      <w:tblPr>
        <w:tblW w:w="6854"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78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2026</w:t>
      </w:r>
    </w:p>
    <w:p>
      <w:pPr>
        <w:pStyle w:val="TextBody"/>
        <w:bidi w:val="0"/>
        <w:spacing w:before="240" w:after="283"/>
        <w:jc w:val="both"/>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Organization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original QuantumScape Corporation, now named QuantumScape Battery, Inc. (“Legacy QuantumScape”), a wholly owned subsidiary of the Company (as defined below), was founded in 2010 with the mission to revolutionize energy storage to enable a sustainable future. In 2020, QuantumScape became a publicly traded company through a business combination, after which QuantumScape Battery, Inc. became a wholly owned subsidiary of QuantumScape Corporation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focused on the development and commercialization of its solid-state lithium-metal battery technology. Planned principal operations have not yet commenced. As of September 30, 2026, the Company had not derived revenue from its principal business activities. </w:t>
      </w:r>
    </w:p>
    <w:p>
      <w:pPr>
        <w:pStyle w:val="TextBody"/>
        <w:bidi w:val="0"/>
        <w:spacing w:before="360" w:after="283"/>
        <w:jc w:val="both"/>
        <w:rPr>
          <w:rFonts w:ascii="Times New Roman" w:hAnsi="Times New Roman"/>
          <w:sz w:val="20"/>
        </w:rPr>
      </w:pPr>
      <w:bookmarkStart w:id="9" w:name="note_2"/>
      <w:bookmarkEnd w:id="9"/>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accounting principles generally accepted in the United States of America (“U.S. GAAP”) as determined by the Financial Accounting Standards Board (the “FASB”) Accounting Standards Codification (“ASC”) and pursuant to the regulations of the U.S. Securities and Exchange Commission (the “SEC”). Certain prior period balances have been reclassified to conform to the current period presentation in the consolidated financial statements and the accompanying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2012, the Company has had a relationship with the Volkswagen Group, including its affiliates Volkswagen Group of America, Inc. (“VWGoA”) and Volkswagen Group of America Investments, LLC (“VGA”), collectively referred to as “Volkswagen.” Volkswagen, as a related party, is an approximately 27.3% and 26.2% voting interest holder of the Company as of September 30, 2026 and December 31,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intercompany accounts and transactions are eliminated in consolidation. </w:t>
      </w:r>
    </w:p>
    <w:p>
      <w:pPr>
        <w:pStyle w:val="TextBody"/>
        <w:bidi w:val="0"/>
        <w:spacing w:before="12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determination of business milestone achievement dates related to stock awards with performance conditions,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interim Condensed Consolidated Balance Sheets as of September 30, 2026, the interim Condensed Consolidated Statements of Operations and Comprehensive Income (Loss), the interim Condensed Consolidated Statements of Stockholders’ Equity for the three and nine months ended September 30, 2026 and 2025, and the interim Condensed Consolidated Statements of Cash Flows for the nine months ended September 30,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September 30, 2026 and its results of operations for the three and nine months ended September 30, 2026 and 2025, and cash flows for the nine months ended September 30, 2026 and 2025. The financial data and the other financial information disclosed in the notes to these condensed consolidated financial statements related to the three-month and nine-month periods are also unaudited. The results of operations for the three and nine months ended September 30, 2026 and 2025 are not necessarily indicative of the results to be expected for the full fiscal year or any other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Company’s Annual Report on Form 10-K for the year ended December 31, 2025, filed on February 25, 2026 (the “Annual Report”).</w:t>
      </w:r>
    </w:p>
    <w:p>
      <w:pPr>
        <w:pStyle w:val="TextBody"/>
        <w:bidi w:val="0"/>
        <w:spacing w:before="120" w:after="283"/>
        <w:jc w:val="both"/>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credit risk consist principally of cash and cash equivalents and marketable securities. As of September 30, 2026 and December 31, 2025, approximately $40.3 million and $117.8 million of our total cash and cash equivalents and marketable securities, are held in U.S. money market funds, and $556.0 million and $590.8 million are invested in U.S. government and agency securities, respectively. The Company seeks to mitigate its credit risk with respect to cash and cash equivalents and marketable securities by making deposits with what we believe to be large, reputable financial institutions and investing in high credit rated shorter-term instruments. </w:t>
      </w:r>
    </w:p>
    <w:p>
      <w:pPr>
        <w:pStyle w:val="TextBody"/>
        <w:bidi w:val="0"/>
        <w:spacing w:before="120" w:after="283"/>
        <w:jc w:val="both"/>
        <w:rPr>
          <w:rFonts w:ascii="Times New Roman" w:hAnsi="Times New Roman"/>
          <w:sz w:val="20"/>
        </w:rPr>
      </w:pPr>
      <w:r>
        <w:rPr>
          <w:rFonts w:ascii="Times New Roman" w:hAnsi="Times New Roman"/>
          <w:b/>
          <w:color w:val="000000"/>
          <w:sz w:val="20"/>
        </w:rPr>
        <w:t>Cash and Cash Equivalents and Restricted Cash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considers all highly liquid investments with original maturities of three months or less to be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is maintained under an agreement that legally restricts the use of such funds and is reported within other assets as the date of availability or disbursement for all restricted cash is more than one year from September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cash is comprised of $13.7 million as of both September 30, 2026 and December 31, 2025, all of which is pledged as a form of security for the Company’s lease agreements for its facilities. The restricted cash is maintained in an interest bearing demand deposit account as of September 30, 2026. </w:t>
      </w:r>
    </w:p>
    <w:p>
      <w:pPr>
        <w:pStyle w:val="TextBody"/>
        <w:bidi w:val="0"/>
        <w:spacing w:before="120" w:after="283"/>
        <w:jc w:val="both"/>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classifies its marketable securities as available-for-sale securities. The Company does not buy and hold securities principally for the purpose of selling them in the near future. The Company’s policy is focused on the preservation of capital, liquidity, and return. From time to time, the Company may sell certain securities, but the objectives are generally not to generate profits on short-term differences in price.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securities are carried at estimated fair value with unrealized gains and losses included in other comprehensive gain/loss in stockholders’ equity until realized. Gains and losses on marketable security transactions are reported on the specific-identification method. Dividend and interest income are recognized when earned. </w:t>
      </w:r>
    </w:p>
    <w:p>
      <w:pPr>
        <w:pStyle w:val="TextBody"/>
        <w:bidi w:val="0"/>
        <w:spacing w:before="12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measured on a recurring and nonrecurring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accounting guidance established a fair value hierarchy based on three levels of inputs, of which the first two are considered observable and the last unobservable, used to determine the fair value of its financial instruments. A financial instrument’s level within the fair value hierarchy is based on the lowest level of any input that is significant to the fair value measurement.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that the entity has the ability to access.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and liabilities. </w:t>
      </w:r>
    </w:p>
    <w:p>
      <w:pPr>
        <w:pStyle w:val="TextBody"/>
        <w:bidi w:val="0"/>
        <w:spacing w:before="360" w:after="283"/>
        <w:jc w:val="both"/>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recorded at historical cost, less accumulated depreciation. Depreciation is computed using the straight-line method over the estimated useful life of the related asset. Improvements that increase functionality of the fixed asset, as well as estimated costs for asset retirement obligations, are capitalized and depreciated over the asset’s remaining useful life. Deposits for purchases of property and equipment are included in construction-in-progress. Construction-in-progress is not depreciated until the asset is placed in service. Fully depreciated assets are retained in property and equipment, net, until removed from service.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reviews the estimated useful lives of its fixed assets on an ongoing basis. The estimated useful lives of assets are generally as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76"/>
        <w:gridCol w:w="146"/>
        <w:gridCol w:w="6883"/>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3" w:type="dxa"/>
            <w:tcBorders/>
            <w:vAlign w:val="center"/>
          </w:tcPr>
          <w:p>
            <w:pPr>
              <w:pStyle w:val="TableContents"/>
              <w:bidi w:val="0"/>
              <w:spacing w:before="0" w:after="283"/>
              <w:jc w:val="left"/>
              <w:rPr>
                <w:sz w:val="4"/>
                <w:szCs w:val="4"/>
              </w:rPr>
            </w:pPr>
            <w:r>
              <w:rPr>
                <w:sz w:val="4"/>
                <w:szCs w:val="4"/>
              </w:rPr>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Computer equipment, hardware, and software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3 - 5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Furniture and fixtures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7 - 10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Machinery and equipment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3 - 10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Shorter of the lease term (including estimated renewals) or the estimated useful lives of the improvements</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evaluates the carrying value of long-lived assets when indicators of impairment exist. The carrying value of a long-lived asset is considered impaired when the estimated separately identifiable, undiscounted cash flows from such an asset are less than the carrying value of the asset. In that event, a loss is recognized based on the amount by which the carrying value exceeds the fair value of the long-lived asset. During the three and nine months ended September 30, 2026, the Company recorded approximately $2.7 million and $4.6 million in impairment charges, respectively, related to assets with no remaining future benefit. During the three and nine months ended September 30, 2025, the Company recorded approximately $9.5 million and $24.4 million in impairment charges, respectively, related to assets no longer in use. These charges are recorded in Research and Development expense in the Consolidated Statements of Operations and Comprehensive Income (Loss).</w:t>
      </w:r>
    </w:p>
    <w:p>
      <w:pPr>
        <w:pStyle w:val="TextBody"/>
        <w:bidi w:val="0"/>
        <w:spacing w:before="120" w:after="283"/>
        <w:jc w:val="both"/>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classifies arrangements meeting the definition of a lease as operating or financing leases, and leases are recorded on the Condensed Consolidated Balance Sheets as both a right-of-use (“ROU”) asset and lease liability, calculated by discounting fixed lease payments over the lease term at the rate implicit in the lease or the Company’s incremental borrowing rate which is the rate incurred to borrow on a collateralized basis over a similar term. ROU assets also include any prepaid lease payments and lease incentives. Lease liabilities are increased by interest and reduced by payments each period, and the ROU asset is reduced over the lease term. For operating leases, interest on the lease liability and the non-cash lease expense result in straight-line rent expense over the lease term. For finance leases, interest on the lease liability and the amortization of the ROU asset results in front-loaded expense over the lease term. Variable lease expenses, including common maintenance fees, insurance and property tax, are recorded when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calculating the right-of-use asset and lease liability, the Company elects to combine lease and non-lease components for all classes of assets, and elects to exclude short-term leases having terms of twelve months or less.</w:t>
      </w:r>
    </w:p>
    <w:p>
      <w:pPr>
        <w:pStyle w:val="TextBody"/>
        <w:bidi w:val="0"/>
        <w:spacing w:before="120" w:after="283"/>
        <w:jc w:val="both"/>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determined that it operates in one operating segment and one reportable segment, as the CODM reviews financial information presented on a consolidated basis. The operating segment has not derived revenue from its business activities as of September 30, 2026. The CODM uses net loss for purposes of making operating decisions, allocating resources, and evaluating financial performance. For the three and nine months ended September 30, 2026 significant expenses include non-cash stock-based compensation of $16.3 million and $74.1 million, depreciation and amortization of $12.7 million and $40.8 million, write-off of property and equipment of $2.7 million and $4.6 million, and personnel costs of $33.4 million and $104.6 million, respectively. For the three and nine months ended September 30, 2025, significant expenses include non-cash stock-based compensation of $29.2 million and $96.1 million, depreciation and amortization of $14.2 million and $52.0 million, write-off of property and equipment of $9.5 million and $24.4 million, and personnel costs of $33.4 million and $106.0 million, respectively. Other expenses include materials, facilities, other research, development, and administrative expenses, which are recorded within operating expenses. Other segment items included in consolidated net loss are interest income, interest expense, and other income (expense), which are reflected in the Consolidated Statements of Operations and Comprehensive Income (Loss) for the three and nine months ended September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long-lived assets outside of United States were not material as of September 30, 2026. The measure of segment assets is reported on the consolidated balance sheet as total assets. Refer to the Consolidated Balance Sheets as of September 30, 2026 and December 31, 2025 for total consolidated assets.</w:t>
      </w:r>
    </w:p>
    <w:p>
      <w:pPr>
        <w:pStyle w:val="TextBody"/>
        <w:bidi w:val="0"/>
        <w:spacing w:before="120" w:after="283"/>
        <w:jc w:val="both"/>
        <w:rPr>
          <w:rFonts w:ascii="Times New Roman" w:hAnsi="Times New Roman"/>
          <w:sz w:val="20"/>
        </w:rPr>
      </w:pPr>
      <w:r>
        <w:rPr>
          <w:rFonts w:ascii="Times New Roman" w:hAnsi="Times New Roman"/>
          <w:b/>
          <w:color w:val="000000"/>
          <w:sz w:val="20"/>
        </w:rPr>
        <w:t>Research and Development Cost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research and development are expensed as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represent costs incurred by the Company in managing the business, including salary, benefits, incentive compensation, marketing, insurance, professional fees and other operating costs associated with the Company’s non-research and development activities.</w:t>
      </w:r>
    </w:p>
    <w:p>
      <w:pPr>
        <w:pStyle w:val="TextBody"/>
        <w:bidi w:val="0"/>
        <w:spacing w:before="120" w:after="283"/>
        <w:jc w:val="both"/>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measures and recognizes compensation expense for all stock-based awards made to employees and directors, including stock options, restricted stock units and restricted shares, based on estimated fair values recognized over the requisite service period. The Company accounts for forfeitures when they occur. The Company recognized no stock-based compensation expense related to stock options for the three months ended September 30, 2026. Such expense was immaterial for the nine months ended September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restricted stock units granted with service conditions only are based on the closing price of the Company’s Class A Common Stock on the date of grant. The Company recognizes compensation expense for restricted stock units with only service conditions on a straight-line basis over the requisite service period of the awards, which is generally the award vesting term of four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restricted stock units granted with service and performance conditions (“Milestone PSUs”) are based on the closing price of the Company’s Class A Common Stock on the grant date. The vesting schedule of such awards is based entirely on the attainment of both service and performance conditions. Each quarter the Company assesses whether it is probable that it will achieve each performance condition and if so, the future time when the Company expects to achieve that performance condition, the “expected vesting date”. When the Company first determines that a performance condition has become probable of being achieved, the Company allocates the entire expense for the related tranche over the number of quarters between the grant date and expected vesting date, which represents the requisite service period. The requisite service period at any given time is generally the period between the grant date and the expected time when the performance condition will be achieved with the service condition also being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performance stock units with a service condition and a market condition based on the Company’s relative total shareholder return (“TSR”) measured against a designated peer group (“Market PSUs”) are estimated at the grant date using a Monte Carlo simulation model. This valuation method considers the potential range of TSR outcomes relative to the peer group over the performance period and uses assumptions including the expected volatility of the Company’s stock price for the period, risk-free interest rate, and individual correlation to the peer group. The requisite service period is the three-year performance period, and the awards vest at the end of that period subject to the grantee’s continued service through the vesting date. The number of units that ultimately vest depends on the level of the market condition achieved. The fair value of the award is determined at the grant date and is not subsequently adjusted for changes in the Company’s TSR or the likelihood of achieving the market condition. Stock-based compensation expense is recognized on a straight-line basis over the vesting term of the awards, regardless of whether the market condition is ultimately achieved.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2020 Employee Stock Purchase Plan (the “ESPP”) is compensatory in accordance with ASC 718-50-25. The Company measures and recognizes compensation expense for shares to be issued under the ESPP based on estimated grant date fair value recognized on a straight-line basis over the offering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ESPP provides eligible employees with the opportunity to purchase shares of the Company’s Class A Common Stock at a discount through payroll deductions. Stock-based compensation expense related to the ESPP was immaterial for the three and nine months ended September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established the corporate bonus plan to settle in the form of restricted stock units to eligible employees upon the achievement of certain service and performance conditions (“the Bonus Plan”). The awards under the Bonus Plan are classified as a liability prior to the settlement of vested restricted stock units, upon which the liability is reclassified into equity. The Company recognizes compensation expense for the annual Bonus Plan to be settled in restricted stock units on a straight-line basis over the requisite service period of approximately a year. The Bonus Plan awards are measured at the grant date fair value, i.e., the closing price of the Company’s Class A Common Stock on the grant date, which is the settlement date.</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income taxes under an asset and liability approach. Deferred income taxes reflect the net tax effects of temporary differences between the carrying amounts of assets and liabilities for financial reporting purposes and the amounts used for income tax purposes and operating loss carryforwards, measured by applying currently enacted tax laws. Valuation allowances are provided when necessary to reduce net deferred tax assets to an amount that is more likely than not to be realized.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tax liabilities based upon its estimate of whether, and the extent to which, additional taxes will be due when such estimates are more likely than not to be sustained. An uncertain income tax position will not be recognized if it has less than a 50% likelihood of being sustained.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no material provision for income taxes for the three and nine months ended September 30, 2026 and 2025. The Company has no material current tax expense from losses and no deferred expense from the valuation allowance. The Company’s effective tax rate differs from the U.S. statutory rate primarily due to a valuation allowance against its net deferred tax assets as it is more likely than not that some or all of the deferred tax assets will not be realized.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0" w:name="note_3"/>
      <w:bookmarkEnd w:id="10"/>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3. 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Recent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Accounting Standards Update (“ASU”) 2024-03, Income Statement—Reporting Comprehensive Income—Expense Disaggregation Disclosures (Subtopic 220-40): Disaggregation of Income Statement Expenses, which requires disclosure of specified information about certain costs and expenses in the notes to financial statements at interim and annual reporting periods. The ASU is effective for all public business entities for annual periods beginning after December 15, 2026 and interim periods within annual reporting periods beginning after December 15, 2027. Early adoption is permitted for annual financial statements that have not yet been issued or made available for issuance. The Company is currently evaluating the impact that the adoption of this standard will have on its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which eliminates accounting consideration of software project development stages and clarifies the threshold applied to begin capitalizing costs. The ASU is effective for fiscal years beginning after December 15, 2027 and interim periods within those fiscal years, and permits prospective, modified prospective, or retrospective adoption. Early adoption is permitted. The Company is currently evaluating the impact of this guidance on its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FASB issued ASU 2025-10, Government Grants (Topic 832): Accounting for Government Grants Received by Business Entities, which provides updated guidance on how to recognize, measure, and present government grants. The ASU is effective for all public business entities for annual reporting periods beginning after December 15, 2028, and interim reporting periods within those annual reporting periods. Early adoption is permitted. The Company is currently evaluating the impact of this guidance on its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clarifies interim disclosure requirements and the applicability of Topic 270. The ASU also includes a disclosure principle that requires entities to disclose events since the end of the last annual reporting period that have a material impact on the entity. The ASU is effective all public business entities for interim periods within annual reporting periods beginning after December 15, 2027. Early adoption is permitted. The Company is currently evaluating the impact of this guidance on its consolidated financial statements.</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assets subject to fair value measurements on a recurring basis and the level of inputs used for such measurements were as follows (amounts in thousands):</w:t>
      </w:r>
    </w:p>
    <w:tbl>
      <w:tblPr>
        <w:tblW w:w="8950" w:type="dxa"/>
        <w:jc w:val="left"/>
        <w:tblInd w:w="0" w:type="dxa"/>
        <w:tblLayout w:type="fixed"/>
        <w:tblCellMar>
          <w:top w:w="28" w:type="dxa"/>
          <w:left w:w="28" w:type="dxa"/>
          <w:bottom w:w="28" w:type="dxa"/>
          <w:right w:w="28" w:type="dxa"/>
        </w:tblCellMar>
      </w:tblPr>
      <w:tblGrid>
        <w:gridCol w:w="3621"/>
        <w:gridCol w:w="146"/>
        <w:gridCol w:w="325"/>
        <w:gridCol w:w="1204"/>
        <w:gridCol w:w="225"/>
        <w:gridCol w:w="225"/>
        <w:gridCol w:w="325"/>
        <w:gridCol w:w="1204"/>
        <w:gridCol w:w="146"/>
        <w:gridCol w:w="146"/>
        <w:gridCol w:w="211"/>
        <w:gridCol w:w="781"/>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U.S. government and agency securities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Corporate notes and bonds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U.S. government and agency securities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Corporate notes and bonds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Money market funds are included in cash and cash equivalents on the Condensed Consolidated Balance Sheets.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Marketable securities consist of commercial paper, U.S. government and agency securities, corporate notes and bonds. As of September 30, 2026 and December 31, 2025, marketable securities with original maturities of three months or less of $24.9 million and $91.2 million, respectively, are included in cash and cash equivalents on the Condensed Consolidated Balance Sheets.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Level 1 assets:</w:t>
      </w:r>
      <w:r>
        <w:rPr>
          <w:rFonts w:ascii="Times New Roman" w:hAnsi="Times New Roman"/>
          <w:color w:val="000000"/>
          <w:sz w:val="20"/>
        </w:rPr>
        <w:t xml:space="preserve"> Money market funds are classified as Level 1 within the fair value hierarchy, as fair value is based on unadjusted quoted prices in active markets for identical assets.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assets: </w:t>
      </w:r>
      <w:r>
        <w:rPr>
          <w:rFonts w:ascii="Times New Roman" w:hAnsi="Times New Roman"/>
          <w:color w:val="000000"/>
          <w:sz w:val="20"/>
        </w:rPr>
        <w:t>Investments in commercial paper, U.S. government and agency securities, and corporate notes and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no financial liabilities subject to fair value measurements on a recurring basis as of September 30, 2026 and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to the valuation methods utilized during the nine months ended September 30, 2026. As of September 30, 2026 and December 31, 2025, the carrying values of cash and cash equivalents, accounts payable and accrued liabilities approximate their respective fair values due to their short-term nature.</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by major security type, the Company’s assets that are measured at fair value on a recurring basis and are categorized using the fair value hierarchy. Amortized cost net of unrealized gain (loss) is equal to fair value as of September 30, 2026 and December 31, 2025. The fair value as of September 30, 2026 and December 31, 2025 are as follows (amounts in thousands):</w:t>
      </w:r>
    </w:p>
    <w:tbl>
      <w:tblPr>
        <w:tblW w:w="9573" w:type="dxa"/>
        <w:jc w:val="left"/>
        <w:tblInd w:w="0" w:type="dxa"/>
        <w:tblLayout w:type="fixed"/>
        <w:tblCellMar>
          <w:top w:w="28" w:type="dxa"/>
          <w:left w:w="28" w:type="dxa"/>
          <w:bottom w:w="28" w:type="dxa"/>
          <w:right w:w="28" w:type="dxa"/>
        </w:tblCellMar>
      </w:tblPr>
      <w:tblGrid>
        <w:gridCol w:w="3456"/>
        <w:gridCol w:w="146"/>
        <w:gridCol w:w="211"/>
        <w:gridCol w:w="781"/>
        <w:gridCol w:w="146"/>
        <w:gridCol w:w="146"/>
        <w:gridCol w:w="449"/>
        <w:gridCol w:w="901"/>
        <w:gridCol w:w="146"/>
        <w:gridCol w:w="146"/>
        <w:gridCol w:w="338"/>
        <w:gridCol w:w="1012"/>
        <w:gridCol w:w="166"/>
        <w:gridCol w:w="146"/>
        <w:gridCol w:w="211"/>
        <w:gridCol w:w="78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Realized gains and losses and interest income from the investment are included in interest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regularly reviews its available-for-sale marketable securities in an unrealized loss position and evaluates the current expected credit loss by considering factors such as historical experience, market data, issuer-specific factors, and current economic conditions. The following tables display additional information regarding gross unrealized losses and fair value by major security type for the 90 and 3 marketable securities in unrealized loss positions held by the Company as of September 30, 2026 and December 31, 2025, respectively (amounts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3"/>
        <w:gridCol w:w="146"/>
        <w:gridCol w:w="314"/>
        <w:gridCol w:w="879"/>
        <w:gridCol w:w="176"/>
        <w:gridCol w:w="154"/>
        <w:gridCol w:w="224"/>
        <w:gridCol w:w="829"/>
        <w:gridCol w:w="146"/>
        <w:gridCol w:w="146"/>
        <w:gridCol w:w="483"/>
        <w:gridCol w:w="710"/>
        <w:gridCol w:w="190"/>
        <w:gridCol w:w="190"/>
        <w:gridCol w:w="276"/>
        <w:gridCol w:w="452"/>
        <w:gridCol w:w="146"/>
        <w:gridCol w:w="146"/>
        <w:gridCol w:w="298"/>
        <w:gridCol w:w="894"/>
        <w:gridCol w:w="166"/>
        <w:gridCol w:w="146"/>
        <w:gridCol w:w="211"/>
        <w:gridCol w:w="781"/>
        <w:gridCol w:w="199"/>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Consecutive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Consecutive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170,811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726,836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Consecutive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Consecutive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unrealized losses were attributable to changes in interest rates that impacted the value of the investments, and not increased credit risk. There were no sales of available-for-sale marketable securities during the three and nine months ended September 30, 2026 and 2025. The Company does not intend to sell the investments that are in an unrealized loss position, nor is it more likely than not that the Company will be required to sell the investments before the recovery of the amortized cost basis, which may be its maturity. Accordingly, the Company did not record an allowance for credit losses associated with these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estimated amortized cost and fair value of available-for-sale securities by contractual maturity as of September 30, 2026 are as follows (amounts in thousands): </w:t>
      </w:r>
    </w:p>
    <w:tbl>
      <w:tblPr>
        <w:tblW w:w="6317" w:type="dxa"/>
        <w:jc w:val="left"/>
        <w:tblInd w:w="0" w:type="dxa"/>
        <w:tblLayout w:type="fixed"/>
        <w:tblCellMar>
          <w:top w:w="28" w:type="dxa"/>
          <w:left w:w="28" w:type="dxa"/>
          <w:bottom w:w="28" w:type="dxa"/>
          <w:right w:w="28" w:type="dxa"/>
        </w:tblCellMar>
      </w:tblPr>
      <w:tblGrid>
        <w:gridCol w:w="3451"/>
        <w:gridCol w:w="146"/>
        <w:gridCol w:w="265"/>
        <w:gridCol w:w="980"/>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and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5. Balance Sheet Components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as of September 30, 2026 and December 31, 2025 consisted of the following (amounts in thousands): </w:t>
      </w:r>
    </w:p>
    <w:p>
      <w:pPr>
        <w:pStyle w:val="TextBody"/>
        <w:bidi w:val="0"/>
        <w:jc w:val="both"/>
        <w:rPr/>
      </w:pPr>
      <w:r>
        <w:rPr/>
        <w:t> </w:t>
      </w:r>
    </w:p>
    <w:tbl>
      <w:tblPr>
        <w:tblW w:w="6995" w:type="dxa"/>
        <w:jc w:val="left"/>
        <w:tblInd w:w="0" w:type="dxa"/>
        <w:tblLayout w:type="fixed"/>
        <w:tblCellMar>
          <w:top w:w="28" w:type="dxa"/>
          <w:left w:w="28" w:type="dxa"/>
          <w:bottom w:w="28" w:type="dxa"/>
          <w:right w:w="28" w:type="dxa"/>
        </w:tblCellMar>
      </w:tblPr>
      <w:tblGrid>
        <w:gridCol w:w="3891"/>
        <w:gridCol w:w="146"/>
        <w:gridCol w:w="228"/>
        <w:gridCol w:w="912"/>
        <w:gridCol w:w="166"/>
        <w:gridCol w:w="146"/>
        <w:gridCol w:w="219"/>
        <w:gridCol w:w="876"/>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related to property and equipment was $12.4 million and $13.9 million for the three months ended September 30, 2026 and 2025, respectively. Depreciation and amortization expense related to property and equipment was $40.1 million and $51.3 million for the nine months ended September 30,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as of September 30, 2026 and December 31, 2025 consisted of the following (amounts in thousands):</w:t>
      </w:r>
    </w:p>
    <w:tbl>
      <w:tblPr>
        <w:tblW w:w="5855" w:type="dxa"/>
        <w:jc w:val="left"/>
        <w:tblInd w:w="0" w:type="dxa"/>
        <w:tblLayout w:type="fixed"/>
        <w:tblCellMar>
          <w:top w:w="28" w:type="dxa"/>
          <w:left w:w="28" w:type="dxa"/>
          <w:bottom w:w="28" w:type="dxa"/>
          <w:right w:w="28" w:type="dxa"/>
        </w:tblCellMar>
      </w:tblPr>
      <w:tblGrid>
        <w:gridCol w:w="2791"/>
        <w:gridCol w:w="146"/>
        <w:gridCol w:w="271"/>
        <w:gridCol w:w="869"/>
        <w:gridCol w:w="146"/>
        <w:gridCol w:w="146"/>
        <w:gridCol w:w="260"/>
        <w:gridCol w:w="835"/>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Litigation-related accrual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liabilities as of September 30, 2026 and December 31, 2025 consisted of the following (amounts in thousands):</w:t>
      </w:r>
    </w:p>
    <w:tbl>
      <w:tblPr>
        <w:tblW w:w="6470" w:type="dxa"/>
        <w:jc w:val="left"/>
        <w:tblInd w:w="0" w:type="dxa"/>
        <w:tblLayout w:type="fixed"/>
        <w:tblCellMar>
          <w:top w:w="28" w:type="dxa"/>
          <w:left w:w="28" w:type="dxa"/>
          <w:bottom w:w="28" w:type="dxa"/>
          <w:right w:w="28" w:type="dxa"/>
        </w:tblCellMar>
      </w:tblPr>
      <w:tblGrid>
        <w:gridCol w:w="3406"/>
        <w:gridCol w:w="146"/>
        <w:gridCol w:w="271"/>
        <w:gridCol w:w="869"/>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advance payments and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leases its facilities and certain equipment, with current lease terms running through 2032. Many leases include options to renew. The Company did not include renewal options in the calculation of the lease liability and right-of use asset at the lease inception unless the exercise of such options was reasonably certain. Fixed rent generally escalates each year, and the Company is responsible for a portion of the landlords’ operating expenses such as property tax, insurance and common area maintenance.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leases include various operating leases expiring at various dates through September 2032 and a finance lease expiring September 2032 for one of our buildings in San Jose.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leases do not have any contingent rent payments and do not contain residual value guarantees.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lease related expense are as follows (amounts in thousands):</w:t>
      </w:r>
    </w:p>
    <w:tbl>
      <w:tblPr>
        <w:tblW w:w="9217" w:type="dxa"/>
        <w:jc w:val="left"/>
        <w:tblInd w:w="0" w:type="dxa"/>
        <w:tblLayout w:type="fixed"/>
        <w:tblCellMar>
          <w:top w:w="28" w:type="dxa"/>
          <w:left w:w="28" w:type="dxa"/>
          <w:bottom w:w="28" w:type="dxa"/>
          <w:right w:w="28" w:type="dxa"/>
        </w:tblCellMar>
      </w:tblPr>
      <w:tblGrid>
        <w:gridCol w:w="3111"/>
        <w:gridCol w:w="146"/>
        <w:gridCol w:w="302"/>
        <w:gridCol w:w="817"/>
        <w:gridCol w:w="237"/>
        <w:gridCol w:w="209"/>
        <w:gridCol w:w="302"/>
        <w:gridCol w:w="817"/>
        <w:gridCol w:w="146"/>
        <w:gridCol w:w="146"/>
        <w:gridCol w:w="262"/>
        <w:gridCol w:w="841"/>
        <w:gridCol w:w="206"/>
        <w:gridCol w:w="181"/>
        <w:gridCol w:w="262"/>
        <w:gridCol w:w="84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11,917</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components of supplemental cash and non-cash information related to leases are as follows (amounts in thousands): </w:t>
      </w:r>
    </w:p>
    <w:tbl>
      <w:tblPr>
        <w:tblW w:w="9127" w:type="dxa"/>
        <w:jc w:val="left"/>
        <w:tblInd w:w="0" w:type="dxa"/>
        <w:tblLayout w:type="fixed"/>
        <w:tblCellMar>
          <w:top w:w="28" w:type="dxa"/>
          <w:left w:w="28" w:type="dxa"/>
          <w:bottom w:w="28" w:type="dxa"/>
          <w:right w:w="28" w:type="dxa"/>
        </w:tblCellMar>
      </w:tblPr>
      <w:tblGrid>
        <w:gridCol w:w="6196"/>
        <w:gridCol w:w="146"/>
        <w:gridCol w:w="295"/>
        <w:gridCol w:w="798"/>
        <w:gridCol w:w="204"/>
        <w:gridCol w:w="204"/>
        <w:gridCol w:w="295"/>
        <w:gridCol w:w="798"/>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outgoing cash flows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outgoing cash flows -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outgoing cash flows -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displays additional information for leases as of September 30, 2026 and December 31, 2025:</w:t>
      </w:r>
    </w:p>
    <w:tbl>
      <w:tblPr>
        <w:tblW w:w="9430" w:type="dxa"/>
        <w:jc w:val="left"/>
        <w:tblInd w:w="0" w:type="dxa"/>
        <w:tblLayout w:type="fixed"/>
        <w:tblCellMar>
          <w:top w:w="28" w:type="dxa"/>
          <w:left w:w="28" w:type="dxa"/>
          <w:bottom w:w="28" w:type="dxa"/>
          <w:right w:w="28" w:type="dxa"/>
        </w:tblCellMar>
      </w:tblPr>
      <w:tblGrid>
        <w:gridCol w:w="5506"/>
        <w:gridCol w:w="146"/>
        <w:gridCol w:w="367"/>
        <w:gridCol w:w="1178"/>
        <w:gridCol w:w="271"/>
        <w:gridCol w:w="146"/>
        <w:gridCol w:w="357"/>
        <w:gridCol w:w="1143"/>
        <w:gridCol w:w="316"/>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2026, future minimum payments during the next five years and thereafter are as follows (amounts in thousands): </w:t>
      </w:r>
    </w:p>
    <w:tbl>
      <w:tblPr>
        <w:tblW w:w="5965" w:type="dxa"/>
        <w:jc w:val="left"/>
        <w:tblInd w:w="0" w:type="dxa"/>
        <w:tblLayout w:type="fixed"/>
        <w:tblCellMar>
          <w:top w:w="28" w:type="dxa"/>
          <w:left w:w="28" w:type="dxa"/>
          <w:bottom w:w="28" w:type="dxa"/>
          <w:right w:w="28" w:type="dxa"/>
        </w:tblCellMar>
      </w:tblPr>
      <w:tblGrid>
        <w:gridCol w:w="2626"/>
        <w:gridCol w:w="146"/>
        <w:gridCol w:w="324"/>
        <w:gridCol w:w="1041"/>
        <w:gridCol w:w="166"/>
        <w:gridCol w:w="146"/>
        <w:gridCol w:w="267"/>
        <w:gridCol w:w="858"/>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the Company’s lease agreements do not provide an implicit rate, the Company used an estimated incremental borrowing rate that will be incurred to borrow on a collateralized basis over a similar term at the lease commencement date or modification date in determining the present value of lease payments. </w:t>
      </w:r>
    </w:p>
    <w:p>
      <w:pPr>
        <w:pStyle w:val="TextBody"/>
        <w:bidi w:val="0"/>
        <w:spacing w:before="120" w:after="283"/>
        <w:jc w:val="both"/>
        <w:rPr>
          <w:rFonts w:ascii="Times New Roman" w:hAnsi="Times New Roman"/>
          <w:sz w:val="20"/>
        </w:rPr>
      </w:pPr>
      <w:r>
        <w:rPr>
          <w:rFonts w:ascii="Times New Roman" w:hAnsi="Times New Roman"/>
          <w:i/>
          <w:color w:val="000000"/>
          <w:sz w:val="20"/>
        </w:rPr>
        <w:t>Asset Retirement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establishes assets and liabilities for the present value of estimated future costs to return certain of our leased facilities to their original condition upon the termination or expiration of a lease. The recognition of an asset retirement obligation requires the Company to make assumptions and judgments including the actions required to satisfy the liability, inflation rates and the credit-adjusted risk-free rate. The initially recognized asset retirement cost is included in the leasehold improvements, and amortized using the same method and useful life as the long-lived asset to which it relates. Accretion expense is recognized over time as the discounted liability is accreted to its expected settlement value. The Company recorded asset retirement obligation of approximately $14.3 million and $13.7 million as of September 30, 2026 and December 31, 2025, respectively, in Other liabilities in the Condensed Consolidated Balance Sheets. </w:t>
      </w:r>
    </w:p>
    <w:p>
      <w:pPr>
        <w:pStyle w:val="TextBody"/>
        <w:bidi w:val="0"/>
        <w:jc w:val="left"/>
        <w:rPr/>
      </w:pPr>
      <w:r>
        <w:rPr/>
        <w:t> </w:t>
      </w:r>
    </w:p>
    <w:p>
      <w:pPr>
        <w:pStyle w:val="TextBody"/>
        <w:bidi w:val="0"/>
        <w:spacing w:before="160" w:after="283"/>
        <w:jc w:val="both"/>
        <w:rPr>
          <w:rFonts w:ascii="Times New Roman" w:hAnsi="Times New Roman"/>
          <w:sz w:val="20"/>
        </w:rPr>
      </w:pPr>
      <w:bookmarkStart w:id="11" w:name="note7"/>
      <w:bookmarkEnd w:id="11"/>
      <w:r>
        <w:rPr>
          <w:rFonts w:ascii="Times New Roman" w:hAnsi="Times New Roman"/>
          <w:b/>
          <w:color w:val="000000"/>
          <w:sz w:val="20"/>
        </w:rPr>
        <w:t>Note 7. Commit</w:t>
      </w:r>
      <w:bookmarkStart w:id="12" w:name="note_8"/>
      <w:bookmarkEnd w:id="12"/>
      <w:r>
        <w:rPr>
          <w:rFonts w:ascii="Times New Roman" w:hAnsi="Times New Roman"/>
          <w:b/>
          <w:color w:val="000000"/>
          <w:sz w:val="20"/>
        </w:rPr>
        <w: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and in the ordinary course of business, the Company is subject to certain claims, charges and litigation concerning matters arising in connection with the conduct of the Company’s business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Shareholder Derivative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shareholder derivative suits were filed in February 2021 in the United States District Court for the Northern District of California against current and former officers and directors of the Company and have been consolidated into one action. VGA is also a defendant. The Company is the nominal defendant. The operative complaint alleges that the individual defendants breached various duties to the Company and contains similar allegations to the settled and dismissed securities class action previously brought against the Company and three of its executives in January 2021, in which it was alleged that materially false and misleading statements were made concerning the Company’s business, operations, and prospects, including information regarding its battery technology. The action is currently stayed. Another derivative suit was filed in October 2024 in the same court. The action was related to the consolidated action and is currently stayed.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through August 2022, four derivative suits were filed in the Court of Chancery of the State of Delaware against current and former directors and officers of the Company. The Company is the nominal defendant. The complaints allege that the individual defendants breached various duties to the Company. VGA is named as a defendant in three of those actions. In September 2022, the actions were consolidated and stayed. A consolidated amended complaint was filed in July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derivative action was filed in the United States District Court for the District of Delaware on February 22, 2024, against current and former directors and officers of the Company. The Company is the nominal defendant. The complaint alleges that the individual defendants breached various duties to the Company and includes a claim for contribution related to the securities class action. The complaint also alleges that plaintiff previously sent a litigation demand to the Board and alleges that the demand has effectively been rejected. The action is currently stayed.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additional derivative actions were filed in the Court of Chancery of the State of Delaware in May 2024 and October 2024, against current and former directors and officers of the Company. The Company is the nominal defendant. The complaints allege that the individual defendants breached various duties to the Company. The complaints also allege that the plaintiffs previously sent a litigation demand to the Board and allege that the demands had effectively been rejected. The action filed in May 2024 is currently stayed.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settlement in principle addressing remedial actions related to the above-described derivative actions was reached in February 2026. No settlement amount has been determined yet, and the specific terms remain subject to negotiation, final documentation, notice to stockholders, and court approval.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Employment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 defendant in two Private Attorneys General Act (“PAGA”) wage-and-hour actions filed in Santa Clara County Superior Court by former employees, along with a related class action in arbitration. The complaints allege violations of California’s Labor Code. The actions are presently stayed. The Company denies the allegations. In July 2026, the court approved the parties’ agreement to settle the claims for an immaterial amount.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other employment-related claims and disputes, including claims by current and former employees, arising in the ordinary course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many legal matters, particularly those in early stages, the Company cannot reasonably estimate the possible loss (or range of loss), if any. The Company records an accrual for legal matters at the time or times it determines that a loss is both probable and reasonably estimable. As of September 30, 2026 and December 31, 2025, the amount accrued for each matter was individually not material, and the aggregate amount accrued was approximately $5.7 million as of September 30, 2026 and $4 million as of December 31, 2025. Regarding matters for which no accrual has been made (including the potential for losses in excess of amounts accrued), the Company currently believes, based on its own investigations, that any losses (or ranges of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the Company’s business, financial condition, results of operations, or cash flows could be materially and adversely affected. The Company may also incur substantial legal fees, which are expensed as incurred, in defending against legal claims.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minimum purchase commitments consist of non-cancellable agreements to purchase goods and services, primarily for materials, and licenses and hosting services, entered into in the ordinary course of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future minimum purchase commitments in aggregate during the next five years and thereafter are as follows (amounts in thousands):</w:t>
      </w:r>
    </w:p>
    <w:tbl>
      <w:tblPr>
        <w:tblW w:w="5713" w:type="dxa"/>
        <w:jc w:val="left"/>
        <w:tblInd w:w="0" w:type="dxa"/>
        <w:tblLayout w:type="fixed"/>
        <w:tblCellMar>
          <w:top w:w="28" w:type="dxa"/>
          <w:left w:w="28" w:type="dxa"/>
          <w:bottom w:w="28" w:type="dxa"/>
          <w:right w:w="28" w:type="dxa"/>
        </w:tblCellMar>
      </w:tblPr>
      <w:tblGrid>
        <w:gridCol w:w="2626"/>
        <w:gridCol w:w="146"/>
        <w:gridCol w:w="686"/>
        <w:gridCol w:w="1864"/>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Purchase Commitments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bookmarkStart w:id="13" w:name="note_8_se"/>
      <w:bookmarkEnd w:id="13"/>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8. Stockholders’ Equity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2026 and December 31, 2025, 1,350,000,000 shares, $0.0001 par value per share, are authorized, of which, 1,000,000,000 shares are designated as Class A Common Stock, 250,000,000 shares are designated as Class B Common Stock, and 100,000,000 shares are designated as Preferred Stock.</w:t>
      </w:r>
    </w:p>
    <w:p>
      <w:pPr>
        <w:pStyle w:val="TextBody"/>
        <w:bidi w:val="0"/>
        <w:spacing w:before="12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common stock are entitled to dividends when, as, and if, declared by the Company’s Board of Directors (the “Board”), subject to the rights of the holders of all classes of stock outstanding having priority rights to dividends. As of September 30, 2026, the Company had not declared any dividends. The holder of each share of Class A Common Stock is entitled to one vote, and the holder of each share of Class B Common Stock is entitled to ten votes.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Equity Incentive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Business Combination, the Company maintained its 2010 Equity Incentive Plan (the “2010 Plan”), under which the Company granted options and restricted stock units to purchase or directly issue shares of common stock to employees, directors, and non-employees.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the closing of the Business Combination, awards under the 2010 Plan were converted at an exchange ratio of 4.02175014920, and assumed into the 2020 Equity Incentive Award Plan (the “2020 Plan”, and together with the 2010 Plan, the “Plans”). The 2020 Plan permits the granting of awards in the form of incentive stock options, nonqualified stock options, stock appreciation rights, restricted shares, restricted stock units and performance awards to employees, directors, and non-employees.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163,592,934 shares of Class A Common Stock are authorized for issuance pursuant to awards under the 2020 Plan, plus any shares of Class A Common Stock subject to stock options, restricted stock units or other awards that were assumed in the Business Combination and terminate as a result of being unexercised or are forfeited or repurchased by the Company, with the maximum number of shares to be added to the 2020 Plan equal to 69,846,580 shares of Class A Common Stock.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were no options granted during the nine months ended September 30, 2026 or September 30, 2025. The aggregate intrinsic value of options exercised during the nine months ended September 30, 2026 and 2025 was $2.5 million and $54.3 million, respectively. As of September 30, 2026, about 3.1 million shares subject to options were outstanding and exercisable with aggregate intrinsic value of $4.7 million and weighted average remaining contractual term of 2.8 years.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September 30, 2026, there was no unrecognized compensation cost related to stock options.</w:t>
      </w:r>
    </w:p>
    <w:p>
      <w:pPr>
        <w:pStyle w:val="TextBody"/>
        <w:bidi w:val="0"/>
        <w:spacing w:before="0" w:after="120"/>
        <w:jc w:val="both"/>
        <w:rPr>
          <w:rFonts w:ascii="Times New Roman" w:hAnsi="Times New Roman"/>
          <w:sz w:val="20"/>
        </w:rPr>
      </w:pPr>
      <w:r>
        <w:rPr>
          <w:rFonts w:ascii="Times New Roman" w:hAnsi="Times New Roman"/>
          <w:i/>
          <w:color w:val="000000"/>
          <w:sz w:val="20"/>
        </w:rPr>
        <w:t>Extraordinary Performance Award (</w:t>
      </w:r>
      <w:r>
        <w:rPr>
          <w:rFonts w:ascii="Times New Roman" w:hAnsi="Times New Roman"/>
          <w:color w:val="000000"/>
          <w:sz w:val="20"/>
        </w:rPr>
        <w:t>“</w:t>
      </w:r>
      <w:r>
        <w:rPr>
          <w:rFonts w:ascii="Times New Roman" w:hAnsi="Times New Roman"/>
          <w:i/>
          <w:color w:val="000000"/>
          <w:sz w:val="20"/>
        </w:rPr>
        <w:t>EPA</w:t>
      </w:r>
      <w:r>
        <w:rPr>
          <w:rFonts w:ascii="Times New Roman" w:hAnsi="Times New Roman"/>
          <w:color w:val="000000"/>
          <w:sz w:val="20"/>
        </w:rPr>
        <w:t>”</w:t>
      </w:r>
      <w:r>
        <w:rPr>
          <w:rFonts w:ascii="Times New Roman" w:hAnsi="Times New Roman"/>
          <w:i/>
          <w:color w:val="000000"/>
          <w:sz w:val="20"/>
        </w:rPr>
        <w:t>) Program</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2021, the Company granted stock options for the purchase of an aggregate of approximately 14.7 million shares of the Company’s Class A Common Stock to the Company’s Chief Executive Officer at the time and other members of the Company’s management team pursuant to the EPA Program that was approved by the Company’s stockholders in December 2021. In December 2022, the remaining 2.1 million stock options under the EPA Program were granted to members of the Company’s management team under the same terms as those in the initial grant in 2021, representing the final grant pursuant to the EPA Program approved in December 2021. The EPA Program consists of five equal tranches (each a “Tranche”) that vest if the Company meets certain business milestones (performance conditions) and stock price targets (market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the compensation expense associated with each Tranche when it determines that achievement of a related business milestone is considered probable.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2025, certain named executive officers and certain other senior employees entered into agreements with the Company to waive the stock options granted to them under the Company’s 2021 EPA Program. The total number of shares of the Company’s Class A Common Stock underlying such waived stock options was 4.0 million. As such, these stock options were cancelled in February 2025. In February 2026, certain other senior employees entered into agreements with the Company to waive the stock options granted to them under the Company’s 2021 EPA Program. The total number of shares of the Company’s Class A Common Stock underlying such waived stock options was 0.8 million, which represents the remaining awards under the EPA Program. As such, all remaining awards under the EPA Program were cancelled and there were no outstanding awards under the EPA program as of September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stock-based compensation expense was recorded for the three months ended September 30, 2026 related to the EPA Program. Such expense was immaterial for the nine months ended September 30, 2026. For the three months ended September 30, 2025, the Company recorded an immaterial credit to stock-based compensation expense primarily due to forfeited awards in the period related to the EPA Program. For the nine months ended September 30, 2025, the Company recorded stock-based compensation expense of $4.7 million related to the EPA Program, net of expense including $5.7 million for the EPA awards cancelled in February 2025 where the unamortized expense was fully recognized offset by the forfeitures of awards. As of September 30, 2026, there was no unrecognized stock-based compensation expense related to the EPA Program.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Restricted Stock Units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2025 and the nine months ended September 30, 2026, the Company granted 4.2 million, 5.4 million and 4.0 million Milestone PSUs, respectively, to members of the Company’s management team and certain other employees under the Company’s 2020 Plan. The performance conditions for these PSUs are related to the Company’s product development and commercial milestones through May 2029. These Milestone PSUs will expire in May 2027, May 2028 and May 2029, respectively, if performance conditions are not met. For the three months ended September 30, 2026, the Company recorded a credit to stock-based compensation expense of $4.2 million, primarily due to the reversal of previously recognized expense of $8.1 million for Milestone PSUs that management determined, during the three months ended September 30, 2026, were not probable of achievement. For the nine months ended September 30, 2026, the Company recorded stock-based compensation expense of $3.8 million related to the Milestone PSUs, for the product development milestones achieved or considered probable of achievement. Such expense is net of the reversal of previously recognized expense of $9.6 million for Milestone PSUs that management determined, during the nine months ended September 30, 2026, were not probable of achievement. For the three and nine months ended September 30, 2025, the Company recorded stock-based compensation expense of $3.7 million and $10.5 million, respectively, related to the Milestone PSUs, for the product development milestones achieved or considered probable of achievement. As of September 30, 2026, the Company had approximately $14.8 million of total unrecognized stock-based compensation expense related to the Milestone PSUs for the milestones currently considered not probable of achievement.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2026, the Company granted 1.3 million Market PSUs to members of the Company’s management team and certain other employees under the Company’s 2020 Plan. The fair value of the Market PSU is measured on the grant date using a Monte Carlo simulation model. The market condition is the Company’s TSR relative to the TSR of the peer group, expressed in terms of the Company’s TSR percentile rank among the peer group, over a three-calendar-year performance period. Vesting of the Market PSUs is also subject to the grantee’s continued service through the end of the performance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are the significant assumptions used in the Monte Carlo simulation to determine the grant-date fair value for the Market PSUs:</w:t>
      </w:r>
    </w:p>
    <w:tbl>
      <w:tblPr>
        <w:tblW w:w="5143" w:type="dxa"/>
        <w:jc w:val="left"/>
        <w:tblInd w:w="0" w:type="dxa"/>
        <w:tblLayout w:type="fixed"/>
        <w:tblCellMar>
          <w:top w:w="28" w:type="dxa"/>
          <w:left w:w="28" w:type="dxa"/>
          <w:bottom w:w="28" w:type="dxa"/>
          <w:right w:w="28" w:type="dxa"/>
        </w:tblCellMar>
      </w:tblPr>
      <w:tblGrid>
        <w:gridCol w:w="2086"/>
        <w:gridCol w:w="146"/>
        <w:gridCol w:w="527"/>
        <w:gridCol w:w="2068"/>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grant-date fair value of the Market PSUs granted during the nine months ended September 30, 2026 was $9.22 per unit. For the three and nine months ended September 30, 2026, the Company recorded an immaterial expense related to the Market PSUs.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Bonus Plan is settled in the form of restricted stock units to eligible employees upon the achievement of certain service and performance conditions. These performance conditions are related to the Company’s product development, operational, and business milestones for the year. The stock-based compensation expense related to the Bonus Plan were recorded as liabilities under Accrued compensation and benefits prior to the settlement of vested restricted stock units, upon which the liability is reclassified into equity. In February 2026, approximately 2.3 million restricted stock units were granted and vested under the 2025 Bonus Plan for settlement, and as a result, approximately $14.3 million was reclassified from Accrued compensation to additional paid-in capital. This represents a non-cash financing activity during the nine months ended September 30, 2026. For the three months ended September 30, 2026 and 2025, the Company recorded $2.0 million and $4.4 million, respectively, to stock-based compensation related to the Bonus Plans. For the nine months ended September 30, 2026 and 2025, the Company recorded stock-based compensation expense of approximately $10.8 million and $11.5 million, respectively, related to the current year and prior year Bonus Plans. No shares have been granted under the 2026 Bonus Plan as of September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stock units with service conditions only (“RSU”) and PSU activities under the Plans are as follows:</w:t>
      </w:r>
    </w:p>
    <w:tbl>
      <w:tblPr>
        <w:tblW w:w="9119" w:type="dxa"/>
        <w:jc w:val="left"/>
        <w:tblInd w:w="0" w:type="dxa"/>
        <w:tblLayout w:type="fixed"/>
        <w:tblCellMar>
          <w:top w:w="28" w:type="dxa"/>
          <w:left w:w="28" w:type="dxa"/>
          <w:bottom w:w="28" w:type="dxa"/>
          <w:right w:w="28" w:type="dxa"/>
        </w:tblCellMar>
      </w:tblPr>
      <w:tblGrid>
        <w:gridCol w:w="2866"/>
        <w:gridCol w:w="146"/>
        <w:gridCol w:w="199"/>
        <w:gridCol w:w="926"/>
        <w:gridCol w:w="166"/>
        <w:gridCol w:w="146"/>
        <w:gridCol w:w="397"/>
        <w:gridCol w:w="878"/>
        <w:gridCol w:w="146"/>
        <w:gridCol w:w="146"/>
        <w:gridCol w:w="199"/>
        <w:gridCol w:w="926"/>
        <w:gridCol w:w="166"/>
        <w:gridCol w:w="146"/>
        <w:gridCol w:w="397"/>
        <w:gridCol w:w="87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RSUs which vested during the nine months ended September 30, 2026 and September 30, 2025 was $66.8 million and $57.4 million, respectively. The fair value of PSUs which vested during the nine months ended September 30, 2026 was $30.8 million, consisting of the settlement under the 2025 Bonus Plan and the Milestone PSUs granted to the management team and certain other employees. The fair value of PSUs which vested during the nine months ended September 30, 2025 was $32.9 million, consisting of the final settlement under the 2024 Bonus Plan and the Milestone PSUs granted to management team and certain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unrecognized stock-based compensation expense related to unvested RSUs and PSUs considered probable of vesting was $150.3 million and $33.1 million, respectively, and is expected to be recognized over a weighted average period of 2.8 years and 2.2 years, respectively.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stock-based compensation expense recognized in the accompanying Condensed Consolidated Statements of Operations and Comprehensive Loss for all awards is as follows (amounts in thousands): </w:t>
      </w:r>
    </w:p>
    <w:tbl>
      <w:tblPr>
        <w:tblW w:w="9356" w:type="dxa"/>
        <w:jc w:val="left"/>
        <w:tblInd w:w="0" w:type="dxa"/>
        <w:tblLayout w:type="fixed"/>
        <w:tblCellMar>
          <w:top w:w="28" w:type="dxa"/>
          <w:left w:w="28" w:type="dxa"/>
          <w:bottom w:w="28" w:type="dxa"/>
          <w:right w:w="28" w:type="dxa"/>
        </w:tblCellMar>
      </w:tblPr>
      <w:tblGrid>
        <w:gridCol w:w="3451"/>
        <w:gridCol w:w="146"/>
        <w:gridCol w:w="274"/>
        <w:gridCol w:w="878"/>
        <w:gridCol w:w="189"/>
        <w:gridCol w:w="189"/>
        <w:gridCol w:w="274"/>
        <w:gridCol w:w="878"/>
        <w:gridCol w:w="146"/>
        <w:gridCol w:w="146"/>
        <w:gridCol w:w="265"/>
        <w:gridCol w:w="849"/>
        <w:gridCol w:w="183"/>
        <w:gridCol w:w="183"/>
        <w:gridCol w:w="265"/>
        <w:gridCol w:w="849"/>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9.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shares of common stock outstanding during the period. Diluted earnings per share adjusts basic earnings per share for the potentially dilutive impact of stock options. As the Company has reported a loss for the three and nine months ended September 30, 2026 and 2025, potentially dilutive securities are antidilutive and accordingly, basic net loss per share equals diluted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computation of basic and diluted loss per share of Class A Common Stock and Class B Common Stock (amounts in thousands, except per share amounts): </w:t>
      </w:r>
    </w:p>
    <w:tbl>
      <w:tblPr>
        <w:tblW w:w="10205" w:type="dxa"/>
        <w:jc w:val="left"/>
        <w:tblInd w:w="0" w:type="dxa"/>
        <w:tblLayout w:type="fixed"/>
        <w:tblCellMar>
          <w:top w:w="28" w:type="dxa"/>
          <w:left w:w="28" w:type="dxa"/>
          <w:bottom w:w="28" w:type="dxa"/>
          <w:right w:w="28" w:type="dxa"/>
        </w:tblCellMar>
      </w:tblPr>
      <w:tblGrid>
        <w:gridCol w:w="4254"/>
        <w:gridCol w:w="146"/>
        <w:gridCol w:w="229"/>
        <w:gridCol w:w="852"/>
        <w:gridCol w:w="181"/>
        <w:gridCol w:w="159"/>
        <w:gridCol w:w="229"/>
        <w:gridCol w:w="917"/>
        <w:gridCol w:w="166"/>
        <w:gridCol w:w="146"/>
        <w:gridCol w:w="220"/>
        <w:gridCol w:w="881"/>
        <w:gridCol w:w="173"/>
        <w:gridCol w:w="152"/>
        <w:gridCol w:w="220"/>
        <w:gridCol w:w="881"/>
        <w:gridCol w:w="399"/>
      </w:tblGrid>
      <w:tr>
        <w:trPr/>
        <w:tc>
          <w:tcPr>
            <w:tcW w:w="4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566,293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earnings per share were the same for each period presented as the inclusion of all potential Class A Common Stock and Class B Common Stock outstanding would have been anti-dilutive.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potential common stock outstanding that was excluded from the computation of diluted net loss per share of common stock as of the periods presented because including them would have been antidilutive (amounts in thousands):</w:t>
      </w:r>
    </w:p>
    <w:tbl>
      <w:tblPr>
        <w:tblW w:w="3039" w:type="dxa"/>
        <w:jc w:val="left"/>
        <w:tblInd w:w="0" w:type="dxa"/>
        <w:tblLayout w:type="fixed"/>
        <w:tblCellMar>
          <w:top w:w="28" w:type="dxa"/>
          <w:left w:w="28" w:type="dxa"/>
          <w:bottom w:w="28" w:type="dxa"/>
          <w:right w:w="28" w:type="dxa"/>
        </w:tblCellMar>
      </w:tblPr>
      <w:tblGrid>
        <w:gridCol w:w="766"/>
        <w:gridCol w:w="146"/>
        <w:gridCol w:w="146"/>
        <w:gridCol w:w="676"/>
        <w:gridCol w:w="146"/>
        <w:gridCol w:w="146"/>
        <w:gridCol w:w="146"/>
        <w:gridCol w:w="676"/>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Company entered into an Amended and Restated Collaboration Agreement (the “PowerCo Collaboration Agreement”) with PowerCo SE (“PowerCo”), a battery cell company wholly owned by the Volkswagen Group, which is a major investor in the Company, for the industrialization by PowerCo of QS technology based on QSE-5. Under the PowerCo Collaboration Agreement, QS and PowerCo entered into a statement of work outlining the scope and responsibilities of the joint scale-up team working on the Company’s battery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2026, the Company and PowerCo entered into an amendment (the “July 2026 Amendment”) to the PowerCo Collaboration Agreement to update the program structure and milestones. The July 2026 Amendment replaced the prior statement of work and related cost reimbursement structure with transition payments and payments based on the achievement of milestones, including the delivery and validation of battery cells over the next two years. Under the July 2026 Amendment, the maximum aggregate amount the Company would receive from PowerCo for the program was $75.4 million, inclusive of amounts paid to date. The PowerCo Collaboration Agreement and the July 2026 Amendment do not require the Company to repay funds contributed under the statement of work, and there are no restrictions on the use of the cash receipts.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determined that such payments should be accounted for in accordance with ASC 730-20 Research and Development Arrangements, as there is a presumption of a repayment obligation due to the significant related party relationship between the parties. Further, ASC 470-50 </w:t>
      </w:r>
      <w:r>
        <w:rPr>
          <w:rFonts w:ascii="Times New Roman" w:hAnsi="Times New Roman"/>
          <w:i/>
          <w:color w:val="000000"/>
          <w:sz w:val="20"/>
        </w:rPr>
        <w:t xml:space="preserve">Debt – Modifications and Extinguishments </w:t>
      </w:r>
      <w:r>
        <w:rPr>
          <w:rFonts w:ascii="Times New Roman" w:hAnsi="Times New Roman"/>
          <w:color w:val="000000"/>
          <w:sz w:val="20"/>
        </w:rPr>
        <w:t>indicates extinguishment transactions between related entities may be in essence capital transactions. During the three and nine months ended September 30, 2026, the Company received $18.5 million and $28.9 million, respectively, from PowerCo and such amount was recorded as a capital contribution to Additional Paid-In Capital in the Consolidated Statement of Stockholders’ Equity upon legal extinguishment. No shares were issued related to this capital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2026, the Company and PowerCo further amended the PowerCo Collaboration Agreement to, among other things, remove transition payments due from PowerCo in the aggregate of $7.0 million, reducing the maximum amount the Company can receive under the current PowerCo Collaboration Agreement, and enter into negotiations for a revised scope of work and payments. During this negotiation period, PowerCo will not make milestone payments under the July 2026 Amendment.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2_managements_discussion_analysis_f"/>
      <w:bookmarkEnd w:id="14"/>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should be read in conjunction with our unaudited consolidated financial statements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 titled “Risk Factors” as set forth in this Report. Unless the context otherwise requires, references in this “Management’s Discussion and Analysis of Financial Condition and Results of Operations” to “the Company”, “we”, “us” and “our” refer to the business and operations of QuantumScape Corporation and its consolidated subsidiaries.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next-generation solid-state lithium-metal battery technology for electric vehicles (“EVs”) and other applications including data centers, aerospace, defense, robotics, medical devices, and consumer electronics. The lithium-metal solid-state battery technology that we are developing is being designed to offer greater energy density, faster charging, and greater safety when compared to today’s conventional lithium-ion batteries.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development-stage company with no revenue to date, have incurred a loss from operations of approximately $92.4 million and $307.7 million, respectively, for the three and nine months ended September 30, 2026, and an accumulated deficit of approximately $4.1 billion from our inception through September 30, 2026. We expect to incur significant expenses and continuing losses for the foreseeable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Trends, Opportunities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pre-revenue company. We believe that our performance and future success depend on several factors that present significant opportunities for us but also pose significant risks and challenges, including those discussed below and in the section titled “Risk Factors” appearing elsewhere in this Report.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Product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demonstrated capabilities of our solid-state separator and battery technology in single-layer and multilayer cell cycling data, and in 2022, shipped our first A0 prototype battery cells to multiple original equipment manufacturers (“OEMs”) for testing. Following that shipment, we continued focusing our research and development on subsequent generations of prototype samples incorporating advances in cell functionality, process and reliability, as well as bringing online our pilot line in San Jose, California. In 2023, we announced our first targeted commercial product, the QSE-5, a cell with a capacity of approximately 5 amp-hours. In 2024, we began producing low volumes of our first B-sample cells, and we began shipping these cells for automotive customer testing. These are B-samples of our first product, QSE-5, with an energy density of over 800 Wh/L and &lt;15 minute 10% to 80% fast-charging capability. In 2025, together with Volkswagen and PowerCo, we had the first live demonstration of our solid-state lithium-metal battery technology powering a Ducati V21L electric motorcycle at the IAA Mobility event. The demonstration included B1 samples of our QSE-5 cell from our more efficient separator production processes. In 2025, we also installed our highly automated battery cell pilot production line at our facilities in San Jose, California to, upon ramp up, provide a sufficient quantity of separators and cells for internal development, customer sampling, and higher volumes of QSE-5 cells; in February 2026, we inaugurated the line and began the line’s initial ramp up in capacity.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currently includes programs for the following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Continued improvement of the cathode. </w:t>
      </w:r>
      <w:r>
        <w:rPr>
          <w:rFonts w:ascii="Times New Roman" w:hAnsi="Times New Roman"/>
          <w:color w:val="000000"/>
          <w:sz w:val="20"/>
        </w:rPr>
        <w:t>Our cathodes use a conventional cathode active material such as nickel-manganese-cobalt mixed with a catholyte made of an organic liquid. We plan to benefit from industry cathode chemistry improvements and/or cost reduction, which in the future may include use of other cathode active materials, including cobalt-free compositions (e.g., lithium-iron-phosphate), as well as cathode processing advances such as dry electrode processing. Over the years, we have developed catholytes made of differing mixtures of organic liquid electrolyte in an effort to optimize performance across multiple metrics such as voltage, temperature, power, and safety, among others. We continue to test solid, gel and liquid catholytes from time to time in our cells. The solid catholyte is part of our ongoing research and development investigation into inorganic catholytes. Our solid-state cathode platform is being designed to enable higher rates of charge and discharge for even thicker cathode electrodes, which, when combined with a lithium-metal anode, may further increase cell energy densities.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Continued improvement in quality, consistency and reliability.</w:t>
      </w:r>
      <w:r>
        <w:rPr>
          <w:rFonts w:ascii="Times New Roman" w:hAnsi="Times New Roman"/>
          <w:color w:val="000000"/>
          <w:sz w:val="20"/>
        </w:rPr>
        <w:t xml:space="preserve"> We are working to improve the quality and uniformity of our cells, including our separators, to further improve, among other things, the cycling behavior, power, operating conditions, and reliability of our cells. For some of our early-generation processes, we used methods of continuous processing found at scale in both the battery and ceramic industries. In 2025, we installed our proprietary separator production platform designed to enable faster, more energy-efficient separator production with a smaller equipment footprint compared to earlier processes. We are working on continuous improvement of these processes, including better quality, consistency, and higher throughput through further automation and process control (including specification tightening and adding or improving inspection points along the production process flow), quality of material inputs, and particle reduction across our process. We also continue developing subsequent methods not typically used in ceramics that offer significant potential cost savings and separator production improvement.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Continued improvement in throughput. </w:t>
      </w:r>
      <w:r>
        <w:rPr>
          <w:rFonts w:ascii="Times New Roman" w:hAnsi="Times New Roman"/>
          <w:color w:val="000000"/>
          <w:sz w:val="20"/>
        </w:rPr>
        <w:t xml:space="preserve">We continue to invest and deploy resources to automate and scale up our cell build production process, including designing, purchasing and installing higher throughput equipment, to improve the efficiency and efficacy of our production processes and to achieve higher battery cell output. Increasing separator and battery cell production provides the additional volumes needed to support internal development, prototype sampling to prospective customers, technology demonstrations, product integration efforts, supply chain development, and technology transfer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Cell design.</w:t>
      </w:r>
      <w:r>
        <w:rPr>
          <w:rFonts w:ascii="Times New Roman" w:hAnsi="Times New Roman"/>
          <w:color w:val="000000"/>
          <w:sz w:val="20"/>
        </w:rPr>
        <w:t xml:space="preserve"> We have demonstrated capabilities of our solid-state separator and battery technology in single-layer and multilayer solid-state cells in commercially relevant areas (ranging from approximately 60x75mm to 70x85mm). In order to advance the maturity of our prototype cells and produce commercially viable solid-state battery cells, we must produce battery cells that achieve target cell design and capacities set by our customers and we may have to vary cell layer count, dimensions, and packaging; while we target our first commercial product, the QSE-5, to have approximately 5 amp-hours of capacity, the exact number of layers and dimensions will vary and depend upon customer specifications, cell design considerations, and other factors. We will need to overcome production challenges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dimensions, and packaging.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Battery module and pack design.</w:t>
      </w:r>
      <w:r>
        <w:rPr>
          <w:rFonts w:ascii="Times New Roman" w:hAnsi="Times New Roman"/>
          <w:color w:val="000000"/>
          <w:sz w:val="20"/>
        </w:rPr>
        <w:t xml:space="preserve"> We are conducting research and development focused on battery module and pack design to support the integration of our solid</w:t>
        <w:noBreakHyphen/>
        <w:t>state battery cells into complete battery systems. These efforts include evaluating mechanical, thermal, electrical, and safety considerations at the module and pack levels, as well as assessing manufacturability, scalability, and system</w:t>
        <w:noBreakHyphen/>
        <w:t>level performance. Our work in this area is intended to inform potential future product configurations and support customer integration, testing, and qualification activities.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Process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architecture depends on our proprietary solid-state ceramic separator. Though our separator’s design is unique, our early-generation process relied on established or similar high-volume production processes already deployed in other industries. We, together with our partners, are developing subsequent, proprietary higher-volume separator production processes that seek to further reduce cost, increase throughput, and improve quality.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separator is being designed to enable our ‘anode-free’ architecture. As manufactured, our solid-state battery cell has no anode; the lithium-metal anode is formed during the first charge of the cell. The lithium that forms the anode comes from the cathode material we purchase. Eliminating the anode bill of materials and associated manufacturing costs found in conventional lithium-ion cells could result in a meaningful cost of goods sold (COGS) advantage once sufficient scale and process maturity are achieved. In addition, our solid-state battery cell is being designed to reduce the time and capital-intensity of the formation and aging process step as compared to conventional lithium-ion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we integrated our higher throughput separator production process into baseline cell production. Our Cobra separator process is intended to improve throughput, efficiency, footprint, and scalability of our separator production. We are focused on the throughput and capability of our pilot line in San Jose, California as well as the design of higher scale equipment and advancements in supply chain and partner ecosystem to support commercialization of our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we installed our highly automated battery cell pilot production line at our facilities in San Jose, California and inaugurated the line in February 2026, beginning its initial ramp up. Our pilot line, upon ramp up, is intended to serve four purposes. First, to provide a sufficient quantity of separators and cells for internal development and customer sampling and testing. Second, to provide the basis for continued production process development and to help inform equipment selection and specifications for future production activities by us or our partners. Third, we target the initial production of QSE-5 cells from the pilot line. Fourth, to support collaboration and future technology transfer activities as part of the collaboration and licensing arrangements with PowerCo as well as potential future commercial arrangements. Delays in the successful start-up and continued development of our pilot line may impact both our development and future scale-up timelines.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achieve significant cost savings in battery design and production, in addition to the cost savings associated with the elimination of an anode from our solid-state battery cells as manufactured, while controlling costs associated with the manufacture of our separator, including achieving substantial improvements in quality, consistency, reliability, throughput and safety required to hit commercial targets. Further, we will need to capture industry cost savings in the materials, components, equipment, facilities design, and processes for products we develop, notably in the cathode and cell design. As we advance our licensing business model, we anticipate our partners will need to achieve similar cost savings in battery design and production, and capture industry cost savings.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Commercialization and Market Focus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focused on automotive EV applications, which have among the most stringent sets of requirements for batteries. Meanwhile, we see opportunities for our solid-state battery technology in other large and growing markets including consumer electronics, data centers, aerospace &amp; defense, and others and we intend to explore such opportunities as appropriate. The automotive qualification process generally includes several major delivery milestones of A, B and C samples. Each major sampling stage may consist of several generations of increasingly mature prototypes. The timelines for each stage involve uncertainty and will be influenced by a number of factors, including product and process development risks; the specification, ordering, and qualification of production equipment; other supply chain dynamics; and OEM validation timeframes.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demonstrated capabilities of our solid-state separator and battery technology in single-layer and multilayer solid-state cells in commercially relevant areas (ranging from approximately 60x75mm to 70x85mm). We will work to continue improving quality, consistency, reliability, throughput, and safety and optimize all components of the cell. We will continue to work to further develop our production processes to enable increasing volumes of prototype shipments and, through successful technology transfer, high volume manufacturing by our licensing partners.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2024, we entered into a collaboration agreement with PowerCo (as amended, the “PowerCo Collaboration Agreement”) with the goal of PowerCo industrializing QS technology based on QSE-5. PowerCo was formed by Volkswagen in 2022 as a company intended to consolidate Volkswagen’s activities in the development and production of battery cells. In connection with the PowerCo Collaboration Agreement and subject to the completion of certain milestones, we and PowerCo intend to enter into the PowerCo IP License Agreement under which we will grant PowerCo a non-exclusive, limited, royalty-bearing license to use the QS technology based on QSE-5 for the purpose of manufacturing and selling batteries primarily for automotive applications, and PowerCo will pre-pay an initial royalty fee of $130 million, against which any future royalties due will be credited. The initial royalty is subject to a time-based diminishing clawback if the PowerCo IP License Agreement is terminated early by PowerCo under certain conditions. The PowerCo Collaboration Agreement contemplates joint scale-up team working at our battery development pilot line in San Jose, California for the development, validation, demonstration, and initial commercialization of QS battery cell technology based on QSE-5 and toward the transfer of such technology into cell size determined by PowerCo (the “Project”). From time to time, we and PowerCo have amended PowerCo Collaboration Agreement, including to update the program structure and milestones. In October 2026, we further amended the PowerCo Collaboration Agreement to, among other things, remove transition payments due from PowerCo and enter into negotiations for a revised scope of work and payments, including our current and next generation technology roadmap and applications beyond automotive such as data centers or robotics. During this negotiation period, PowerCo will not make milestone payments for the Project.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signed agreements with PowerCo with the goal of commercializing our battery technology, we intend to continue working closely with automotive OEMs to make our solid-state battery cells widely available over time. We have also signed agreements, including customer sampling, technology evaluation and joint research and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technology enables a variety of business models and presents opportunities with a variety of potential customers, such as automotive OEMs, end-users, and licensees, as applicable. In addition to the collaboration with PowerCo, which contemplates a capital-light licensing arrangement, we may operate solely-owned manufacturing facilities, license technology or sell components to other manufacturers, or enter into joint venture arrangements, among other approaches. We intend to continue to invest in research and development to improve battery cell performance, improve production processes, and reduce cost.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Access to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our cash and cash equivalents and marketable securities were approximately $819.8 million. Changes to our technology development, operating costs and scale-up, including our ability to meet the milestones for entry into the PowerCo IP License Agreement, receipt of the related initial royalty fee from PowerCo, and achievement of the Project milestones for receipt of Project contributions from PowerCo, could materially impact us and the availability of our capital resources. We may also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instability in global economic markets, increased trade tariffs, and regulatory developments, among others. To the extent that our current resources are insufficient to satisfy our cash requirements, we may need to seek additional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Regulatory Landscape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an industry that is subject to many established environmental regulations, which have generally become more stringent over time, particularly in hazardous waste generation and disposal and pollution control. Regulations in our target markets include economic incentives to purchasers of EVs, tax credits for EV manufacturers, and economic penalties that may apply to a car manufacturer based on its fleet-wide emissions which may indirectly benefit us to the extent that the regulations expand the market size of EVs. While we also expect environmental regulations to provide a tailwind to our growth, it is possible for certain regulations to result in margin pressures. Trade restrictions and tariffs are subject to unknown and unpredictable changes that could impact our ability to meet projected sales or margins. In addition, there are government regulations pertaining to battery safety, transportation of batteries, use of batteries in cars, and factory safety. We will ultimately have to comply with these regulations to sell our batteries into the market. The license and sale of our battery technologies abroad is likely to be subject to more stringent export controls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conduct our business through one operating segment. As a pre-revenue company focused on the development and commercialization of our solid-state lithium-metal battery technology, our activities to date have been limited and were conducted primarily in the United States. Our historical results are reported under United States of America generally accepted accounting principles (“U.S. GAAP”) and in U.S. dollars. Upon commencement of commercial operations, we expect to expand our global operations substantially, including in the United States and the European Union, and as a result we expect our future results to be sensitive to foreign currency transaction and translation risks and other financial risks that are not reflected in our historical financial statements. As a result, we expect that the financial results we report for periods after we begin commercial operations will not be comparable to the financial results included in this Report.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research and development stage company and we have not generated any revenues to date.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our research and development expenses have consisted primarily of personnel-related expenses for scientists, experienced engineers and technicians as well as costs associated with the construction and ramp up of our pilot line in San Jose, including the material and supplies to support the product development and process engineering efforts. As we ramp up our engineering operations to complete the development of our solid-state, lithium-metal batteries and required process engineering to meet automotive cost targets, we anticipate that research and development expenses will increase significantly for the foreseeable future as we continue to invest in additional plant and equipment for product development (e.g., multilayer cell stacking, packaging engineering), building prototypes, and testing of battery cells as our team works to meet the full set of automotive product requirements. We also recognize significant non-cash stock-based compensation to employees directly involved in research and development activities. For stock-based compensation awards with performance conditions, such as the Milestone PSUs, the non-cash expense recognized is based on a probability assessment of the performance conditions, and as such, research and development expenses may fluctuate in the future as the performance conditions are re-assessed at each reporting period. For more information on the Milestone PSUs, see Note 8, Stockholders’ Equity, to our unaudited consolidated financial statements included elsewhere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ramp toward commercialization of our technology, we will begin to incur expenses that are directly associated with such, including allocation of indirect costs from research and development.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mainly of personnel-related expenses for our executive, sales and marketing, insurance and other administrative functions as well as outside professional services, including legal, accounting and other advisory services. We are continuing to expand our supporting systems, in anticipation of planning for and supporting the commercialization of our technology and due to the ongoing requirements of being a public company. Accordingly, we expect our general and administrative expenses to increase in the near term and for the foreseeable future. Upon commencement of commercial operations, we also expect general and administrative expenses to include customer and sales support and advertising costs. We also recognize significant non-cash stock-based compensation to executives and certain employees. The non-cash expenses recognized for the Milestone PSUs are based on a probability assessment of the performance conditions, and as such, general and administrative expenses may fluctuate in the future as the performance conditions are re-assessed at each reporting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ramp toward commercialization of our technology, we will begin to incur expenses that are directly associated with such, including allocation of indirect costs from general and administrative activities. </w:t>
      </w:r>
    </w:p>
    <w:p>
      <w:pPr>
        <w:pStyle w:val="TextBody"/>
        <w:bidi w:val="0"/>
        <w:spacing w:before="120" w:after="283"/>
        <w:jc w:val="both"/>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consists primarily of interest expense associated with our finance lease for one of our facilities.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primarily of interest income from marketable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other income (expense) consists of miscellaneous income and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Income Tax (Provision) Benefit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income tax provision consists of an estimate for U.S. federal and state income taxes and foreign income tax based on enacted rates, as adjusted for allowable credits, deductions, uncertain tax positions, changes in deferred tax assets and liabilities, and changes in tax law. We maintain a valuation allowance against the full value of our U.S. federal, state, and foreign deferred tax assets because we believe the recoverability of the tax assets is not more likely than not.</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Comparison of the Three and Nine Months Ended September 30, 2026 to the Three and Nine Months Ended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our historical operating results for the periods indicated (amounts in thousands):</w:t>
      </w:r>
    </w:p>
    <w:tbl>
      <w:tblPr>
        <w:tblW w:w="11561" w:type="dxa"/>
        <w:jc w:val="left"/>
        <w:tblInd w:w="0" w:type="dxa"/>
        <w:tblLayout w:type="fixed"/>
        <w:tblCellMar>
          <w:top w:w="28" w:type="dxa"/>
          <w:left w:w="28" w:type="dxa"/>
          <w:bottom w:w="28" w:type="dxa"/>
          <w:right w:w="28" w:type="dxa"/>
        </w:tblCellMar>
      </w:tblPr>
      <w:tblGrid>
        <w:gridCol w:w="1291"/>
        <w:gridCol w:w="146"/>
        <w:gridCol w:w="211"/>
        <w:gridCol w:w="736"/>
        <w:gridCol w:w="166"/>
        <w:gridCol w:w="146"/>
        <w:gridCol w:w="211"/>
        <w:gridCol w:w="841"/>
        <w:gridCol w:w="166"/>
        <w:gridCol w:w="146"/>
        <w:gridCol w:w="211"/>
        <w:gridCol w:w="736"/>
        <w:gridCol w:w="166"/>
        <w:gridCol w:w="146"/>
        <w:gridCol w:w="184"/>
        <w:gridCol w:w="477"/>
        <w:gridCol w:w="271"/>
        <w:gridCol w:w="146"/>
        <w:gridCol w:w="211"/>
        <w:gridCol w:w="841"/>
        <w:gridCol w:w="166"/>
        <w:gridCol w:w="146"/>
        <w:gridCol w:w="211"/>
        <w:gridCol w:w="841"/>
        <w:gridCol w:w="166"/>
        <w:gridCol w:w="146"/>
        <w:gridCol w:w="211"/>
        <w:gridCol w:w="736"/>
        <w:gridCol w:w="166"/>
        <w:gridCol w:w="146"/>
        <w:gridCol w:w="184"/>
        <w:gridCol w:w="477"/>
        <w:gridCol w:w="5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research and development expense in the three months ended September 30, 2026 compared to the three months ended September 30, 2025 primarily resulted from a decrease of $6.8 million in impairment loss, a decrease of $6.8 million in non-cash stock-based compensation expense including the reversal of previously recognized expense of $2.9 million for Milestone PSUs that management determined, during the three months ended September 30, 2026, were not probable of achievement, a decrease of $1.3 million in professional service and outside service fees and a decrease of $0.9 million in expensed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research and development expense in the nine months ended September 30, 2026 compared to the nine months ended September 30, 2025 primarily resulted from a decrease of $19.8 million in impairment loss, a decrease of $12.1 million in non-cash stock-based compensation expense including the reversal of previously recognized expense of $3.6 million for Milestone PSUs that management determined, during the nine months ended September 30, 2026, were not probable of achievement, a decrease of $9.0 million in depreciation and amortization, a decrease of $4.1 million in facility costs and a decrease of $2.1 million in personnel costs.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general and administrative expenses in the three months ended September 30, 2026 compared to the three months ended September 30, 2025 primarily resulted from a decrease of $6.1 million in non-cash stock-based compensation expense including the reversal of previously recognized expense of $5.2 million for Milestone PSUs that management determined, during the three months ended September 30, 2026, were not probable of achievement, primarily offset by an increase of $1.1 million in professional service fees and office administration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general and administrative expenses in the nine months ended September 30, 2026 compared to the nine months ended September 30, 2025 primarily resulted from a decrease of $9.9 million in non-cash stock-based compensation expense including the reversal of previously recognized expense of $6.0 million for Milestone PSUs that management determined, during the nine months ended September 30, 2026, were not probable of achievement, primarily offset by an increase of $2.3 million in professional service fees and office administration costs.</w:t>
      </w:r>
    </w:p>
    <w:p>
      <w:pPr>
        <w:pStyle w:val="TextBody"/>
        <w:bidi w:val="0"/>
        <w:jc w:val="left"/>
        <w:rPr/>
      </w:pPr>
      <w:r>
        <w:rPr/>
        <w:t> </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Other Income (Expense)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remained consistent for the three and nine months ended September 30, 2026 compared to the three and nine months ended September 30,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interest income during the three and nine months ended September 30, 2026 compared to the three and nine months ended September 30, 2025 was mainly due to the decrease in interest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for the three and nine months ended September 30, 2026 and 2025, respectively, were not material individually or in aggregate.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Income Tax (Provision) Benefit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income tax provision for the three and nine months ended September 30, 2026 and 2025 were not material.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and December 31, 2025, our cash and cash equivalents and marketable securities were approximately $819.8 million and $970.8 million, respectively. Our cash equivalents are invested in U.S. money market funds, U.S. Treasury bonds and commercial paper. Our marketable securities are invested in U.S. Treasury notes and bonds, commercial paper, and corporate notes and bonds.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yet to generate any revenue from our business operations. To date, we have funded our capital expenditure and working capital requirements through equity as further discussed below. Our ability to successfully develop our products, commence commercial operations and expand our business will depend on many factors, including our working capital needs, the availability of equity or debt financing and, over time, our ability to generate cash flows from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we sold 24.9 million shares of our Class A Common Stock pursuant to an at-the-market offering (the “ATM offering”) and received approximately $128.5 million in proceeds, net of issuance costs paid.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2025, we sold 29.5 million shares of our Class A Common Stock pursuant to the ATM offering and received approximately $264.2 million in proceeds, net of issuance costs paid.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cash on hand will be sufficient to meet our working capital and capital expenditure requirements for a period of at least twelve months from the date of this Report. Our future capital requirements are influenced by any changes to our technology development, operating costs and scale-up, including our ability to meet the milestones to enable customer payments or the entry into the PowerCo IP License Agreement and related receipt of the initial royalty fee from PowerCo. We may need additional cash resources due to changed business conditions or other developments, including unanticipated delays in negotiations with automotive OEMs or other customers and tier-one automotive suppliers or other suppliers, supply chain challenges, competitive pressures, inflation, and regulatory developments, among others. To the extent that our current resources are insufficient to satisfy our cash requirements, we may need to seek additional funding through the issuance of equity or debt financing. If such financing is not available, or if the financing terms are onerous or less desirable than we expect, we may be forced to decrease our level of investment in product development or scale back our operations, which could have an adverse impact on our business and financial prospects.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 and 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our cash flow data for the periods indicated (amounts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01" w:type="dxa"/>
        <w:jc w:val="left"/>
        <w:tblInd w:w="0" w:type="dxa"/>
        <w:tblLayout w:type="fixed"/>
        <w:tblCellMar>
          <w:top w:w="28" w:type="dxa"/>
          <w:left w:w="28" w:type="dxa"/>
          <w:bottom w:w="28" w:type="dxa"/>
          <w:right w:w="28" w:type="dxa"/>
        </w:tblCellMar>
      </w:tblPr>
      <w:tblGrid>
        <w:gridCol w:w="3466"/>
        <w:gridCol w:w="146"/>
        <w:gridCol w:w="277"/>
        <w:gridCol w:w="1107"/>
        <w:gridCol w:w="218"/>
        <w:gridCol w:w="192"/>
        <w:gridCol w:w="277"/>
        <w:gridCol w:w="1107"/>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(171,319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flows used in operating activities to date have been primarily driven by the growth in our underlying business to support the research and development of next-generation battery technology. As of September 30, 2026, our operating lease commitments are approximately $7.3 million during the next twelve months and approximately $36.2 million thereafter. From time to time, we also enter into non-cancellable service and purchase commitments. We are expecting cash used in operating activities to include payments of approximately $2.9 million in the next twelve months and approximately $3.2 million thereafter for our non-cancellable commitments as of September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2026 was primarily driven by a net loss of $283.5 million, offset by non-cash expense of $74.1 million related to stock-based compensation, non-cash expense of $40.8 million related to depreciation and amortization, non-cash lease expense and amortization of right-of-use assets of $7.7 million. Cash used in the operating activities was further driven by $11.5 million related to accretion of discounts on marketable securities and a decrease of $3.5 million in operating lease liability due to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2025 was primarily driven by a net loss of $334.9 million, offset by non-cash expense of $96.1 million related to stock-based compensation, non-cash expense of $52.0 million related to depreciation and amortization, write-off of fixed assets of $24.4 million, non-cash lease expense and amortization of right-of-use assets of $5.9 million. Cash used in the operating activities was further driven by $13.7 million related to amortization of premiums and accretion of discounts on marketable securities, a decrease of $9.0 million in accounts payable, accrued liabilities and accrued compensation and benefits, and a decrease of $3.7 million in operating lease liability.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flows from investing activities to date have been comprised of purchases of property and equipment and purchases, maturities and sales of our marketable securities. We expect to continue making significant capital investments in the near term to acquire property and equipment in support of our pilot line and future product roadmap.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nine months ended September 30, 2026 primarily consists of proceeds from the maturity of marketable securities of $689.2 million. These were offset by $684.3 million used for the purchase of marketable securities and $19.0 million used for the purchase of various property and equipment, primarily to support our research and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nine months ended September 30, 2025 primarily consists of proceeds from the maturity of marketable securities of $830.7 million. These were offset by $824.9 million used for the purchase of marketable securities and $24.0 million used for the purchase of various property and equipment, primarily to support our research and development activities.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flows from financing activities primarily consist of proceeds from the issuance of common stock and exercise of stock options. A finance lease commitment for one of our buildings will result in net cash payments of $5.5 million in the next twelve months and payments of $29.5 million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nine months ended September 30, 2026 primarily consists of $28.9 million capital contribution received under the PowerCo Collaboration Agreement with no shares issued, and $3.7 million received from the exercise of stock options and our employee stock purchase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nine months ended September 30, 2025 is primarily due to approximately $264.3 million in net proceeds from the ATM offering and $23.6 million received from the exercise of stock options and our employee stock purchase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consolidated financial statements have been prepared in accordance with U.S. GAAP. In the preparation of these consolidated financial statements, we are required to use judgment in making estimates and assumptions that affect the reported amounts of assets and liabilities and the disclosure of contingent assets and liabilities as of the date of the consolidated financial statements, as well as the reported expenses incurred during the reporting periods.</w:t>
      </w:r>
    </w:p>
    <w:p>
      <w:pPr>
        <w:pStyle w:val="TextBody"/>
        <w:bidi w:val="0"/>
        <w:spacing w:before="120" w:after="283"/>
        <w:jc w:val="both"/>
        <w:rPr/>
      </w:pPr>
      <w:r>
        <w:rPr>
          <w:rFonts w:ascii="Times New Roman" w:hAnsi="Times New Roman"/>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w:t>
      </w:r>
      <w:hyperlink w:anchor="note_2">
        <w:r>
          <w:rPr>
            <w:rStyle w:val="InternetLink"/>
          </w:rPr>
          <w:t xml:space="preserve"> Note 2, Summary of Significant Accounting Policies</w:t>
        </w:r>
      </w:hyperlink>
      <w:r>
        <w:rPr>
          <w:rFonts w:ascii="Times New Roman" w:hAnsi="Times New Roman"/>
          <w:color w:val="000000"/>
          <w:sz w:val="20"/>
        </w:rPr>
        <w:t xml:space="preserve">, to our unaudited consolidated financial statements included elsewhere in this Report.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pPr>
      <w:r>
        <w:rPr>
          <w:rFonts w:ascii="Times New Roman" w:hAnsi="Times New Roman"/>
          <w:color w:val="000000"/>
          <w:sz w:val="20"/>
        </w:rPr>
        <w:t xml:space="preserve">See </w:t>
      </w:r>
      <w:hyperlink w:anchor="note_3">
        <w:r>
          <w:rPr>
            <w:rStyle w:val="InternetLink"/>
          </w:rPr>
          <w:t>Note 3, Recent Accounting Pronouncements</w:t>
        </w:r>
      </w:hyperlink>
      <w:r>
        <w:rPr>
          <w:rFonts w:ascii="Times New Roman" w:hAnsi="Times New Roman"/>
          <w:color w:val="000000"/>
          <w:sz w:val="20"/>
        </w:rPr>
        <w:t>, to the unaudited condensed consolidated financial statements elsewhere in this Report for more information about recent accounting pronouncements, the timing of their adoption, and, to the extent it has made one, of their potential impact on our financial condition and its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3_quantitative_qualitative_disclosu"/>
      <w:bookmarkEnd w:id="15"/>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Company’s market risk during the three months ended September 30, 2026. For a discussion of the Company’s exposure to market risk, refer to the Company’s market risk disclosures set forth in Part II, Item 7A, “Quantitative and Qualitative Disclosures About Market Risk” of our Annual Report.</w:t>
      </w:r>
    </w:p>
    <w:p>
      <w:pPr>
        <w:pStyle w:val="TextBody"/>
        <w:bidi w:val="0"/>
        <w:spacing w:before="120" w:after="283"/>
        <w:jc w:val="both"/>
        <w:rPr>
          <w:rFonts w:ascii="Times New Roman" w:hAnsi="Times New Roman"/>
          <w:b/>
          <w:color w:val="000000"/>
          <w:sz w:val="20"/>
        </w:rPr>
      </w:pPr>
      <w:bookmarkStart w:id="16" w:name="item_4_controls_procedures"/>
      <w:bookmarkEnd w:id="16"/>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designing and evaluating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the desired control objectives.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this evaluation, our Chief Executive Officer and Chief Financial Officer concluded that, as of September 30, 2026, our disclosure controls and procedures were effective at the reasonable assurance level.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during the three months ended September 30, 2026 that has materially affected, or is reasonably likely to materially affect, our internal control over financial reporting.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part_iior_information"/>
      <w:bookmarkEnd w:id="17"/>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8" w:name="item_1_legal_proceedings"/>
      <w:bookmarkEnd w:id="18"/>
      <w:r>
        <w:rPr>
          <w:rFonts w:ascii="Times New Roman" w:hAnsi="Times New Roman"/>
          <w:b/>
          <w:color w:val="000000"/>
          <w:sz w:val="20"/>
        </w:rPr>
        <w:t>Item 1. Legal Proceedings.</w:t>
      </w:r>
    </w:p>
    <w:p>
      <w:pPr>
        <w:pStyle w:val="TextBody"/>
        <w:bidi w:val="0"/>
        <w:spacing w:before="120" w:after="283"/>
        <w:jc w:val="both"/>
        <w:rPr/>
      </w:pPr>
      <w:r>
        <w:rPr>
          <w:rFonts w:ascii="Times New Roman" w:hAnsi="Times New Roman"/>
          <w:color w:val="000000"/>
          <w:sz w:val="20"/>
        </w:rPr>
        <w:t xml:space="preserve">Information regarding legal proceedings is available in </w:t>
      </w:r>
      <w:hyperlink w:anchor="note7">
        <w:r>
          <w:rPr>
            <w:rStyle w:val="InternetLink"/>
          </w:rPr>
          <w:t>Note 7, Commitments and Contingencies,</w:t>
        </w:r>
      </w:hyperlink>
      <w:r>
        <w:rPr>
          <w:rFonts w:ascii="Times New Roman" w:hAnsi="Times New Roman"/>
          <w:color w:val="000000"/>
          <w:sz w:val="20"/>
        </w:rPr>
        <w:t xml:space="preserve"> to the unaudited condensed consolidated financial statements elsewhere in this Report.</w:t>
      </w:r>
    </w:p>
    <w:p>
      <w:pPr>
        <w:pStyle w:val="TextBody"/>
        <w:bidi w:val="0"/>
        <w:spacing w:before="120" w:after="283"/>
        <w:jc w:val="both"/>
        <w:rPr>
          <w:rFonts w:ascii="Times New Roman" w:hAnsi="Times New Roman"/>
          <w:sz w:val="20"/>
        </w:rPr>
      </w:pPr>
      <w:bookmarkStart w:id="19" w:name="item_1a_risk_factors"/>
      <w:bookmarkEnd w:id="19"/>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summary risk factors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materializes, our stock price, business, operating results and financial condition could be materially adversely affected. For more information, see below for more detailed descriptions of each risk factor.</w:t>
      </w:r>
    </w:p>
    <w:p>
      <w:pPr>
        <w:pStyle w:val="TextBody"/>
        <w:bidi w:val="0"/>
        <w:spacing w:before="100" w:after="283"/>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Risks Related to Our Technology Development, Production and Performance</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involving our development of solid-state battery cells.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related to production and scale-up of our separator and solid-state battery cells.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meet targets around cost, performance characteristics or other specifications as set out by us or our customers or partners.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Reliance on third-party suppliers for necessary materials, components or equipment.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 inability to control the costs associated with our operations and the price of raw materials.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risk and uncertainty around the use of complex machinery for our operations and production.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 inability to attract and retain customers during the development stage or for commercialization through higher volume production or licensing.</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loss or early obsolescence of our production equipment.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Customer Risks and Risks Related to Our Relationship with Volkswagen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meet requirements or achieve milestones under our collaboration with PowerCo.</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Increased reliance on PowerCo to scale up and commercialize our technology.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Concentration of agreements and relationships that can restrict our business operations, commercialization opportunities and revenue generation.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Exposure to partner and customer-related risks in scaling business operations.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Challenges to accurately estimate the future supply and demand for our batteries. </w:t>
      </w:r>
    </w:p>
    <w:p>
      <w:pPr>
        <w:pStyle w:val="TextBody"/>
        <w:bidi w:val="0"/>
        <w:spacing w:before="100" w:after="283"/>
        <w:jc w:val="both"/>
        <w:rPr>
          <w:rFonts w:ascii="Times New Roman" w:hAnsi="Times New Roman"/>
          <w:sz w:val="20"/>
        </w:rPr>
      </w:pPr>
      <w:r>
        <w:rPr>
          <w:rFonts w:ascii="Times New Roman" w:hAnsi="Times New Roman"/>
          <w:i/>
          <w:color w:val="000000"/>
          <w:sz w:val="20"/>
        </w:rPr>
        <w:t>Our Intellectual Property Risks</w:t>
      </w:r>
      <w:r>
        <w:rPr>
          <w:rFonts w:ascii="Times New Roman" w:hAnsi="Times New Roman"/>
          <w:color w:val="000000"/>
          <w:sz w:val="20"/>
        </w:rPr>
        <w:t xml:space="preserve">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protect or assert our intellectual property rights.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intellectual property infringement claims or other litigation that we need to defend ourselves against.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Adverse decisions related to our patent applications and contests to our patent rights.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Other Business Risks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to successfully compete in an evolving and highly competitive battery market.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Dependence on consumer adoption of EVs for future growth and success.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Uncertainty related to expanding into new markets.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Historical and continuing financial losses.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Risks and tradeoffs related to pursuing a variety of markets, business models and arrangements.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to our objectives and targets due to unfavorable changes to our initial assumptions and analyses.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issues with operations of or disruptions to our information technology and communications systems.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Increasing exposure to artificial intelligence related risks and challenges.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Evolving scrutiny over our sustainability practices and value propositions.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Involvement in litigation, regulatory actions or government investigations and inquiries.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Exposure to product liability claims due to third-party use of our batteries.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Exposure to risks and regulations in various jurisdictions where we conduct activities.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Adverse effects of inflation and changing interest rates.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negative impacts from epidemics, pandemics, and other outbreaks.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Our Regulatory Risks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Evolving or unfavorable global trade policies, including tariffs, trade barriers and export/import regulations related to the battery and EV industry and other industries in which we may pursue.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Environmental and safety risks related to battery technology development and production. </w:t>
      </w:r>
    </w:p>
    <w:p>
      <w:pPr>
        <w:pStyle w:val="TextBody"/>
        <w:bidi w:val="0"/>
        <w:spacing w:before="100" w:after="283"/>
        <w:jc w:val="both"/>
        <w:rPr>
          <w:rFonts w:ascii="Times New Roman" w:hAnsi="Times New Roman"/>
          <w:sz w:val="20"/>
        </w:rPr>
      </w:pPr>
      <w:r>
        <w:rPr>
          <w:rFonts w:ascii="Times New Roman" w:hAnsi="Times New Roman"/>
          <w:i/>
          <w:color w:val="000000"/>
          <w:sz w:val="20"/>
        </w:rPr>
        <w:t>Risks Related to Ownership of Our Common Stock and Our Certificate of Incorporation and Bylaws Provisions</w:t>
      </w:r>
      <w:r>
        <w:rPr>
          <w:rFonts w:ascii="Times New Roman" w:hAnsi="Times New Roman"/>
          <w:color w:val="000000"/>
          <w:sz w:val="20"/>
        </w:rPr>
        <w:t xml:space="preserve">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Volatility of our Class A Common Stock market price.</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Dilution to stockholders in the event of sales of substantial amounts of our Class A Common Stock in the capital markets.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raise additional capital on favorable terms.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Manipulative activity by short sellers.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to our reasonable estimates and probability-based assumptions that can affect our results of operations.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Concentration of capital stock ownership among certain insiders.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dual class structure of our Common Stock.</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Provisions in our Certificate of Incorporation or Bylaws and under Delaware law that can limit stockholders’ ability to change management.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Limits to our stockholders’ ability to obtain a chosen judicial forum for disputes.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No cash dividends to stockholders in the foreseeable future.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General Risk Factors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attracting and retaining key employees and qualified personnel.</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Natural disasters and other catastrophic events outside of our control.</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Volatile global economic conditions due to real or perceived financial crises.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in U.S. or foreign tax policies.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Limitations to our use of deferred tax assets to offset future taxable income.</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Insufficient insurance coverage for future losses or claims against us.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inability to comply with the Nasdaq Global Select Market (“Nasdaq”) continued listing standards.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Significant expenses and administrative burdens as a public company.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maintain an effective system of internal controls which may lead to a material weakness.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Complexity of financial transactions and the associated accounting and financial reporting requirements.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Limitations in our disclosure controls and procedures that may not prevent or detect all errors or acts of fraud.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changes to analyst publications about us, our business, or the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financial statements and notes to the financial statements included elsewhere in this Report. </w:t>
      </w:r>
    </w:p>
    <w:p>
      <w:pPr>
        <w:pStyle w:val="TextBody"/>
        <w:bidi w:val="0"/>
        <w:spacing w:before="120" w:after="283"/>
        <w:jc w:val="both"/>
        <w:rPr>
          <w:rFonts w:ascii="Times New Roman" w:hAnsi="Times New Roman"/>
          <w:sz w:val="20"/>
        </w:rPr>
      </w:pPr>
      <w:r>
        <w:rPr>
          <w:rFonts w:ascii="Times New Roman" w:hAnsi="Times New Roman"/>
          <w:b/>
          <w:color w:val="000000"/>
          <w:sz w:val="20"/>
        </w:rPr>
        <w:t>Risks Related to Our Technology Development, Production and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significant challenges in our attempt to develop a solid-state battery cell and produce it at higher volumes with acceptable performance, quality, consistency, reliability, throughput, safety, and costs. Delays or failures in accomplishing our development objectives may delay or prevent successful commercialization of our technology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lithium-metal solid-state batteries that meet the requirements for wide adoption by automotive OEMs and other potential customers in the markets we are pursuing is a difficult undertaking and, as far as we are aware, has never been done before. We are still in the development stage and face significant challenges in completing the development of our battery cells and in producing battery cells in volumes with acceptable performance, quality, consistency, reliability, throughput, safety, and costs. Some of the development challenges include increasing the quality, consistency, reliability and production throughput of our separators and cells, increasing the size and layer count of our multilayer cells, increasing production scale to produce the volume of cells needed for our technology development and customer applications, installing, bringing up and optimizing higher throughput equipment, packaging design and engineering to ensure adequate cycle life, pressure management, cost reduction, completion of the rigorous and challenging specifications required by our automotive partners, including but not limited to, calendar life, energy density, mechanical, safety, and abuse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solid-state separator is in the development stage and has never been used before for battery applications (or to our knowledge, for any other applications). There are significant quality, consistency, reliability, throughput, cost and production process challenges to be solved in order for the separators to be produced and used commercially. We have had and are likely to continue to encounter engineering challenges as we increase the lateral dimensions, reduce the thickness and defects and increase the production volume of our separators. As we increase the size of our separators and battery cells, we may encounter additional manufacturing, quality, reliability, and yield challenges. In addition, we are continuously evaluating multiple cathode material compositions for inclusion in our battery cells. We also have not validated that the current cell design meets all automotive requirements. If we are not able to overcome these barriers in developing and producing separators and battery cells at commercial volumes or meeting our customers’ requirements, our business would likely fail.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tested single-layer and multilayer cells in commercially relevant areas that measure approximately 60x75mm to 70x85mm, and shipped our first A0 prototype battery cells in 2022. In 2024, we shipped the first B0 prototype samples of our QSE-5 cell and in 2025 the first B1 prototypes. While we target our first commercial product, the QSE-5, to have a capacity of approximately 5 amp-hours, the exact capacity, number of layers and dimensions may vary and depend upon specific customer preference, cell design considerations, and other factors. Achieving pilot-line, prototype, or process milestones does not assure commercial-scale production, cost targets, customer qualification, or market adoption, and delays or failures in any of these areas could materially and adversely affect our business, prospects, financial condition, and results of operations.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and our partners need to overcome production challenges to produce higher volumes of our separators and prototype battery cells and we may encounter delays and cost overruns related to equipment installation and reliability, utilities infrastructure and operations start-up, which could delay or prevent the introduction of our battery technology into the market and negatively impact our business.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installed a pilot line in San Jose, California, which serves as the foundation for our production ramp-up. We must successfully operate this line to provide a sufficient quantity of high-quality separators and cells for internal development, customer sampling and testing, and higher volumes of QSE-5 cells. Ultimately, we need to continue the build out and ramp up of our pilot line to serve as the basis for continued production process development, including to support collaboration and future technology transfer activities as part of the collaboration and licensing arrangements with PowerCo as well as potential future commercial arrangements. However, we could encounter significant delays and cost overruns related to planning, permitting, construction, equipment delivery, installation, qualification, and utilities infrastructure installation, and operations ramp-up of our pilot line, including due to factors related to its design and execution. Examples include global supply chain issues that impact our equipment suppliers, supplier non-performance and equipment damage in transit. In particular, we have experienced short-term power outages at our San Jose facilities that have been resolved, but similar disruptions may occur in the future; delays associated with material shortage and backups at key shipping ports could impact the capacity at which we can run the facility; and certain of our construction contractors have previously reported delays, including due to labor strikes of their employees that were ultimately resolved but may reoccur in the future. If we, or our partners, are unable to substantially improve our production processes to increase yield and throughput to achieve the cost, reliability, performance and volume levels required for commercial shipments, our business could be materially impacted. The readiness of our pilot line and our investments in automation do not eliminate the risks associated with equipment integration and reliability, yield instability, supplier performance and availability, or delays and difficulties in transferring and scaling our production processes to our partners’ facilities or in constructing and operating any additional production line we may build to support higher-volume manufacturing, any of which could delay or prevent the commercialization of our technology and materially and adversely affect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must continue to advance our current production processes to include more automation, such as automated film handling, and use higher volume equipment and processes, such as higher throughput equipment. There are significant engineering and mechanical challenges that we must overcome to advance the scale up of our battery cells, including shortening cycle time, improving process control and equipment reliability, and reducing consumables (including energy usage), with the target end goal of increasing the quality, consistency, reliability and throughput of our separators and battery cells without compromising performance (e.g. energy density, power, cycle life, and safety). We have not yet validated a production process or acquired the equipment necessary to produce higher volumes of our separator, cathode electrode or related cell assembly components that meet customer requirements. Our scale-up plans also depend in part on the continued successful development, integration, and improvement of advanced separator-manufacturing processes, including our higher throughput separator production process, and there can be no assurance that process improvements demonstrated at pilot scale can be reproduced at commercial scale or within our expected timelines. If we are unable to solve these packaging and reliability challenges in a scalable, low-cost way, our business is likely to fail.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we and our partners must also adapt these production processes to meet customer requirements and specifications. We will need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or dimensions. As we advance our licensing business model, our partners will similarly face significant production, scaling, and adaptation risks and will need to achieve the same or additional advancements in production processes as they take our pilot line and adapt them to their own facilities for higher volume production, otherwise our partnerships and our business will be adversely affected.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cost, performance characteristics or other specifications of the battery fall short of our targets or our customer or partner requirements, our ability to develop, market, and sell our battery technology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cost, performance characteristics or other specifications of our battery cells fall short of our targets or our customer or partner requirements, our ability to develop, market, and sell our battery technology would likely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are continuing to improve the performance characteristics and other specifications of our batteries, our battery cells must simultaneously satisfy all the commercial and safety requirements of our customers and partners. Our solid-state battery cell uses a ceramic separator which we believe is safer than conventional polymer separators. We have conducted, and we will continue to conduct, a suite of performance and safety tests on our prototype cells, including on a limited number of QSE-5 B-samples to date. Although certain of our cells tested in our laboratories have passed automotive performance and safety test levels, some of these cells have been subject to additional modified test conditions and tested to the point of failure. However,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commercial production of our solid-state battery cells commences, they may contain defects in design and manufacture that may cause them to not perform as expected or that may require repairs, recalls, and design changes. Our battery technology is inherently complex and incorporates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develop batteries that meet all our customers’ specifications, or that we or our partners will be able to detect and fix any defects in our solid-state batteries prior to the sale to potential consumers. If batteries based on our technology fail to perform as expected, this could adversely affect our sales, brand, business, prospects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establish supply relationships for necessary materials, components or equipment, which could delay the introduction of our product and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suppliers for components and equipment necessary to develop and manufacture our solid-state batteries, including key supplies, such as our cathode material and manufacturing equipment for both our solid-state separator and battery cells. We are collaborating with key suppliers but have not yet entered into agreements for the supply of production quantities for many of these materials. To the extent that we are unable to enter into commercial agreements with these suppliers on beneficial terms, or these suppliers experience difficulties or delays ramping up their supply of materials to meet our requirements, the commercialization of our battery technology will be delayed. For example, we have previously experienced minor disruptions to the supply of process gas and have also experienced and could continue to experience disruption to the supply of petroleum-derived products as a result of certain weather and geopolitical events and conflicts and any related political or economic responses and counter-responses or otherwise by various global actors. The conflicts in Ukraine, Iran and the Middle East, among others, have led to an increase in the price of petroleum and petroleum-derived products, which has in certain instances increased and may in the future further increase the cost of manufacturing, input material pricing and logistics costs. These challenges may be exacerbated in situations where we source certain of our materials and equipment exclusively from one or a few suppliers.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disruption in the supply of components, equipment or materials could temporarily disrupt research and development activities or production of our batteries until an alternative supplier is able to supply the required material. Changes in business conditions, unforeseen circumstances, political, economic and social instability, governmental changes, disruptions caused by power outages, climate change and natural disasters, and other factors beyond our control or which we do not presently anticipate, could also affect our suppliers’ ability to deliver components or equipment to us on a timely basis. Any of the foregoing could materially and adversely affect our results of operations,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Currency fluctuations, trade barriers, tariffs or shortages and other general economic or political conditions may limit our ability to obtain key materials, components or equipment for our solid-state batteries or significantly increase freight charges, raw material costs and other expenses associated with our business, which could further materially and adversely affect our results of operations, financial condition and prospects. In particular, tariffs and trade barriers, whether imposed as part of trade disputes, protective measures, or broader geopolitical strategies, could substantially increase the cost or negatively affect the availability of components and materials critical to our operations, disrupting operations or putting significant pressure on our overall cost structure or that of our partners. For example, in February 2026, the United States imposed additional tariffs on all imports into the United States, with certain limited exceptions, for a period of 150 days, and following their expiration in July 2026, imposed additional tariffs on imports from approximately 60 economies. These tariffs, any additional tariffs imposed on foreign goods, as well as retaliation by a foreign government against such tariffs or policies may affect, directly or indirectly, the prices and supply of key materials necessary for our or our supply chain operations. Such developments may also create uncertainty in the supplier landscape, causing suppliers to reassess their own sourcing strategies or delay shipments, further impacting our ability to plan and execute on our operational goals. We may also be subject to a number of geopolitical risks, including U.S. and foreign government trade restrictions or sanctions and any political or economic responses or counter-responses to such restrictions or sanctions. As global competition for raw materials continues to intensify, particularly in light of rising demand for battery technologies, including due to policy-driven market instability or the reallocation of global supply in response to protectionist measures, we may face difficulties securing critical supplies on favorable terms or at all, which could materially harm our ability to produce batteries at scale and threaten the viability of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 and the components necessary to develop and commercialize our solid-state battery technology, and, if we are unable to control these costs and achieve cost advantages, our business will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require significant capital to develop and grow our business and expect to incur significant expenses, including those relating to research and development, raw material procurement, leases, sales, distribution, and technology transfer as we build our brand and market our battery technology, and general and administrative costs as we scale our operations, including the costs of our activities under the PowerCo Collaboration Agreement, and, if entered into, the PowerCo IP License Agreement. For example, there has been volatility in prices and availability of raw material such as cobalt, nickel, and lithium and such material may face industry-wide shortages. Our ability to become profitable in the future will not only depend on our ability to successfully market or license our solid-state battery technology, but also to control our costs and achieve our target cost projections, including our or our licensing partners’ projected cost advantage when compared to the costs of building traditional lithium-ion batteries at scale or the costs of building solid-state batteries by other market players. If we or our partners, as applicable, are unable to cost-efficiently design, manufacture, market, sell and distribute our solid-state battery technology, including under the PowerCo Collaboration Agreement, our margins, profitability and prospects would be materially and adversely affected. We or our partners have not yet produced any solid-state battery cells at commercial capacity or in volume and our forecasted cost advantage for the production of these cells at scale, compared to conventional lithium-ion cells, will require rates of throughput, use of electricity and consumables, yield, and levels of automation that we or our partners have not yet achieved. If we or our partners are unable to achieve these targeted rates, our business will be adversely impacted.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while we have estimated that eliminating the anode host material and the associated manufacturing costs will provide savings in production at scale compared to the costs of building traditional lithium-ion batteries at leading manufacturers, that estimate is subject to numerous assumptions and uncertainties. To achieve those savings, we or our partners, as applicable, will need to achieve significant cost savings in battery design and manufacturing, in addition to the cost savings associated with the elimination of an anode from our solid-state battery cells, while controlling costs associated with the manufacturing of our separator, including achieving substantial improvements in throughput and yield required to hit commercial targets. Further, we or our partners, as applicable, will need to capture industry-wide cost savings in the materials, components, equipment, facilities design, and processes that our technology shares with traditional lithium-ion battery manufacturing, notably in the cathode and cell design. We cannot be certain that we or our partners will achieve these cost savings or that future efficiency improvements in lithium-ion battery manufacturing will not reduce or eliminate these estimated cost savings.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significant costs related to procuring materials required to manufacture and assemble our samples and batteries. We expect to use various materials in our batteries that will require us to negotiate purchase agreements and delivery lead-times on advantageous terms. We and our partners may not be able to control fluctuation in the prices for these materials or negotiate agreements with suppliers on terms that are beneficial to us or our partners. Our business depends on the continued supply of certain proprietary materials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our raw materials or components would increase our operating costs and negatively impact our prospects. For example, our shipping costs have increased in the past as suppliers have applied fuel surcharges. Costs for certain key raw materials and components have also increased due to fluctuations in global commodity prices. Our suppliers’ increasing labor costs have also contributed to rising prices. Given that we have yet to generate any revenue from our business operations, we are also limited in our ability to pass on the cost of any such increases to our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cost of producing battery cells depends in part upon the prices and availability of raw materials such as lithium, nickel, cobalt and/or other metals. The prices for these materials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on complex machinery for our operations, and production of our solid-state battery cells involves a significant degree of risk and uncertainty in terms of operational performance and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heavily on complex machinery for our operations and the production of our solid-state battery cells, and this equipment has not yet been qualified to operate at large-scale manufacturing by us or our partners. The work required to integrate this equipment into the production of our solid-state battery cells is time intensive and requires us and our partners to work closely with the equipment provider to ensure that it works properly for our unique battery technology. This integration work will involve a significant degree of uncertainty and risk and may result in a delay in the scaling up of production or result in additional cost to our battery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throughput machinery is required to achieve our goal to commercialize our battery technology. Such machinery is likely to suffer unexpected malfunctions from time to time and may require repairs and spare parts to resume operations, which may not be available when needed, particularly if global supply chain disruptions continue or are not fully resolved. Unexpected malfunctions of our or our partners’ production equipment may significantly affect the intended operational efficiency. In addition, because this equipment has not been used to build our solid-state battery cells before, the operational performance and costs associated with this equipment can be difficult to predict and may be influenced by factors outside of our or our partners’ control, such as, but not limited to, failures by suppliers to deliver necessary components of our products in a timely manner and at prices and volumes acceptable to us or our partners, environmental hazards and remediation, difficulty or delays in obtaining governmental permits, damages or defects in systems, industrial accidents, fires, seismic activity and other natural disasters.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Operational problems with production equipment could result in the personal injury to or death of our or our partners’ workers, the loss of production equipment, damage to production facilities, monetary losses, delays and unanticipated fluctuations in production. The potential risks of operational problems at our facilities also apply to individuals not employed and equipment not owned by us, such as third-party contractors, and our business partners’ personnel and equipment. In addition, operational problems may result in environmental damage, administrative fines, increased insurance costs and potential legal liabilities. These operational problems could have a material adverse effect on our business, results of operations, cash flows, financial condition or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succeed in attracting and retaining customers, including licensees, during the product development stage or for higher volume commercialization of our technology, and our future growth and success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succeed in attracting and retaining customers, including licensees, during the product development stage or for higher volume commercialization of our technology in the EV market or other potential markets for our battery technology. If we are unable to attract new customers in need of our products or the licensing of our battery technology, whether due to inadequate product-market fit or for other reasons, our business may suffer. Conversely, we may not be able to retain existing customers in case of delays or capacity limitations in the development of our solid-state battery technology, which would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potential customers tend to be large enterprises that often undertake a significant evaluation process and are frequently subject to budget constraints, multiple approvals and unanticipated administrative, processing and other delays, that result in a lengthy sales or licensing cycle. Therefore, our future success will depend on our ability to effectively sell our products or license our technology to such large customers. Sales to these end-customers involve risks that may not be present (or that are present to a lesser extent) with sales to smaller customers. These risks include, but are not limited to, (i) increased purchasing power and leverage held by large customers in negotiating contractual arrangements with us, including a greater ability to push back on attempts to pass on increased operating and procurement costs and require provisions that can lead to a delay in revenue recognition, (ii) longer sales and implementation cycles and the associated risk that substantial time and resources may be spent on a potential end-customer that elects not to purchase our solutions, and (iii) greater product functionality and scalability requirements, including a broader range of services. There are also only a limited number of OEMs in the automotive sector, and a similarly limited number of potential customers in certain of the other markets we are exploring. All of these factors can add further risk to business conducted with these potential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signed customer sampling, technology evaluation and joint development agreements with a number of OEMs, we are still in the process of development and scale-up of our San Jose pilot line and there is no assurance or guarantee that we can sufficiently develop our solid-state battery technology or that any of our customers or potential customers will be able to successfully complete their testing and validation processes and, therefore, enter into definitive volume production or license agreements with us. Until we are able to enter into agreements with multiple customers to commercialize our technology, we anticipate that our operating results may vary significantly from quarter to quarter.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expand our engagements with multiple customers, including beyond the automotive market, we may need to support different technical requirements, qualification processes, product configurations, and timelines. These activities may require significant engineering and operational resources and could increase development costs or delay commercialization. If we are unable to effectively manage these engagements with multiple customers in a timely manner, our business and prospects could be adversely affected.</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negatively impacted by any early obsolescence of our production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depreciate the cost of our equipment over their expected useful lives. However, our cell design or production processes may change periodically, and we may decide to update our design or production processes more quickly than expected. Moreover, improvements in engineering and production expertise and efficiency may result in our ability to manufacture our cells using less of our currently installed equipment. Alternatively, as we develop our production processes, we may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may be harmed. For example, during the year ended December 31, 2025, we wrote off approximately $26.6 million of property and equipment for assets with no remaining future benefit.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Customer Risks and Risks Related to Our Relationship with Volkswagen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relationship with Volkswagen and PowerCo is subject to various risks which could adversely affect our business and future prospects. There are no assurances that we will be able to achieve the milestones for the commercialization of solid-state batteries under our collaboration with PowerCo or that we will enter into the PowerCo IP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2024, we entered into the PowerCo Collaboration Agreement with the goal of PowerCo industrializing QS technology based on QSE-5. Under the PowerCo Collaboration Agreement, the parties agreed to collaborate to enable PowerCo to manufacture battery cells incorporating QS technology based on QSE-5, including through a joint scale-up team that was established to facilitate the transfer of such technology into a cell size determined by PowerCo and by carrying out the activities set forth in statements of work. In connection therewith and subject to the completion of certain milestones, the parties intend to enter into the PowerCo IP License Agreement under which we will grant PowerCo a non-exclusive, limited, royalty-bearing license to use the QS technology based on QSE-5 for the purpose of manufacturing and selling batteries primarily for automotive applications, initially at one or more PowerCo facilities that together have an annual capacity of up to 40 GWh, expandable by an additional 40 GWh of annual capacity or such other capacity as may be agreed to by the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PowerCo have amended the PowerCo Collaboration Agreement in July 2025 and July 2026, including to amend the terms of the PowerCo IP License Agreement to provide PowerCo the right to produce up to an additional 5 GWh of QS battery cell technology based on QSE-5 annually, including for customers outside the Volkswagen Group, bringing the potential maximum production by PowerCo under the PowerCo IP License Agreement to 85 GWh annually, and to update the program structure and milestones. In October 2026, we further amended the PowerCo Collaboration Agreement to, among other things, remove transition payments due from PowerCo and enter into negotiations for a revised scope of work and payments, including our current and next generation technology roadmap and applications beyond automotive. During this negotiation period, PowerCo will not make milestone payments for the Project.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assurance that we will be able to complete the development of the solid-state battery cells or achieve the technical milestones in the time frame required by the PowerCo Collaboration Agreement or to satisfy PowerCo’s business needs, or that the joint scale-up team will cooperate successfully or complete in a timely and cost-effective manner the responsibilities assigned to them under the PowerCo Collaboration Agreement. If we are not able to reach certain milestones under the PowerCo Collaboration Agreement, PowerCo has no obligation to enter into the PowerCo IP License Agreement and may, in certain circumstances, terminate the PowerCo Collaboration Agreement. In these cases, we will not receive the initial royalty fee otherwise due to us under the PowerCo Collaboration Agreement and will not realize any of the benefits otherwise expected from such agreements. Additionally, continued payments by PowerCo are subject to completion of certain technical milestones or other contractual payment schedules, and therefore our results may vary significantly from quarter to quarter. There can be no assurance that the joint scale-up team will complete certain technical milestones or that we will receive any further payments from PowerCo in connection with the Project. Certain technical milestones have not been achieved within the contemplated time frames and the corresponding payments will not be paid to us. Any reduction, delay, failure to successfully negotiate a revised scope of work, or termination of the PowerCo Collaboration Agreement or its funding could disrupt our development timelines, impact our engagements with other customers and partners, and materially impact our business and financial results. The amounts of royalties to be paid under the PowerCo IP License Agreement, if entered into, will depend on the performance of our solid-state battery and the demand for the vehicles that Volkswagen develops specifically to use with the solid-state battery cells produced under the PowerCo IP License Agreement. If we cannot complete the development of our solid-state battery cells, if PowerCo does not select our solid-state battery cell for commercialization or if there is a delay in the introduction of the Volkswagen vehicles that intend to use our solid-state battery cells, our business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Volkswagen is our largest shareholder and holds the right to designate two directors to our Board. The strong relationship that we have developed with Volkswagen, including as a shareholder, and PowerCo and rights under the PowerCo Collaboration Agreement and, if entered into, the PowerCo IP License Agreement, may deter other automotive OEMs, or potential customers in other markets we are pursuing, from working closely with us. While the PowerCo IP License Agreement, if entered into, would be non-exclusive, allowing us to license our intellectual property to other third parties, we may still need to incur significant additional expenditures for design, development, and testing to meet the needs of these third parties. If we are not able to expand our other customer relationships to a license or commercialization intent, or if we become too dependent on Volkswagen for our revenue, our business could be harmed. Volkswagen may have economic, business or legal interests or goals that are inconsistent with our goals, and may face broader financial and operational challenges affecting its global automotive business. For example, adverse conditions in the EV market have led Volkswagen to reduce planned capital investments in their overall electrification efforts, which may delay, scale back, or otherwise adversely affect our collaboration and planned commercialization of our battery technology. Further, the existence of a related-party arrangement could raise concerns among investors, analysts, or regulators about potential conflicts of interest or the independence of our governance practices. In addition, the contractual arrangements with PowerCo involves complex accounting judgments under U.S. GAAP (as defined below). Any significant disagreements with Volkswagen may impede our ability to maximize the benefits of our relationship, slow the commercialization of our solid-state battery and impact on our relationship with other customers and partners. In addition, if PowerCo is unable or unwilling to meet its economic or other obligations under the PowerCo Collaboration Agreement and PowerCo IP License Agreement, if entered into, we may be required to terminate such agreements and thereby may not realize any of the benefits otherwise expected from such agreements. These factors could result in a material adverse effect on our business and financial results. While we have entered into the PowerCo Collaboration Agreement, we cannot predict the extent to which PowerCo’s activities may pose a competitive risk to, or otherwise be in conflict with,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milestones under the PowerCo Collaboration Agreement are met and the PowerCo IP License Agreement is entered into, we will become reliant on PowerCo to scale up and commercialize our technology, preserve the value of our license, and will be further exposed to risks related to PowerCo’s financial and business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continue to explore opportunities to commercialize our technology with existing and potential partners, the PowerCo Collaboration Agreement is currently the only agreement we have with the intent to commercialize our technology. Therefore, entering into the PowerCo IP License Agreement will make us reliant on PowerCo to scale up and commercialize our technology and preserve the value of our license. It will also result in us having less direct control over decisions relating to the manufacturing of our technology and require us to rely more significantly on the alignment of incentives between us and PowerCo.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PowerCo, established in 2022 by Volkswagen, has a limited track record in battery manufacturing, thereby presenting several risks. Its operational capabilities remain untested, raising uncertainties regarding its ability to develop, scale up, and efficiently produce battery cells. Furthermore, PowerCo’s capacity to secure the requisite capital for technology development and scaling remains unproven, potentially resulting in delays to key milestones. PowerCo is wholly owned by and dependent on Volkswagen and its financial and operational resources, changes in or poor execution of business plans by either PowerCo or Volkswagen—including any decision by Volkswagen to reduce or terminate the business of PowerCo or to curtail investments in EV production through cost-cutting measures—could adversely harm our business. As PowerCo continues to execute its business plan, there are inherent risks associated with its ability to meet manufacturing timelines, manage labor relations, and sustain supplier and customer relationships. Our concentrated customer base and specific partnership with PowerCo further heighten our exposure to fluctuations in its operations and business model, any of which may impede decision-making and adversely impact the commercialization of our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verifying royalty amounts owed to us under the PowerCo IP License Agreement may be difficult. While the agreement will require PowerCo to provide reasonable documentation supporting royalties and grant us the right to audit their books and records, these audits can be expensive and time-consuming, potentially adversely affecting our financial condition and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Certain agreements and relationships currently restrict or in the future may restrict our business operations, commercialization opportunities, and revenue generation.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existing and future commercial agreements may limit or delay our ability to expand our customer base, collaborate with other customers and commercialize our intellectual property, including certain intellectual property jointly developed under such agreements. Certain agreements may also require us to prioritize certain customers’ commercialization efforts and focus on developing products that are configured to our customers’ specifications with potentially limited end-use applications, which could have an adverse impact on our results of operations if we divert resources to address these customer specific requirements and obligations. Additionally, certain agreements may require us to provide certain customers with advantageous business terms, restricting our ability to negotiate competitive terms with others and potentially reduce our anticipated revenue from royalty payments. These obligations could deter other potential partners and limit or delay our opportunities to generate revenue through licensing our technology, impacting our overall business flexibility and financial outcomes. The concentration of our customer base increases our risks related to the financial condition of our customers, and the fluctuations in financial condition of a single customer or the failure of a single customer to perform its obligations could have a material and adverse effect on our results of operations and cash flow. We currently rely on a limited number of strategic counterparties in the automotive and battery industries, and we may work with only a limited number of partners at any given time. As a result, any delay, dispute, reprioritization, or non-renewal by any single partner could have a material and adverse effect on our business, results of operations, and cash flow.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As we develop our business ecosystem, we will increasingly become reliant on partners and customers to scale up and commercialize our technology, and for certain expected funding inflows, and will be exposed to risks related to our partners and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licensing model requires building a global ecosystem of partners, including but not limited to our customers, suppliers and vendors, around our technology platform. As we advance our licensing model by collaborating with existing and potential partners, we will become more reliant on our partners to scale up and commercialize our technology, preserve the value of our license, and will also limit our ability to retain direct control over decisions around manufacturing and commercializing our technology. As our partners and customers continue to execute their respective business plans alongside us, there are inherent risks associated with their ability to meet manufacturing timelines, manage labor relations, and sustain supplier and customer relationships that will increasingly be outside of our control. Furthermore, we might not be able to obtain strict exclusivity with our partners and customers, which could enable them to work directly with other partners, customers and third parties, limiting our ability to continue or extend existing collaborations and potentially reducing our anticipated revenue from royalty payments or other similar financial arrangements. In addition, our development and scale-up activities, as well as certain expected funding inflows, increasingly depend on our strategic partners. If our strategic partners reduce or withdraw their support, fail to meet their contractual or financial obligations, delay key decisions, or terminate or decline to expand existing programs, our commercialization timeline, liquidity, and business prospects could be materially harmed. These factors could result in a material adverse effect on our business and financial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accurately estimate the future supply and demand for batteries incorporating our technology, which could result in a variety of inefficiencies in our or our partners’ business and hinder our ability to generate revenue. If we fail to accurately predict and forecast the demand for our battery technology, the success of our licensing model may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difficult to predict our future revenues and appropriately budget for our expenses, and we may have limited insight into trends that may emerge and affect our or our partners’ businesses. We anticipate being required to provide demand forecasts or adoption projections to our current and prospective licensees to support their production planning and supply chain coordination. Currently, there is no historical basis for making judgments on the demand for batteries utilizing our technology or for assessing our ability to successfully license, support, and scale our technology through third-party manufacturing partners. Our future revenue will also depend on the timing and prioritization of commercialization and industrialization activities by our customers, which are subject to their internal strategies, resource allocation, and market conditions. As these decisions are entirely within our customers’ control and may shift over time, they introduce additional uncertainty into our revenue forecasting and further contribute to the difficulty in predicting the pace and magnitude of our commercial growth. If we overestimate potential demand our licensees may invest in excess manufacturing capacity or materials, indirectly increasing costs or lowering margins for them, which could negatively impact our long-term commercial relationships and revenue. If we underestimate our requirements, our licensees may face inventory shortages or production delays, which could impact their ability to meet end-customer expectations, delay milestone or royalty payments to us, and damage the perceived reliability of our technology. In addition, lead times for materials and components that our partners and suppliers order may vary significantly and depend on factors such as the specific supplier, contract terms, geopolitical conditions, and macroeconomic demand for each component at a given time. If our partners are unable to source critical components in a timely manner, or if they choose to delay their commercialization efforts for any reason, the commercialization timeline for our technology could be delayed, which would harm our business, financial condition and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Intellectual Property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heavily on our intellectual property portfolio. If we are unable to protect or assert our intellectual property,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unauthorized use of our intellectual property, which could harm our business and competitive position. We rely upon a combination of the intellectual property protections afforded by patents, trademarks and trade secrets in the United States and other jurisdictions, as well as license agreements and other contractual protections, to establish, maintain and enforce rights in our proprietary technologies. In addition, we seek to protect our intellectual property through non-disclosure and invention assignment agreements with our employees and consultants, and through non-disclosure and other collaboration and development agreements with business partners and other third parties. Despite our efforts to protect our proprietary rights, insiders and third parties, including our business partners and customers, may attempt to copy or otherwise obtain, use or practice our intellectual property without our consent, use proprietary information shared by us in furtherance of an agreed upon collaboration to make developments on top of our intellectual property, including to compete with or inhibit our ability to exercise our intellectual property rights, and we may have been, and may continue to be, subject to intentional or inadvertent systems disruptions and physical or virtual security incidents, including theft or unauthorized use of our confidential information, trade secrets and proprietary technology, including with respect to our batteries and cells. Monitoring unauthorized use or loss of our intellectual property is difficult and costly, and the steps we have taken or will take to prevent misappropriation may not be sufficient. Any enforcement efforts we undertake, including litigation, may not be successful and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or our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trademark and trade secret laws vary significantly throughout the world. A number of foreign countries do not protect intellectual property to the same extent as do the laws of the United States. Government actions may also undermine our intellectual property. For example, a decree was adopted by the Russian government in March 2022, allowing Russian companies and individuals to exploit inventions owned by patentees from the United States without consent or compensation. Therefore, our intellectual property may not be as strong or as easily enforced outside of the United States and efforts to protect against the unauthorized use of our intellectual property, technology and other proprietary rights may be more expensive and difficult outside of the United States. Failure to adequately protect our intellectual property could result in our competitors using our intellectual property to offer products, potentially resulting in the loss of some of our competitive advantage and a decrease in our revenue which would adversely affect our business, prospects,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PowerCo Collaboration Agreement, we agreed to jointly own with PowerCo certain types of foreground intellectual property. This joint ownership may reduce our ability to protect or assert some of our intellectual property rights. More specifically, we agreed to jointly own certain foreground intellectual property that is jointly developed under the PowerCo Collaboration Agreement and that either party is free to exploit their share of such jointly owned intellectual property without the other’s consent, subject to certain conditions. Similarly, we have entered into, and may continue to enter into, other agreements, including joint development agreements with various business partners, for example, for the development and commercialization of our ceramic separator, that involve joint ownership of foreground intellectual property. These agreements may allow our partners to independently use, license, or develop improvements to or derivatives of jointly owned intellectual property without requiring our approval, or restrict our use of such jointly owned intellectual property, which could impact our competitive position or limit our ability to fully capitalize on such innovations. Because PowerCo and other partners may exploit such jointly owned intellectual property without our consent, we may not be able to prevent them or their licensees from using or exploiting such jointly owned intellectual property, or any improvements to or derivatives of such intellectual property developed by these partners. Additionally, our ability to innovate on or practice our intellectual property could be adversely hindered by any new such intellectual property created by our partners, and could undermine the value of our intellectual property and negatively impact our ability to work with additional prospective partners, thereby weakening our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under these arrangements, our business partners, including Volkswagen, PowerCo, and other customers and partners, have and will have access to certain proprietary information or intellectual property, increasing the risk of misappropriation, unauthorized use, or inadvertent disclosure due to insufficient safeguards, cybersecurity incidents, employee misconduct, or other vulnerabilities. Such risks could undermine the value of our intellectual property, disrupt our business, or impair our ability to effectively protect our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PowerCo IP License Agreement, if entered into, we intend to grant PowerCo a perpetual license to some of our intellectual property. This license may limit our ability to prohibit third parties, including PowerCo and its sublicensees, from exploiting our licensed intellectual property in perpetuity.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need to defend ourselves against intellectual property infringement claims, which may be time-consuming and could cause us to incur substantial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organizations or individuals, including our current and future competitors, may hold or obtain patents, trademarks or other proprietary rights that would prevent, limit or interfere with our ability to make, use, develop or sell our products, which could make it more difficult and costly for us to operate our business. From time to time, we may receive requests from third parties inquiring whether we are infringing their intellectual property and/or seek court declarations that they do not infringe upon our intellectual property. Companies holding patents or other intellectual property relating to our business, including intellectual property for batteries, ceramics, electric motors, electronic power management systems, or manufacturing processes may bring suits alleging infringement of such rights or otherwise asserting their rights and seeking licenses. Additionally, joint ownership of intellectual property, including under agreements such as the PowerCo Collaboration Agreement, may increase the risk of disputes over the use, licensing, or enforcement of jointly owned intellectual property. Such disputes could result in litigation, which may be costly, time-consuming, and disruptive to our operations. In addition, if we are determined to have infringed a third party’s intellectual property,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cease selling, licensing, incorporating or using products, methods or other assets that incorporate or otherwise infringe or misappropriate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from the holder of the infringed intellectual property,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our affected products and methods.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 successful claim of infringement against us and our failure or inability to obtain a license to the infringed technology on reasonable terms, our business, prospects, operating results and financial condition could be materially adversely affected. In addition, any litigation or claims, whether or not well-founded, could result in substantial costs and diversion of resources and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license patents and other intellectual property and technology from third parties, and we may face claims that our use of this intellectual property or technology infringes the rights of others.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 Further, joint ownership arrangements may limit our ability to assert or defend claims relating to jointly owned intellectual property, as partners may independently enforce or license such intellectual property, creating additional risks of conflict, misalignment, or exposure to third-party litigation.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or our patent rights may expire or be contested, circumvented, invalidated or limited in scope, any of which could have a material adverse effect on our ability to prevent others from interfering with the licensing of our technology and commercialization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and operating our business. Any of our existing or pending patents may be challenged by others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our patent applications succeed and we are issued patents in accordance with them, these patents may still expire, be contested, circumvented, invalidated or limited in scope in the future. Patents are granted for limited terms, and may expire before or shortly after we are able to develop, scale, commercialize our technology, or enter into licensing arrangements. As a result, the commercial value of these patents may diminish over time, and we may not realize the full benefits of the patent protection before such patents expire. In addition, we may be unable to obtain additional patents or other intellectual property rights with sufficient scope or duration to meaningfully extend or replace the protection provided by our existing patent portfolio.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of others could also bar us from licensing and exploiting any patents that issue from our pending applications. In addition, patents issued to us may be infringed or designed around by others and others may obtain patents that we need to license or design around, and our patent rights may expire, which could limit our ability to leverage our patents to their full advantage and adversely affect our competitive position, either of which would increase costs and may adversely affect our business, prospects, financial condition and operating results.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Business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battery market continues to evolve, is highly competitive, and we may not be successful in competing in this industry or establishing and maintaining confidence in our long-term business prospects among current and future partners and customers, including licensees.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battery market in which we compete continues to evolve and is highly competitive and rapidly changing. To date, we have focused our efforts on our lithium-metal solid-state battery technology, which is being designed to outperform conventional lithium-ion battery technology. However, lithium-ion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including licensees, and may be able to establish cooperative or strategic relationships amongst themselves or with third parties that may further enhance their resources and competitive positioning. In addition, lithium-ion battery manufacturers may continue to reduce cost and expand supply of conventional batteries and thereby reduce the prospects for our business or negatively impact the ability for us to sell or license our products at a market-competitive price with sufficient margins. The lithium-ion battery industry may also experience periods of excess manufacturing capacity; this imbalance between demand and supply capacity may create further downward pressure on prices and could lead to competitors selling at or below material costs. In such scenarios, even if our batteries outperform conventional technologies, our competitive advantage may become irrelevant if customers prefer lower-cost conventional battery solutions or if we cannot offer pricing that meets market expectations, further threatening the viability of our business. For example, Chinese production has significantly driven down the costs of lithium-ion batteries for EVs through massive scale and government support. As of 2025, China’s average battery pack price was approximately 56% lower than costs in Europe and approximately 44% lower than costs in the United States. Continued reductions in the cost of conventional lithium-ion batteries or competing technologies could limit adoption of our technology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automotive OEMs, a number of battery technology companies, and consortiums subsidized by countries, such as China, are researching and investing in solid-state battery efforts and, in some cases, in battery development and production. There are a number of companies seeking to develop alternative approaches to solid-state battery technology, including lithium-metal batteries. We expect competition in battery technology and EVs to intensify due to increased demand for EVs and a regulatory push for EV adoption, continued globalization, and consolidation in the worldwide automotive industry. For example, PowerCo is intended to consolidate Volkswagen’s activities along the value chain for batteries—from processing raw materials to developing a unified Volkswagen battery to managing the European gigafactories. Additionally, in 2024, China announced the China All-Solid-State Battery Collaborative Innovation Platform, which brings together government, academia and industry to develop and manufacture solid-state batteries that can compete globally. Developments in alternative technologies or improvements in battery technologies made by competitors may materially adversely affect the sales, pricing and gross margins of our batteries. If a competing technology is developed with superior operational or price performance, or is commercialized more rapidly, our business will be harmed. For example, early results of silicon-anode battery technologies suggest they may offer significant competition to our business. These technologies claim to deliver higher energy densities, faster charging times, and potentially lower costs, which could reduce the demand for our solid-state batteries or require us to adjust our pricing or margins to remain competitive. Furthermore, a sustained decline in battery prices—whether due to overcapacity, aggressive pricing by competitors, performance compromises, or subsidies—could make it difficult for us to recover our costs, no matter how advanced our technology is. If we fail to accurately and timely predict and ensure that our battery technology can address customers’ changing needs or emerging technological trends, or if our customers fail to achieve the benefits expected from our solid-state batteries, our business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continue to commit significant resources to develop our battery technology to establish a competitive position, and these commitments will be made without knowing whether such investments will result in products potential customers will find acceptable. There is no assurance we will successfully identify new customer requirements, develop and bring our batteries to market on a timely basis, or that products and technologies developed by others will not render our batteries obsolete or noncompetitive, any of which would adversely affect our business and operating results. In addition to these development efforts, we may also need to commit substantial financial and operational resources to expand or enhance our partners’ facilities to support our partnerships and supplier relationships. For example, to secure custom materials or specialized components, we may need to invest in or fund partner capital expenditures. These commitments could be made without certainty that such investments will yield the intended benefits or result in commercially viable products. If we are unable to effectively manage these resource allocations or if these investments do not achieve their objectives, our business, financial condition, and operating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will be less likely to purchase our batteries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to build, scale up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market unfamiliarity with our products, any delays in scaling manufacturing, delivery and service operations to meet demand, competition and uncertainty regarding the future of EVs and our eventual production and sales performance compared with market expectations.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growth and success are dependent upon consumers’ willingness to adopt EVs.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growth and future demand for our products is highly dependent upon the adoption by consumers of alternative fuel vehicles in general and EVs in particular. In recent years, many countries, companies and consumers have accelerated targets with respect to decreasing dependency on fossil fuels, which in turn is expected to increase demand for EVs; however, the market for new EVs continues to evolve rapidly and is also characterized by rapidly changing technologies, competitive pricing and other competitive factors, evolving government regulation and industry standards, and changing consumer demands and behaviors. In addition, several challenges could slow the adoption of EVs, including the availability and affordability of raw materials critical to EV production, such as lithium, nickel, and cobalt, the adequacy of EV charging infrastructure, and concerns over battery performance, safety, and recyclability. Furthermore, economic uncertainty, fluctuating interest rates and energy prices, and geopolitical events, such as trade restrictions or conflicts affecting supply chains, could also affect consumer purchasing decisions. Automotive OEMs may delay, reduce, or discontinue EV development programs, battery procurement plans, capital expenditures, or technology collaborations as a result of market conditions, competitive pressures, or financial constraints. Any reduction in OEM investment in electrification initiatives could delay commercialization of our technology. For example, automotive companies across Europe have announced plant closures and layoffs to address weak demand, high costs, and competition from China in the EV market, and a number of other automotive OEMs have delayed, scaled back, or discontinued certain of their EV programs and models. If the market for EVs in general does not develop as expected, or develops more slowly than expected, our business, prospects, financial condition and operating results could be harmed.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successfully pursue new markets and applications is uncertain, and failure to do so could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long</w:t>
        <w:noBreakHyphen/>
        <w:t>term growth strategy depends in part on our ability to expand beyond our initial target markets and successfully commercialize our solid</w:t>
        <w:noBreakHyphen/>
        <w:t>state battery technology across additional vehicle platforms, customers, and end markets. These efforts require us to identify attractive new markets and applications, demonstrate the performance, reliability and cost competitiveness of our technology for such use cases, and convert potential customers into meaningful commercial relationships and orders. Markets outside of our initial target markets may be highly competitive, rapidly evolving, and subject to different technical, regulatory, and customer requirements. We may be unable to successfully and timely adapt our technology, establish commercial relationships, or compete effectively in these markets, which could adversely affect our growth prospects. For example, we are exploring opportunities in growing markets including consumer electronics, data centers, aerospace &amp; defense, and others, and there can be no assurance that our technology will be successful in these new markets or that we will be able to penetrate such new markets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Pursuing new markets involves significant challenges and risks, including the need to adapt our technology to different performance requirements, qualification standards, regulatory regimes, and customer expectations, as well as the potential need for additional investment in development, manufacturing capabilities, and commercial infrastructure. We may also face increased customer testing and validation requirements, and greater competitive pressures in markets where we have limited operating history or brand recognition. If we are unable to successfully address these challenges, we may not be able to achieve our expected growth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in expanding into new markets also depends on our ability to establish and maintain commercial relationships, which may include new and existing strategic partners, licensees, or other collaborators. There can be no assurance that we will be able to identify and establish relationships and arrangements with partners in such new markets. In addition, these new and existing relationships, particularly as we pursue multiple customer verticals simultaneously, require increasingly significant management attention and resources and may expose us to operational, financial, or reputational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successfully pursue and penetrate new markets, or if our efforts to do so result in higher costs, delays, or lower</w:t>
        <w:noBreakHyphen/>
        <w:t>than</w:t>
        <w:noBreakHyphen/>
        <w:t>expected returns, our business, financial condition, results of operations, and prospects could be materially and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financial losses and expect to incur significant expenses and continuing losses from operations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incurred a loss from operations of approximately $92.4 million and $307.7 million, and a net loss of approximately $84.5 million and $283.5 million for the three and nine months ended September 30, 2026, respectively, and an accumulated deficit of approximately $4.1 billion from our inception in 2010 through September 30, 2026. We believe that we will continue to incur operating losses each quarter until at least the time significant production of our lithium-metal solid-state batteries begins, and such production is not expected to begin in the near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rate at which we will incur losses to be significantly higher in future periods as we, among other things, continue to incur significant expenses in connection with the design, development and commercialization of our battery technology; expand our research and development activities; invest in production capabilities; build up inventories of components for our batteries; increase our sales and marketing activities; develop our licensing and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before="120" w:after="283"/>
        <w:jc w:val="both"/>
        <w:rPr>
          <w:rFonts w:ascii="Times New Roman" w:hAnsi="Times New Roman"/>
          <w:sz w:val="20"/>
        </w:rPr>
      </w:pPr>
      <w:r>
        <w:rPr>
          <w:rFonts w:ascii="Times New Roman" w:hAnsi="Times New Roman"/>
          <w:b/>
          <w:i/>
          <w:color w:val="000000"/>
          <w:sz w:val="20"/>
        </w:rPr>
        <w:t>We believe that our technology enables a variety of business models, including but not limited to sole manufacturing, joint ventures, and licensing, each of which may involve certain risks and tradeoffs.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license technology to other manufacturers, operate our own manufacturing facilities, or enter into joint venture arrangements, among other approaches, each with potential risks and tradeoffs.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solely-owned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favorable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 licensing model, for example if we enter into the PowerCo IP License Agreement with PowerCo,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ultimately impacting our profitability and growth. Our licensing and technology-transfer strategy also exposes us to the risk that partners fail to implement our technology successfully, require greater support than expected, do not maintain adequate quality or process discipline, or raise disputes over intellectual property, performance, exclusivity, field of use, or royalties and milestone entitlements, any of which could materially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Aside from the business models described above, if we pursue other types of arrangements or business models, we potentially face other risks and tradeoffs that could have a materially adverse effect on our business, profitability, and reputation.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and timing of development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technical or production challenges or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technological developments relating to lithium-ion, lithium-metal solid-state or other batteries that could adversely affect the commercial potential of our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can obtain sufficient capital to continue our research and development activities, build and operate our production facilities and sustain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in our collaboration with Volkswagen, including termination of the PowerCo Collaboration Agreement (including any statement of work thereunder) or PowerCo IP License Agreement, if entered into, delays in achieving the milestones set forth in the PowerCo Collaboration Agreement or failing to meet the milestones prerequisite to our entering into the PowerCo IP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expansion into new markets and other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can manage relationships with key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existing key management, integrate recent hires and attract, retain and motivate qualified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overall strength and stability of domestic and international economies.</w:t>
      </w:r>
    </w:p>
    <w:p>
      <w:pPr>
        <w:pStyle w:val="TextBody"/>
        <w:bidi w:val="0"/>
        <w:jc w:val="both"/>
        <w:rPr>
          <w:rFonts w:ascii="Times New Roman" w:hAnsi="Times New Roman"/>
          <w:color w:val="000000"/>
          <w:sz w:val="20"/>
        </w:rPr>
      </w:pPr>
      <w:r>
        <w:rPr>
          <w:rFonts w:ascii="Times New Roman" w:hAnsi="Times New Roman"/>
          <w:color w:val="000000"/>
          <w:sz w:val="20"/>
        </w:rPr>
        <w:t>Unfavorable changes in any of these or other factors, most of which are beyond our control, could materially and adversely affect our ability to achieve our objectives when planned and our business, results of operations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manage our business is highly dependent on IT systems and our website, systems, and data have been and may in the future be subject to intentional or inadvertent disruption, security incidents, or alleged violations of laws, regulations, or other obligations relating to data handling could adversely impact our reputation and future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production of our batteries, and the data we maintain, including our intellectual property, have been and may in the future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and customers face.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non-technical issues, including intentional or inadvertent acts or omissions by employees, service providers, suppliers, customers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and customers could result in lengthy interruptions in our service and may adversely affect our business, prospects,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including due to advances in technology such as artificial intelligence and other emerging technologies. In addition, the risk of cyberattacks may be heightened due to wars, global conflicts and other geopolitical events. Such cyberattacks could disrupt the economy more generally and could also impact our operations either directly or indirectly.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or timely detect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 We and/or our service providers, suppliers, customers, and partners have experienced information security incidents in the past. While none of these incidents has had a material impact on our business, operations, or financial condition to date, the frequency and sophistication of such incidents continue to increase across the industry, and we cannot guarantee that future incidents will not result in material impact on our business, prospects, financial condition and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any issues concerning the IT systems result in, or contribute to, a delay in our timely reporting of our results of operations for any period or our not filing one or more periodic reports with the SEC on time, the price of our Class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exposed to risks related to the use of artificial intelligence by us, our suppliers, partners and competitors.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incorporating artificial intelligence capabilities into our business operations, for example we are integrating advanced artificial intelligence models into our pilot line.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of others’ intellectual property rights, and may give rise to legal liability and materially harm our business. The use of artificial intelligence may also result in inadvertent data leakage or unauthorized exposure of data and confidential business information or increase the risks of cybersecurity incidents more generally. Our competitors may also be more successful in their artificial intelligence strategy and develop competitive products with the aid of artificial intelligence technology. As a result, any issues in the development and use of artificial intelligence by us or our suppliers, partners and competitors, combined with an uncertain regulatory environment, may result in reputational harm, liability, or other adverse consequences to our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Evolving scrutiny and changing expectations from global regulators and our stakeholders regarding our sustainability practices and value proposition could adversely affect our business, brand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evolving focus, including from global regulators and stakeholders such as our investors, customers and partners, on sustainability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production operations. It is also possible that requirements or guidance in one jurisdiction, such as the United States, may contradict or diverge from requirements or guidance in other jurisdictions, such as the European Union. Agreements with customers and partners, such as the PowerCo Collaboration Agreement, include and may include obligations related to sustainability targets. There can be no certainty that we will manage such matters successfully, or that we will successfully meet the (at times contradictory) expectations of stakeholders as to our proper role with respect to sustainability matters. Any failure or perceived failure to timely manage, respond, or meet sustainability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From time to time, we are involved in litigation, regulatory actions or government investigations and inquiries, which could have an adverse impact on our profitability and consolidated financial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involved in a variety of litigation, other claims, suits, regulatory actions or government investigations and inquiries and commercial or contractual disputes that, from time to time, are significant. See Note 7, Commitments and Contingencies, to the unaudited consolidated financial statements included elsewhere in this Report for a description of certain litigation matters that we are involved 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from time to time, we may also be involved in legal proceedings and investigations arising in the normal course of business including, without limitation, commercial or contractual disputes, including warranty claims and other disputes with potential customers and suppliers; intellectual property matters; personal injury claims; environmental issues; tax matters; and employment matters including actions under California’s Private Attorney General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difficult to predict the outcome or ultimate financial exposure, if any, represented by these matters, and there can be no assurance that any such exposure will not be material. Such claims may also negatively affect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subject to product liability claims, which could harm our financial condition liquidity and reputation if we are not able to successfully defend or insure against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product liability claims, even those without merit, which could harm our business, prospects, reputation, operating results, and financial condition. We face inherent risk of exposure to claims in the event our batteries do not perform as expected, fail to meet relevant safety standards or requirements, or malfunction resulting in personal injury or death. Our risks in this area are particularly pronounced given our batteries have not yet been commercially tested or mass produced. A successful product liability claim against us or our licensees could require us to pay a substantial monetary award. Moreover, a product liability claim could generate substantial negative publicity about our batteries and business and inhibit or prevent commercialization of other future battery candidates, which would have a material adverse effect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anti-corruption, anti-bribery, anti-money laundering, financial and economic sanctions and similar laws and regulations in various jurisdictions in which we conduct or in the future may conduct activities, including the U.S. Foreign Corrupt Practices Act (“FCPA”), the U.S. domestic bribery statute contained in 18 U.S.C. § 201, the U.K. Bribery Act 2010, the U.S. Bank Secrecy Act, as amended, and other similar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U.K. Bribery Act also prohibits non-governmental “commercial” bribery and soliciting or accepting bribes. The U.S. Bank Secrecy Act, particularly 18 U.S.C. §§ 1956, 1957, generally prohibits persons from engaging in transactions where the proceeds at issue derive from, or are intended to facilitate or conceal, illegal activity, or where a party to the transaction is “willfully blind” to the illegal sources of the proceeds.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leverage third parties to conduct our business. We, our directors, officers, employees, representatives, consultants, agents, and business partners may have direct or indirect interactions with officials and employees of government agencies or state-owned or affiliated entities and we may be held liable for the corrupt or other illegal activities of these directors, officers, employees, representatives, consultants, agents, and business partners even if we do not explicitly authorize such activities. The FCPA also requires companies to make and keep books, records and accounts that accurately reflect transactions and dispositions of assets and to maintain a system of adequate internal controls and compliance procedures designed to prevent such violations. While we have policies and procedures designed to ensure compliance with these laws and regulations, we cannot guarantee that none of our directors, officers, employees, representatives, consultants, agents, and business partners will engage in improper conduct for which we may be held responsible.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allegations of or violations of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Responding to any investigation or action will likely result in a materially significant diversion of management’s attention and resources and significant defense costs and other professional fees. In addition, changes in economic sanctions laws in the future could adversely impact our business and investments in our Class A Common Stock. Finally, entry into certain transactions with foreign entities may be subject to government regulations, including review related to foreign direct investment by U.S. or foreign government entities. If a transaction with a foreign entity was subject to regulatory review, such regulatory review might limit our ability to enter into a desired strategic alliance and thus our ability to carry out our long-term business strategy.</w:t>
      </w:r>
    </w:p>
    <w:p>
      <w:pPr>
        <w:pStyle w:val="TextBody"/>
        <w:bidi w:val="0"/>
        <w:spacing w:before="120" w:after="283"/>
        <w:jc w:val="both"/>
        <w:rPr>
          <w:rFonts w:ascii="Times New Roman" w:hAnsi="Times New Roman"/>
          <w:sz w:val="20"/>
        </w:rPr>
      </w:pPr>
      <w:r>
        <w:rPr>
          <w:rFonts w:ascii="Times New Roman" w:hAnsi="Times New Roman"/>
          <w:b/>
          <w:i/>
          <w:color w:val="000000"/>
          <w:sz w:val="20"/>
        </w:rPr>
        <w:t>Inflation and changing interest rates may adversely affect our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raw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at what levels inflation may continue, and to what level increased costs will affect commercialization of our product. If we are not able to fully offset higher costs through price increases or other corrective measures, inflation may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negatively impacted by epidemics, pandemics, and other outbreaks.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various risks related to epidemics, pandemics, and other outbreaks. Pandemics have previously and may in the future result in changes in consumer and business behavior. Epidemics, pandemics or other outbreaks have impacted and may in the future impact our potential customers and our suppliers by disrupting the manufacturing, delivery and overall supply chain of battery, EV and equipment manufacturers and suppliers and have and may in the future lead to a global decrease in battery and EV sales and other end-product sales in markets around the world.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an epidemic, pandemic or other outbreak, we have and may face similar adverse effects as experienced during the COVID-19 pandemic. For example, we have and may be required to take a variety of measures as may be required by government authorities or that we determine are in the best interests of our employees, suppliers, vendors and business partners, and any such measures may adversely affect our future production plans, supply chain sales and marketing activities,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any such epidemic, pandemic or other outbreak would impact our business, prospects and results of operations will depend on future developments, which are highly uncertain and cannot be predicted.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Regulatory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Global trade issues and changes in and uncertainties with respect to trade policies and export regulations, including import and export license requirements, trade sanctions or restrictions, tariffs and international trade disputes, could substantially harm our business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batteries, and the sale of EVs and motor vehicles in general, as well as other products and applications incorporating our technology that we are pursuing, are subject to substantial regulations under international, federal, state and local laws, including U.S. and non-U.S. export controls, sanctions and other trade compliance laws. We expect to incur significant costs in complying with these regulations. Regulations related to the battery and EV industry and alternative energy, and other industries in which we may seek to commercialize our technology, are currently evolving and we face risks associated with changes to these regulations as well as the potential for heightened regulatory scrutiny and enforcement activity. For example, laws and regulations may be passed that make manufacturers financially responsible for the collection, treatment, recycling and disposal of certain products, including batteries for EVs, or that impose restrictions on the sourcing of raw materials or components from certain jurisdictions or suppliers.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 or if we’re negatively impacted to obtain the components and materials critical to our operations from global suppliers. In addition, compliance with trade laws may require us to obtain licenses, restrict sales to certain customers, distributors, or jurisdictions, or implement controls on the use, resale, or transfer of our products and services, any of which could delay or prevent transactions and increase our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Internationally, there may be laws and regulations in the United States or in jurisdictions we have not yet entered or laws we are unaware of in jurisdictions we have entered that may restrict our sales or other business practices. The laws in this area can be complex, difficult to interpret, frequently changing, and in some cases, inconsistent across jurisdictions. Continued regulatory limitations and other obstacles that may interfere with our ability to engage with partners or commercialize our products can negatively impact demand for our future product, increase our supply chain complexity and production costs, reduce the competitiveness of our products, or restrict our ability to sell products or raise capital, any or all of which could have a negative and material impact on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complex relationships between the United States and the countries in which we may conduct business pose inherent risks, including that political, diplomatic, and national security factors may result in global trade restrictions and changes in trade policies and export regulations that affect the EV industry and other industries in which we may seek to operate. As geopolitical conflicts, such as the wars in Ukraine and in the Middle East, and broader global trade tensions, continue or escalate, they may lead to further disruption, instability and volatility in global markets and industries that could negatively impact our operations, supply chain, and future sales. The U.S. government and other governments have already imposed severe sanctions and export controls against Russia and Belarus, as well as against entities in China and other countries that are supporting Russia’s invasion of Ukraine, and may impose additional measures in the future. The impact of these measures, as well as potential responses to them by Russia, China, and other countries, is currently unknown and they could adversely affect the global economy, our business, supply chain, partners or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government has and may continue to make significant changes in U.S. trade policy, including further expanding its controls on exports and imposing new tariffs on imports globally, which could negatively impact U.S. trade and result in the adoption of retaliatory tariffs by other countries, leading to heightened trade tensions and potential disruption to global trade flows. More specifically, the U.S. government has imposed significant tariffs on and prohibited imports of products from China, as well as increased scrutiny of imports through customs enforcement and supply chain traceability requirements. In retaliation, China has implemented additional tariffs on a wide range of American products, imposed controls on exports of rare earth minerals to the United States and may impose additional tariffs and controls on inputs used by the EV industry and other industries in which we may seek to operate. Such tariffs and prohibitions, if expanded, could have a significant impact on our business, adversely affect supply chains, and may impact our ability to access materials or production equipment in a timely manner, including around the importation of parts of our batteries and certain production equipment that is manufactured in, or with inputs from, China. If we attempt to renegotiate prices with suppliers or diversify our supply chain in response to tariffs, such efforts may not yield immediate results or may be ineffective, and alternative suppliers may be limited or more costly. We might also consider increasing prices to our customers once we commence sales of our products; however, this could reduce the competitiveness of our products and adversely affect net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what actions may ultimately be taken with respect to tariffs or trade relations between the United States and other countries, what products may be subject to such actions, or what actions may be taken by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United States and China, or the United States and other countries, particularly as we expand into new markets such as aerospace and defense that may draw increased national security-related scrutiny or export restrictions, our business could be materially and adversely affected, including due to volatility of prices and lead times, or the loss of availability, of equipment and materials sourced from or with a supply chain passing through China and other impacted countries.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regulations change, including with respect to export controls, sanctions, tariffs, and other trade compliance or industry-specific requirements, we may not be in compliance with applicable international, federal, state or local regulations, which would have an adverse effect on our business. Compliance with changing regulations could be burdensome, time consuming, and expensive. In addition, any failure or perceived failure to comply with applicable regulations could result in fines, penalties, restrictions on our ability to conduct business, loss of export privileges, or other enforcement actions, as well as reputational harm. To the extent compliance with new regulations is cost prohibitive, or limits our ability to source materials, manufacture products, or transact with customers or partners, our business, prospects, financial condition and operating results would be adversely affected.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environmental and safety risks and requirements relating to environmental and safety regulations and environmental remediation matters which could adversely affect our business, results of operation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Battery technology development and production involves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The occurrence of future events such as these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new production equipment, techniques and processes, including specialized automated production equipment within our separator, cathode, and cell assembly process areas. These equipment and processes pose hazards typical to manufacturing such as but not limited to hazardous materials, moving parts, and high voltage and/or high current electrical systems typical of large production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 Also, the shift toward greater automation and more complex machinery across our operations introduces heightened operational risks. For example, our pilot line incorporates higher levels of automation and robotics than our prior processes, which increases operational complexity and places greater demand on employee training, safety procedures and compliance controls. Despite the safety measures and protocols we have implemented, industrial accidents, equipment malfunctions or other safety incidents may occur. Such incidents may involve our employees, contractors, service personnel, equipment vendors or other third parties, and could result in personal injury, production downtime, regulatory enforcement actions, remediation costs or reputational harm. Any of these events could adversely affect our business,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Ownership of Our Common Stock and Our Certificate of Incorporation and Bylaws Provisions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Class A Common Stock has been and may in the future continue to be subject to extreme 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our Class A Common Stock has been and may in the future continue to be subject to extreme volatility. For example, from November 27, 2020, the date our Class A Common Stock began publicly trading, through September 30, 2026, our Class A Common Stock has experienced an intra-day trading high of $132.73 per share and an intra-day trading low of $3.40 per share. At certain times during such period, the daily fluctuations in the trading price of our Class A Common Stock were substantially greater than 10%. We cannot predict the magnitude of future fluctuations in the trading price of our Class A Common Stock. The trading price of our Class A Common Stock may be affected by a number of factors, including events described in the risk factors set forth in this Report and in our other reports filed with the SEC from time to time, as well as our operating results, financial condition and other events or factors. Any of the factors listed below could have a material adverse effect on your investment in our securities. Factors affecting the trading price of our securities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regarding technical developments and levels of performance achieved by our or their battery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regarding the timing of our production objectives, including regarding our pilot line and our QSE-5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Volkswagen, or other partners regarding developments in our respective relationships, including changes in Volkswagen’s investment in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misinformation or negative information available in public media published or disseminated by third parties and not otherwise attributable to official statements made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bring our products and technologies to market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or development efforts failing to meet the expectation of securities analysts or investors in a particular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quarterly financial results or the quarterly financial results of companies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market’s expectations about our operating results or the EV industry or other industries in which we may seek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of competitors actual or perceived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and recommendations by securities analysts concerning us or the battery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share price performance of other companies that investors deem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related to proprietary rights, including patents, litigation matters and our ability to obtain and assert intellectual property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of, resolution of, or involvement in, litigation involving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contests, actions or requests by activist stockholders seeking to effect change in our strategic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shares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stock, including the amount of short interest in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major change in our Board 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the shares of Class A Common Stock by our directors, executive officers or significant stockholders, including Volkswagen,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estimates and assumptions that we make in the preparation of our financial statements that may result in the fluctuation of our results of operations;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recessions, interest rates, fuel prices, international currency fluctuations, acts of terrorism, hostilities or the perception that hostilities may be imminent, and military conflict and acts of war.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and such impact may be exacerbated during periods of greater economic and market volatility. The stock market has experienced price and volume fluctuations that have often been unrelated or disproportionate to the operating performance of the particular companies affected. The trading prices and valuations of securities may not be predictable. A loss of investor confidence in the market or the securities of other companies which investors perceive to be similar to us could depress the market price of our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certain periods of volatility in the market price of our securities, we may become the subject of securities litigation. We have experienced and may in the future experience additional litigation following periods of volatility. This type of litigation may result in substantial costs and a diversion of management’s attention and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Sales of substantial amounts of our Class A Common Stock in the capital markets by us or our stockholders could result in additional dilution of the percentage ownership of our stockholders and could reduce the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Class A Common Stock in the capital markets could result in additional dilution of the percentage ownership of our stockholders, and the perception that such sales could occur could adversely affect the market price of our Class A Common Stock, which may make it more difficult for you to sell your Class A Common Stock at a time and price that you deem appropriate.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filed registration statements with the SEC to register shares for certain stockholders to sell their shares. We have also filed registration statements with the SEC to register shares reserved for future issuance under our equity compensation plans. Subject to there being effective registration statements covering the sales of such shares, the satisfaction of applicable exercise periods and expiration of any applicable lock-up agreements, the shares issued upon exercise of outstanding stock options and settlement of outstanding restricted stock units will be available for immediate resale in the open market.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completed an underwritten public offering in March 2021, an underwritten public offering in August 2023 and sales pursuant to the ATM offering which we completed in August 2025. All shares sold pursuant to such offerings are freely tradable without restrictions or further registration under the Securities Act, except for any shares sold to or purchased by any of our “affiliates” as defined in Rule 144 under the Securities Act. We may in the future file a new registration statement with the SEC and offer for sale additional shares of our Class A Common Stock or other securities convertible into or exchangeable for our Class A Common Stock. For example, we may conduct an additional ATM offering or conduct other capital raises in the future, any of which may be dilutive to existing stockholders. We cannot assure you that we will be able to sell shares or other securities in any other offering at a price per share that is equal to or greater than the price per share paid by you for your existing shares, and investors purchasing shares or other securities in future offerings could have rights superior to existing stockholders. A significant portion of our total outstanding shares are eligible to be sold into the market, which could cause the market price of our Class A Common Stock to drop significantly, even if our business is doing well.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Developing solid-state batteries is capital-intensive, and we may not be able to raise additional capital on favorable terms, if at all. If we cannot raise additional capital when needed, our operations and prospects could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design, manufacture and license or sale of batteries is a capital-intensive business, which to date we have financed through joint venture arrangements, other third-party financings and issuance of additional equity. As a result of the nature of our business, we can be expected to continue to sustain substantial operating expenses without generating sufficient revenues to cover expenditures. Over time, we expect that we will need to raise additional funds, including through entry into new collaboration, license or joint venture arrangements, through the issuance of equity, equity-related or debt securities or through obtaining credit from financial institutions to fund, together with our principal sources of liquidity, ongoing costs such as research and development relating to our batteries, the construction and scale up of our pilot line, any significant unplanned or accelerated expenses, and new strategic investments. We cannot be certain that additional capital will be available on favorable terms, if at all, when needed, which could materially and adversely affect our financial condition, results of operations,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by our management to use the proceeds effectively from our completed public offerings or any future offerings of equity or debt instruments, whether from an “at-the-market” offering or other sources of liquidity, such as the royalty fee under the PowerCo IP License Agreement, if entered into, or other customer cash inflows, could harm our business, and we may invest such proceeds in a manner that does not produce income or that loses value, which may negatively impact the market price of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Short sellers may engage in manipulative activity that could drive down the market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Some short sellers publish, or arrange for the publication of, opinions about or characterizations of our business which may create negative market momentum, even if they contain false and misleading statements about our Company. Issuers, like us, whose securities have historically had limited trading history or volumes and/or have been susceptible to relatively high volatility levels can be particularly vulnerable to such short seller attacks. No assurances can be made that similar declines in the market price of our Class A Common Stock will not occur in the future, in connection with the activities of short sellers. If we are subject to unfavorable allegations promoted by short sellers, we may have to expend a significant amount of resources to investigate such allegations and defend ourselves.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required to use judgments in making estimates and assumptions in the preparation of our consolidated financial statements, and our results of operations may fluctuate significantly as a result of changes to our estimates and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accounting policies require the application of subjective or complex judgments, often requiring us to make estimates about the effects of matters that are inherently uncertain and may change in subsequent periods, or for which the use of different estimates that could have reasonably been used in the current period would have had a material impact on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stock-based awards are required to be recognized based on their estimated grant date fair values. The amount recognized could vary depending on a number of assumptions or changes that may occur.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awards containing service, performance and market conditions, where all conditions must be satisfied prior to vesting, compensation expense is recognized over the requisite service period, which is based on management’s estimate of the probability and timing of the performance condition being satisfied, assessed at each reporting period. These estimates require management’s judgments and changes in the probability-based assumptions can materially affect the timing of recognition of stock-based compensation expense and consequently, the related amount recognized in our statements of operations and comprehensive income.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ownership among a few stockholders and our executive officers, directors and their affiliates and the dual class structure of our Common Stock may prevent other stockholders from influencing significant corporate decisions, including the outcome of important transactions, including a change in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our executive officers, directors and their affiliates as a group and each of our stockholders who own 10% or more of our outstanding Class A Common Stock or our Class B Common Stock (together, the “Common Stock”), in the aggregate, beneficially own approximately 14.4% of our Class A Common Stock and approximately 100% of our Class B Common Stock outstanding, representing approximately 44.3% of the vote. As a result, these stockholders, including Volkswagen, will be able to exercise a significant level of control over all matters requiring stockholder approval, including the election of directors, any amendment of our Amended and Restated Certificate of Incorporation (the “Certificate of Incorporation”) and approval of significant corporate transactions. In addition, Volkswagen holds the right to designate two directors to our Board. Currently, Dr. Günther Mendl, Head of the Center of Excellence Battery at Volkswagen AG, and Sebastian Schebera, Head of Strategic Partnerships at Volkswagen AG, are members of our Board. This control could have the effect of delaying or preventing a change of control or changes in our management and will make the approval of certain transactions difficult or impossible without the support of these stockholders and of their votes. Further, shares of Class B Common Stock have 10 votes per share, while shares of Class A Common Stock have one vote per share. Even though the holders of our Class B Common Stock are not party to any agreement that requires them to vote together, they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dual class structure may depress the trading price of the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whether our dual class structure will result in a lower or more volatile market price of the Class A Common Stock, in adverse publicity, or in other adverse consequences. For example, certain index providers have in the past imposed, and may again in the future impose, restrictions on including companies with multiple-class share structures in certain of their indexes. In addition, several stockholder advisory firms oppose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the Class A Common Stock.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Anti-takeover provisions in our Certificate of Incorporation or Bylaws and under Delaware law could make an acquisition of us more difficult, limit attempts by our stockholders to replace or remove our management and limit the market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our amended and restated Bylaws (the “Bylaws”) and Delaware law contain provisions which could have the effect of rendering more difficult, delaying or preventing an acquisition deemed undesirable by our Board. These provisions include: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authorizing “blank check” preferred stock, which could be issued by our Board without stockholder approval and may contain voting, liquidation, dividend and other rights superior to the Common Stock;</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limiting the liability of, and providing indemnification and exculpation rights to, our directors and officers;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prohibiting cumulative voting in the election of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providing that vacancies on our Board may be filled only by a majority of directors then in office of our Board, even though less than a quorum;</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prohibiting the ability of our stockholders to call special meetings;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establishing advance notice procedures for stockholder proposals to be brought before an annual meeting, including proposed nominations of persons for election to our Board;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requiring that, once there are no longer any outstanding shares of the Class B Common Stock, any action to be taken by our stockholders be effected at a duly called annual or special meeting and not by written consent;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specifying that special meetings of our stockholders can be called only by a majority of our Board, the chair of our Board, or our Chief Executive Officer;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requiring the approval of holders of at least two-thirds of the outstanding voting securities to amend the Bylaws and certain provisions of the Certificate of Incorporation once there are no longer any outstanding shares of Class B Common Stock;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reflecting two classes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because we are incorporated in Delaware, we are governed by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Bylaws provide, subject to limited exceptions, that the Court of Chancery of the State of Delaware and the federal district courts of the United States will be the sole and exclusive forum for certain stockholder litigation matters, which could limit our stockholders’ ability to obtain a chosen judicial forum for disputes with us or our directors, officers, employees or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Bylaws provide that, unless otherwise consented to by us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or otherwise wrongdoing by, any of our directors, officers, or other employees to us or our stockholders; (iii) any action arising pursuant to any provision of the DGCL or the Certificate of Incorporation or the Bylaws; (iv) any action to interpret, apply, enforce or determine the validity of the Certificate of Incorporation or the Bylaws; or (v) any other action asserting a claim that is governed by the internal affairs doctrine, in all cases subject to the court having jurisdiction over indispensable parties named as defendants. The Bylaws further provide that, unless otherwise consented to by the Company in writing, the federal district courts of the United States will be the sole and exclusive forum for the resolution of any complaint asserting a cause of action arising under the Securities Act against any person in connection with any offering of the Company’s securities, including any auditor, underwriter, expert, control person or other defendant. These provisions would not apply to suits brought to enforce a duty or liability created by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or entity purchasing, holding or otherwise acquiring any interest in our securities shall be deemed to have notice of and consented to these provisions. These choice of forum provisions may limit a stockholder’s ability to bring a claim in a judicial forum of its choosing for disputes with the Company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provisions contained in the Bylaws to be inapplicable or unenforceable in an action, we may incur additional costs associated with resolving such action in other jurisdictions, which could harm our business, operating results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expect to declare any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anticipate declaring any cash dividends to holders of our Common Stock in the foreseeable future. Consequently, investors may need to rely on sales of their shares after price appreciation, which may never occur, as the only way to realize any future gains on their investment.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attract and retain key employees and qualified personnel, our ability to compete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on our ability to attract and retain our executive officers, key employees and other qualified personnel. Achieving this objective may be difficult due to many factors, including fluctuations in global economic and industry conditions, management or organizational changes, the availability of qualified employees, evolving immigration and export control policies and restrictions, the attractiveness of our compensation and benefit programs, our career growth and development opportunities, and our employment policies. Specifically, as we operate in a highly competitive and rapidly evolving market and as we build our brand and become more well known, there is increased risk that competitors or other companies will seek to hire our personnel. None of our employees are bound by a non-competition agreement. The failure to attract, integrate, train, motivate and retain these personnel, or any increase in employee attrition, including due to the competitive market for personnel with relevant technical expertise, could seriously disrupt our operations and harm our business and prospects. Further, any future reduction in force may yield unintended consequences, such as making future retention and recruiting of qualified personnel more difficult, attrition beyond our planned reduction in workforce, decline in employee productivity and reduced employee morale, which may cause our remaining employees to seek alternative employment.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are highly dependent on the services of our senior technical and management personnel, who would be difficult to replace. Any changes in our management team, including if any senior management or key technical personnel were to depart, could negatively impact our prospects, trigger further departures and limit our ability to operate and grow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facilities or operations could be damaged or adversely affected by natural disasters and other catastrophic events outside of our control.</w:t>
      </w:r>
    </w:p>
    <w:p>
      <w:pPr>
        <w:pStyle w:val="TextBody"/>
        <w:bidi w:val="0"/>
        <w:spacing w:before="120" w:after="283"/>
        <w:jc w:val="both"/>
        <w:rPr>
          <w:rFonts w:ascii="Times New Roman" w:hAnsi="Times New Roman"/>
          <w:sz w:val="20"/>
        </w:rPr>
      </w:pPr>
      <w:r>
        <w:rPr>
          <w:rFonts w:ascii="Times New Roman" w:hAnsi="Times New Roman"/>
          <w:color w:val="000000"/>
          <w:sz w:val="20"/>
        </w:rPr>
        <w:t>Our facilities or operations could be adversely affected by events outside of our control, such as natural disasters, wars, epidemics, pandemics, and other calamities</w:t>
      </w:r>
      <w:r>
        <w:rPr>
          <w:rFonts w:ascii="Times New Roman" w:hAnsi="Times New Roman"/>
          <w:i/>
          <w:color w:val="000000"/>
          <w:sz w:val="20"/>
        </w:rPr>
        <w:t xml:space="preserve">. </w:t>
      </w:r>
      <w:r>
        <w:rPr>
          <w:rFonts w:ascii="Times New Roman" w:hAnsi="Times New Roman"/>
          <w:color w:val="000000"/>
          <w:sz w:val="20"/>
        </w:rPr>
        <w:t>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Any economic, financial or banking crisis, or perceived threat of such a crisis, including a significant decrease in consumer confidence, may materially and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For example, in 2023, Silicon Valley Bank was closed by the California Department of Financial Protection and Innovation and the Federal Deposit Insurance Corporation was named receiver. Similarly, other institutions have been, and may continue to be, swept into receivership. Uncertainty over liquidity concerns in the broader financial services industry may have unpredictable impacts to our business and our industry.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results of operations and financial condition could be materially affected by the enactment of legislation implementing changes in the U.S. or foreign taxation of business activities or the adoption of other tax reform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expand the scale of our business activities, any changes in the U.S. or foreign taxation of such activities may increase our worldwide effective tax rate and harm our business, results of operations, and financial condition. For example, the Organisation for Economic Co-operation and Development (“OECD”) has proposed implementing changes to existing tax laws, including a proposed 15% global minimum tax (“Pillar Two”). Numerous countries have enacted or are enacting tax legislation to adopt this global minimum tax. The OECD and participating jurisdictions have recently agreed to a side-by-side system that would allow U.S.-parented multinational corporations to operate under existing U.S. minimum tax rules and be exempt from certain provisions of Pillar Two for fiscal years beginning on or after January 1, 2026. Further, under the One Big Beautiful Bill Act (the “OBBBA”), we are no longer required to capitalize domestic research and experimental expenditures, but we are still required to amortize foreign research and experimental expenditures over 15 years. We do not believe the provisions under the OBBBA had a material impact on our financial statements. However, these changes, and others in the OBBBA or other new legislation may impact our effective tax rate and our cash tax liability in future years.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Inflation Reduction Act of 2022 (the “IRA”) included numerous incentives and tax credits aimed at reducing the effects of climate change, such as the extension and expansion of EV charging infrastructure tax credits under Section 30C of the Internal Revenue Code of 1986 (the “Code”), the expansion of tax credits for EVs under Section 30D of the Code, the expansion of advanced manufacturing facility tax credits under Section 48C of the Code, and enactment of advanced manufacturing production credits for eligible component production in the United States under Section 45X of the Code. Such tax credits may potentially benefit incumbents more than new entrants, and consequently have adverse competitive effects for new entrants. However, several of these provisions were modified by the OBBBA. The Section 30D credit terminated on September 30, 2025, and the Section 30C credit terminated on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changes made by the OBBBA could materially reduce the demand for EVs, which could adversely impact the battery demand for EVs and have an adverse impact on our business. Other incentives may expire on a particular date, end when the allocated funding is exhausted, or be reduced or terminated as a matter of regulatory or legislative policy. Any other reduction in rebates, tax credits or other financial incentives could materially reduce the demand for EVs, which could adversely impact the battery demand for EVs, or materially reduce the amount of incentives available for the manufacture of our products and have an adverse impact on our business. While certain tax credits and other incentives for EVs have been available in the past, there is no guarantee these programs will be available in the future. The impact of future changes to U.S. and foreign tax law on our business is uncertain and could be adverse, and we will continue to monitor and assess the impact of any such changes.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use our deferred tax assets to offset future taxable income is subject to certain limitations, which may have a material impact on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general, under Section 382 of the Code, a corporation that undergoes an “ownership change” is subject to limitations on its ability to use its pre-change net operating loss carryforwards (“NOLs”) to offset future taxable income. An “ownership change” is generally defined as a greater than 50 percentage point change (by value) in a corporation’s equity ownership by certain stockholders over a three-year period. Similar provisions of state tax law may also apply to limit our use of accumulated state tax attributes. As a result, even if we earn net taxable income in the future, our ability to use our pre-change NOLs and other tax attributes to offset such future taxable income or tax liability may be subject to limitations. In the event that it is determined that we have in the past experienced an ownership change, or if we experience one or more ownership changes in the future, our ability to use these pre-change NOLs and other pre-change tax attributes to offset U.S. federal taxable liability may be further limited, which could potentially result in increased future tax liability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also a risk that changes in law or regulatory changes, including suspensions on the use of net operating losses or tax credits, possibly with retroactive effect, may result in our existing net operating losses or tax credits expiring or otherwise being unavailable to offset future income tax liabilities. Limitations may also apply under state law. For example, recently enacted California legislation limits the use of state NOLs for tax years beginning on or after January 1, 2024 and before January 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such limitations and changes in law, certain of our deferred tax assets may expire unutilized or underutilized, which could prevent us from offsetting future taxable income. We continue to assess the realizability of our deferred tax assets in the future. Future adjustments in our valuation allowance may be required, which may have a material impact on our quarterly and annual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insurance coverage may not be adequate to protect us from all business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in the ordinary course of business, to losses resulting from products liability, cyber-attacks, accidents, acts of God, and other claims against us, for which we may have no insurance coverage. As a general matter, the policies that we do have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we will be able to comply with the continued listing standards of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Class A Common Stock is listed on Nasdaq under the symbol “QS”. If we were to fail to meet the requirements and standards of Nasdaq and if Nasdaq were to consequently delist our Class A Common Stock from trading on its exchange and we are not able to list such securities on another national securities exchange, we expect such securities could be quoted on an over-the-counter market. If this were to occur, we and our stockholders could face significant material adverse consequences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limited availability of market quotations for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liquidity for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limited amount of news and analyst coverage;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incurred and will continue to incur significant expenses and administrative burdens as a public company, which could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incur significant legal, accounting, administrative and other costs and expenses associated with being subject to the reporting requirements of the Exchange Act, corporate governance requirements and listing standards. In addition, the Sarbanes-Oxley Act of 2002 (the “Sarbanes-Oxley Act”), including the requirements of Section 404, as well as rules and regulations subsequently implemented by the SEC, the Dodd-Frank Wall Street Reform and Consumer Protection Act of 2010 and any rules and regulations promulgated and to be promulgated thereunder, the Public Company Accounting Oversight Board and the securities exchanges, impose additional reporting and other obligations on public companies. Meeting the standards and controls required of a public company in the United States requires significant ongoing costs. It is possible that we will be required to further expand our employee base and hire additional employees to support our operations, particularly as such standards and controls continue to change over time, which will increase our operating costs in future periods.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evolving public company requirements may continue to increase costs and make certain activities more time-consuming. In addition, expenses associated with SEC reporting requirements have been and will continue to be incurred. Furthermore, if any issues in complying with those requirements are identified, such as a material weakness in our internal controls that requires a restatement of previously issued consolidated financial statements, we could incur additional costs rectifying those or new issues, and the existence of these issues could adversely affect our reputation or investor perceptions of it. The cost of director and officer liability insurance is significant and risks associated with our status as a public company may make it more difficult to attract and retain qualified persons to serve on our Board or as executive officers. The reporting and other obligations imposed by these rules and regulations have resulted in and may continue to result in significant accounting, administrative, financial compliance and legal costs. These costs have required and may continue to require us to divert a significant amount of money that could otherwise be used to expand the business and achieve strategic objectives. Advocacy efforts by stockholders and third parties have prompted and in the future may also prompt additional changes in governance and reporting requirements, which could further increase costs.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our business could be adversely affected, and we may not be able to accurately report our financial condition or results of operations which may adversely affect investor confidence in us and, as a result, the value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under Section 404 of the Sarbanes-Oxley Act, to furnish annual reports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faulty human judgment and simple errors, omissions or mistakes;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fraudulent action of an individual or collusion of two or more people;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inappropriate management override of procedures;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possibility that any enhancements to controls and procedures may still not be adequate to assure timely and accurate financial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Sarbanes-Oxley Act and the rules and regulations promulgated by the SEC, we are required to furnish in our Annual Report on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we have previously identified and had to remediate a material weakness and the effectiveness of our internal controls in future periods is subject to the risk that our controls may become inadequate because of changes in conditions. Establishing, testing and maintaining an effective system of internal control over financial reporting requires significant resources and time commitments on the part of our management and our finance staff, which may require additional staffing and infrastructure investments and would increase our costs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under the federal securities laws, our auditors are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Class A Common Stock to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encounter risks arising from the complexity of financial transactions and the associated accounting and financial reporting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involves complex financial transactions, including but not limited to stock-based compensation, lease accounting, and income tax provisions. The accounting rules and regulations governing these areas are frequently changing and require significant judgment in their application. As our operations grow in scale and complexity, the risk of material errors or omissions in our financial statements increases. For example, in July 2025, we amended the PowerCo Collaboration Agreement with the goal of funding certain research and development activities thereunder. The arrangement involved complex accounting judgments under U.S. GAAP, including classification of payments received from PowerCo with no contractually stated repayment terms as a liability, as well as derecognition of the liability to shareholders’ equity upon extinguishment, driven by the significant related party relationship with Volkswagen Group, which creates a presumption of a repayment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properly interpret or apply accounting standards could result in restatements of prior financial statements, regulatory scrutiny, loss of investor confidence, or reputational harm. Additionally, maintaining compliance with these complex accounting requirements requires significant internal resources, including skilled personnel and robust systems. Any failure in our internal controls over financial reporting could adversely impact our ability to produce accurate and timely financial statements.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securities or industry analysts do not publish or cease publishing research or reports about us, our business, or the market in which we operate, or if they change their recommendations regarding our securities adversely, the price and trading volume of our securities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securities will be influenced by the research and reports that industry or securities analysts may publish about us, our business, market or competitors. If any of the analysts who cover us change their recommendation regarding our shares of Class A Common Stock adversely, or provide more favorable relative recommendations about our competitors, the price of our shares of Class A Common Stock would likely decline. If any analyst who covers us were to cease our coverage of us or fails to regularly publish reports on us, we could lose visibility in the financial markets, which in turn could cause the price or trading volume of our Class A Common Stock to decline.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20" w:name="item_2_unregistered_sales_equity_securit"/>
      <w:bookmarkEnd w:id="20"/>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both"/>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Amendment to PowerCo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providing the following disclosures in lieu of filing a Current Report on Form 8-K relating to Item 1.01 (Entry into a Material Definitive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2026, we and PowerCo SE (“PowerCo”), a battery cell company wholly owned by the Volkswagen Group, a major investor in the Company, entered into an amendment (the “Amendment”) to the PowerCo Collaboration Agreement to, among other things, remove transition payments due from PowerCo in the aggregate of $7.0 million and enter into negotiations for a revised scope of work and payments including our current and next generation technology roadmap and applications beyond automotive such as data centers or robotics. During this negotiation period, PowerCo will not make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foregoing description of the Amendment does not purport to be complete and is qualified in its entirety by reference to the full text of the Amendment attached hereto as Exhibit 10.2. </w:t>
      </w:r>
    </w:p>
    <w:p>
      <w:pPr>
        <w:pStyle w:val="TextBody"/>
        <w:bidi w:val="0"/>
        <w:jc w:val="left"/>
        <w:rPr/>
      </w:pPr>
      <w:r>
        <w:rPr/>
        <w:t> </w:t>
      </w:r>
    </w:p>
    <w:p>
      <w:pPr>
        <w:pStyle w:val="TextBody"/>
        <w:bidi w:val="0"/>
        <w:spacing w:before="12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24" w:name="item_6_exhibits"/>
      <w:bookmarkEnd w:id="24"/>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28"/>
        <w:gridCol w:w="146"/>
        <w:gridCol w:w="5856"/>
        <w:gridCol w:w="586"/>
        <w:gridCol w:w="842"/>
        <w:gridCol w:w="736"/>
        <w:gridCol w:w="1211"/>
      </w:tblGrid>
      <w:tr>
        <w:trPr/>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28"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211"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563C1"/>
              </w:rPr>
              <w:instrText xml:space="preserve"> HYPERLINK "https://www.sec.gov/Archives/edgar/data/1811414/000119312520290474/d14810ds4a.htm" \l "ii14810_aa"</w:instrText>
            </w:r>
            <w:r>
              <w:rPr>
                <w:rStyle w:val="InternetLink"/>
                <w:sz w:val="20"/>
                <w:u w:val="single"/>
                <w:rFonts w:ascii="Times New Roman" w:hAnsi="Times New Roman"/>
                <w:color w:val="0563C1"/>
              </w:rPr>
              <w:fldChar w:fldCharType="separate"/>
            </w:r>
            <w:r>
              <w:rPr>
                <w:rStyle w:val="InternetLink"/>
                <w:rFonts w:ascii="Times New Roman" w:hAnsi="Times New Roman"/>
                <w:color w:val="0563C1"/>
                <w:sz w:val="20"/>
                <w:u w:val="single"/>
              </w:rPr>
              <w:t>Business Combination Agreement, dated as of September 2, 2020, by and among Kensington Capital Acquisition Corp., Kensington Capital Merger Sub Corp. and Legacy QuantumScape.</w:t>
            </w:r>
            <w:r>
              <w:rPr>
                <w:rStyle w:val="InternetLink"/>
                <w:sz w:val="20"/>
                <w:u w:val="single"/>
                <w:rFonts w:ascii="Times New Roman" w:hAnsi="Times New Roman"/>
                <w:color w:val="0563C1"/>
              </w:rPr>
              <w:fldChar w:fldCharType="end"/>
            </w:r>
            <w:r>
              <w:fldChar w:fldCharType="begin"/>
            </w:r>
            <w:r>
              <w:rPr>
                <w:rStyle w:val="InternetLink"/>
                <w:sz w:val="20"/>
                <w:u w:val="single"/>
                <w:rFonts w:ascii="Times New Roman" w:hAnsi="Times New Roman"/>
                <w:color w:val="0000FF"/>
              </w:rPr>
              <w:instrText xml:space="preserve"> HYPERLINK "https://www.sec.gov/Archives/edgar/data/1811414/000119312520290474/d14810ds4a.htm" \l "ii14810_aa"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 xml:space="preserve"> </w:t>
            </w:r>
            <w:r>
              <w:rPr>
                <w:rStyle w:val="InternetLink"/>
                <w:sz w:val="20"/>
                <w:u w:val="single"/>
                <w:rFonts w:ascii="Times New Roman" w:hAnsi="Times New Roman"/>
                <w:color w:val="0000FF"/>
              </w:rPr>
              <w:fldChar w:fldCharType="end"/>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333-248930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2020</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563C1"/>
              </w:rPr>
              <w:instrText xml:space="preserve"> HYPERLINK "https://www.sec.gov/Archives/edgar/data/1811414/000119312520290474/d14810ds4a.htm" \l "ii14810_aa1"</w:instrText>
            </w:r>
            <w:r>
              <w:rPr>
                <w:rStyle w:val="InternetLink"/>
                <w:sz w:val="20"/>
                <w:u w:val="single"/>
                <w:rFonts w:ascii="Times New Roman" w:hAnsi="Times New Roman"/>
                <w:color w:val="0563C1"/>
              </w:rPr>
              <w:fldChar w:fldCharType="separate"/>
            </w:r>
            <w:r>
              <w:rPr>
                <w:rStyle w:val="InternetLink"/>
                <w:rFonts w:ascii="Times New Roman" w:hAnsi="Times New Roman"/>
                <w:color w:val="0563C1"/>
                <w:sz w:val="20"/>
                <w:u w:val="single"/>
              </w:rPr>
              <w:t>Amendment No. 1 to Business Combination Agreement, dated as of September 21, 2020, by and among Kensington Capital Acquisition Corp., Kensington Capital Merger Sub Corp. and Legacy QuantumScape.</w:t>
            </w:r>
            <w:r>
              <w:rPr>
                <w:rStyle w:val="InternetLink"/>
                <w:sz w:val="20"/>
                <w:u w:val="single"/>
                <w:rFonts w:ascii="Times New Roman" w:hAnsi="Times New Roman"/>
                <w:color w:val="0563C1"/>
              </w:rPr>
              <w:fldChar w:fldCharType="end"/>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333-248930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2020</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563C1"/>
                  <w:sz w:val="20"/>
                  <w:u w:val="single"/>
                </w:rPr>
                <w:t>Amended and Restated Certificate of Incorporation of the Company, as amended.</w:t>
              </w:r>
            </w:hyperlink>
            <w:hyperlink r:id="rId3">
              <w:r>
                <w:rPr>
                  <w:rStyle w:val="InternetLink"/>
                  <w:rFonts w:ascii="Times New Roman" w:hAnsi="Times New Roman"/>
                  <w:color w:val="0563C1"/>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001-39345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2024</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563C1"/>
                  <w:sz w:val="20"/>
                  <w:u w:val="single"/>
                </w:rPr>
                <w:t>Amended and Restated Bylaws of the Company.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001-39345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25, 2022</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563C1"/>
                  <w:sz w:val="20"/>
                  <w:u w:val="single"/>
                </w:rPr>
                <w:t>Amendment to the Amended and Restated Collaboration Agreement dated as of July 16, 2026, by and between QuantumScape Battery, Inc. and PowerCo SE.</w:t>
              </w:r>
            </w:hyperlink>
          </w:p>
        </w:tc>
        <w:tc>
          <w:tcPr>
            <w:tcW w:w="5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001-39345</w:t>
            </w:r>
          </w:p>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July 22, 2026</w:t>
            </w:r>
          </w:p>
          <w:p>
            <w:pPr>
              <w:pStyle w:val="TableContents"/>
              <w:bidi w:val="0"/>
              <w:spacing w:before="0" w:after="283"/>
              <w:jc w:val="left"/>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10_2.htm">
              <w:r>
                <w:rPr>
                  <w:rStyle w:val="InternetLink"/>
                  <w:rFonts w:ascii="Times New Roman" w:hAnsi="Times New Roman"/>
                  <w:color w:val="0563C1"/>
                  <w:sz w:val="20"/>
                  <w:u w:val="single"/>
                </w:rPr>
                <w:t>Second Amendment to the Amended and Restated Collaboration Agreement and Statement of Work N.2 dated as of October 21, 2026, by and between QuantumScape Battery, Inc. and PowerCo SE.</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2_1.htm">
              <w:r>
                <w:rPr>
                  <w:rStyle w:val="InternetLink"/>
                  <w:rFonts w:ascii="Times New Roman" w:hAnsi="Times New Roman"/>
                  <w:color w:val="0563C1"/>
                  <w:sz w:val="20"/>
                  <w:u w:val="single"/>
                </w:rPr>
                <w:t>Certification of Principal Executive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2_2.htm">
              <w:r>
                <w:rPr>
                  <w:rStyle w:val="InternetLink"/>
                  <w:rFonts w:ascii="Times New Roman" w:hAnsi="Times New Roman"/>
                  <w:color w:val="0563C1"/>
                  <w:sz w:val="20"/>
                  <w:u w:val="single"/>
                </w:rPr>
                <w:t>Certification of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Label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w:t>
            </w:r>
          </w:p>
        </w:tc>
        <w:tc>
          <w:tcPr>
            <w:tcW w:w="9489" w:type="dxa"/>
            <w:tcBorders/>
            <w:tcMar>
              <w:top w:w="0" w:type="dxa"/>
              <w:left w:w="0" w:type="dxa"/>
              <w:bottom w:w="0" w:type="dxa"/>
              <w:right w:w="0" w:type="dxa"/>
            </w:tcMar>
            <w:vAlign w:val="center"/>
          </w:tcPr>
          <w:p>
            <w:pPr>
              <w:pStyle w:val="TableContents"/>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Filed herewith.</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4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These exhibits are furnished with this Quarterly Report on Form 10-Q and are not deemed filed with the Securities and Exchange Commission and are not incorporated by reference in any filing of QuantumScape Corporation under the Securities Act of 1933, as amended, or the Securities Exchange Act of 1934, as amended, whether made before or after the date hereof and irrespective of any general incorporation language contained in such filings.</w:t>
            </w:r>
          </w:p>
        </w:tc>
      </w:tr>
      <w:tr>
        <w:trPr/>
        <w:tc>
          <w:tcPr>
            <w:tcW w:w="71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w:t>
            </w:r>
          </w:p>
        </w:tc>
        <w:tc>
          <w:tcPr>
            <w:tcW w:w="9489" w:type="dxa"/>
            <w:tcBorders/>
            <w:tcMar>
              <w:top w:w="0" w:type="dxa"/>
              <w:left w:w="0" w:type="dxa"/>
              <w:bottom w:w="0" w:type="dxa"/>
              <w:right w:w="0" w:type="dxa"/>
            </w:tcMar>
            <w:vAlign w:val="center"/>
          </w:tcPr>
          <w:p>
            <w:pPr>
              <w:pStyle w:val="TableContents"/>
              <w:bidi w:val="0"/>
              <w:spacing w:before="0" w:after="283"/>
              <w:ind w:left="0" w:right="0" w:firstLine="245"/>
              <w:jc w:val="both"/>
              <w:rPr>
                <w:rFonts w:ascii="Times New Roman" w:hAnsi="Times New Roman"/>
                <w:color w:val="000000"/>
                <w:sz w:val="20"/>
              </w:rPr>
            </w:pPr>
            <w:r>
              <w:rPr>
                <w:rFonts w:ascii="Times New Roman" w:hAnsi="Times New Roman"/>
                <w:color w:val="000000"/>
                <w:sz w:val="20"/>
              </w:rPr>
              <w:t>Portions of this exhibit have been omitted in accordance with Item 601 of Regulation S-K.</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2011"/>
        <w:gridCol w:w="109"/>
        <w:gridCol w:w="406"/>
        <w:gridCol w:w="376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QuantumScape Corporation</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Siva Sivaram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Siva Sivaram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26" w:name="qs-ex10_2.htm"/>
      <w:bookmarkStart w:id="27" w:name="ksqsex10_2"/>
      <w:bookmarkEnd w:id="26"/>
      <w:bookmarkEnd w:id="27"/>
      <w:r>
        <w:rPr>
          <w:rFonts w:ascii="Times New Roman" w:hAnsi="Times New Roman"/>
          <w:b/>
          <w:color w:val="000000"/>
          <w:sz w:val="16"/>
        </w:rPr>
        <w:t>Exhibit 10.2</w:t>
      </w:r>
      <w:r>
        <w:br w:type="page"/>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CERTAIN CONFIDENTIAL INFORMATION CONTAINED IN THIS DOCUMENT, MARKED BY [***], HAS BEEN OMITTED IN ACCORDANCE WITH ITEM 601 OF REGULATION S-K, BECAUSE THE REGISTRANT HAS DETERMINED THAT THE OMITTED INFORMATION (I) IS NOT MATERIAL AND (II) IS THE TYPE THAT THE REGISTRANT TREATS AS PRIVATE OR CONFIDENTIAL</w:t>
      </w:r>
    </w:p>
    <w:p>
      <w:pPr>
        <w:pStyle w:val="TextBody"/>
        <w:bidi w:val="0"/>
        <w:jc w:val="right"/>
        <w:rPr/>
      </w:pPr>
      <w:r>
        <w:rPr/>
        <w:t>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Second Amendment to the AMENDED AND RESTATED COLLABORATION AGREEMENT AND STATEMENT OF WORK N.2</w:t>
      </w:r>
    </w:p>
    <w:p>
      <w:pPr>
        <w:pStyle w:val="TextBody"/>
        <w:bidi w:val="0"/>
        <w:jc w:val="both"/>
        <w:rPr>
          <w:rFonts w:ascii="Times New Roman" w:hAnsi="Times New Roman"/>
          <w:sz w:val="24"/>
        </w:rPr>
      </w:pPr>
      <w:r>
        <w:rPr>
          <w:rFonts w:ascii="Times New Roman" w:hAnsi="Times New Roman"/>
          <w:color w:val="000000"/>
          <w:sz w:val="24"/>
        </w:rPr>
        <w:t>This Second Amendment (this “</w:t>
      </w:r>
      <w:r>
        <w:rPr>
          <w:rFonts w:ascii="Times New Roman" w:hAnsi="Times New Roman"/>
          <w:color w:val="000000"/>
          <w:sz w:val="24"/>
          <w:u w:val="single"/>
        </w:rPr>
        <w:t>Second Amendment</w:t>
      </w:r>
      <w:r>
        <w:rPr>
          <w:rFonts w:ascii="Times New Roman" w:hAnsi="Times New Roman"/>
          <w:color w:val="000000"/>
          <w:sz w:val="24"/>
        </w:rPr>
        <w:t>”) to the Amended and Restated Collaboration Agreement and Statement of Work N.2 is entered into as of October 21, 2026 (“</w:t>
      </w:r>
      <w:r>
        <w:rPr>
          <w:rFonts w:ascii="Times New Roman" w:hAnsi="Times New Roman"/>
          <w:color w:val="000000"/>
          <w:sz w:val="24"/>
          <w:u w:val="single"/>
        </w:rPr>
        <w:t>Second Amendment Effective Date</w:t>
      </w:r>
      <w:r>
        <w:rPr>
          <w:rFonts w:ascii="Times New Roman" w:hAnsi="Times New Roman"/>
          <w:color w:val="000000"/>
          <w:sz w:val="24"/>
        </w:rPr>
        <w:t>”), by and between QuantumScape Battery, Inc., a Delaware corporation having its principal place of business at 1730 Technology Drive, San Jose CA 95110 (“</w:t>
      </w:r>
      <w:r>
        <w:rPr>
          <w:rFonts w:ascii="Times New Roman" w:hAnsi="Times New Roman"/>
          <w:color w:val="000000"/>
          <w:sz w:val="24"/>
          <w:u w:val="single"/>
        </w:rPr>
        <w:t>QS</w:t>
      </w:r>
      <w:r>
        <w:rPr>
          <w:rFonts w:ascii="Times New Roman" w:hAnsi="Times New Roman"/>
          <w:color w:val="000000"/>
          <w:sz w:val="24"/>
        </w:rPr>
        <w:t xml:space="preserve">”), and PowerCo SE, a </w:t>
      </w:r>
      <w:r>
        <w:rPr>
          <w:rFonts w:ascii="Times New Roman" w:hAnsi="Times New Roman"/>
          <w:i/>
          <w:color w:val="000000"/>
          <w:sz w:val="24"/>
        </w:rPr>
        <w:t>societas europaea</w:t>
      </w:r>
      <w:r>
        <w:rPr>
          <w:rFonts w:ascii="Times New Roman" w:hAnsi="Times New Roman"/>
          <w:color w:val="000000"/>
          <w:sz w:val="24"/>
        </w:rPr>
        <w:t xml:space="preserve"> having its principal place of business at Industriestrasse Nord, 38239 Salzgitter, Germany (“</w:t>
      </w:r>
      <w:r>
        <w:rPr>
          <w:rFonts w:ascii="Times New Roman" w:hAnsi="Times New Roman"/>
          <w:color w:val="000000"/>
          <w:sz w:val="24"/>
          <w:u w:val="single"/>
        </w:rPr>
        <w:t>PowerCo</w:t>
      </w:r>
      <w:r>
        <w:rPr>
          <w:rFonts w:ascii="Times New Roman" w:hAnsi="Times New Roman"/>
          <w:color w:val="000000"/>
          <w:sz w:val="24"/>
        </w:rPr>
        <w:t>”) (QS and PowerCo also each a “</w:t>
      </w:r>
      <w:r>
        <w:rPr>
          <w:rFonts w:ascii="Times New Roman" w:hAnsi="Times New Roman"/>
          <w:color w:val="000000"/>
          <w:sz w:val="24"/>
          <w:u w:val="single"/>
        </w:rPr>
        <w:t>Party</w:t>
      </w:r>
      <w:r>
        <w:rPr>
          <w:rFonts w:ascii="Times New Roman" w:hAnsi="Times New Roman"/>
          <w:color w:val="000000"/>
          <w:sz w:val="24"/>
        </w:rPr>
        <w:t>” and together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QS and PowerCo are parties to an Amended and Restated Collaboration Agreement, dated as of July 17, 2025, as amended by that certain Amendment dated as of July 16, 2026 (the “</w:t>
      </w:r>
      <w:r>
        <w:rPr>
          <w:rFonts w:ascii="Times New Roman" w:hAnsi="Times New Roman"/>
          <w:color w:val="000000"/>
          <w:sz w:val="24"/>
          <w:u w:val="single"/>
        </w:rPr>
        <w:t>First Amendment</w:t>
      </w:r>
      <w:r>
        <w:rPr>
          <w:rFonts w:ascii="Times New Roman" w:hAnsi="Times New Roman"/>
          <w:color w:val="000000"/>
          <w:sz w:val="24"/>
        </w:rPr>
        <w:t>”) (as so amended, the “</w:t>
      </w:r>
      <w:r>
        <w:rPr>
          <w:rFonts w:ascii="Times New Roman" w:hAnsi="Times New Roman"/>
          <w:color w:val="000000"/>
          <w:sz w:val="24"/>
          <w:u w:val="single"/>
        </w:rPr>
        <w:t>Collaboration Agreement</w:t>
      </w:r>
      <w:r>
        <w:rPr>
          <w:rFonts w:ascii="Times New Roman" w:hAnsi="Times New Roman"/>
          <w:color w:val="000000"/>
          <w:sz w:val="24"/>
        </w:rPr>
        <w:t>”), and the Statement of Work N.2 (SOW-2), dated as of July 16, 2026 (“</w:t>
      </w:r>
      <w:r>
        <w:rPr>
          <w:rFonts w:ascii="Times New Roman" w:hAnsi="Times New Roman"/>
          <w:color w:val="000000"/>
          <w:sz w:val="24"/>
          <w:u w:val="single"/>
        </w:rPr>
        <w:t>SOW-2</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have agreed to amend certain terms of the Collaboration Agreement and SOW-2, on the terms and subject to the conditions of this Second Amendment;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intend to continue their collaboration and to negotiate in good faith a new statement of work with new milestones with a goal of maintaining the working relationship between the Parties and developing additional use cases, such as data centers or robotics in a new SOW (“</w:t>
      </w:r>
      <w:r>
        <w:rPr>
          <w:rFonts w:ascii="Times New Roman" w:hAnsi="Times New Roman"/>
          <w:color w:val="000000"/>
          <w:sz w:val="24"/>
          <w:u w:val="single"/>
        </w:rPr>
        <w:t>SOW-3</w:t>
      </w:r>
      <w:r>
        <w:rPr>
          <w:rFonts w:ascii="Times New Roman" w:hAnsi="Times New Roman"/>
          <w:color w:val="000000"/>
          <w:sz w:val="24"/>
        </w:rPr>
        <w:t>”), with the understanding that QS will continue to make progress on the milestones set out in SOW-2, until changes to such milestones are mutually agreed.</w:t>
      </w:r>
    </w:p>
    <w:p>
      <w:pPr>
        <w:pStyle w:val="TextBody"/>
        <w:bidi w:val="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for and in consideration of the mutual promises made herein and other good and valuable consideration, the receipt and sufficiency of which the Parties acknowledge, the Parties hereto, intending to be legally bound, agree as follows:</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40"/>
        <w:jc w:val="both"/>
        <w:rPr>
          <w:rFonts w:ascii="Times New Roman" w:hAnsi="Times New Roman"/>
          <w:sz w:val="24"/>
        </w:rPr>
      </w:pPr>
      <w:r>
        <w:rPr>
          <w:rFonts w:ascii="Times New Roman" w:hAnsi="Times New Roman"/>
          <w:b/>
          <w:color w:val="000000"/>
          <w:sz w:val="24"/>
        </w:rPr>
        <w:t>Definitions</w:t>
      </w:r>
      <w:r>
        <w:rPr>
          <w:rFonts w:ascii="Times New Roman" w:hAnsi="Times New Roman"/>
          <w:color w:val="000000"/>
          <w:sz w:val="24"/>
        </w:rPr>
        <w:t>. Capitalized terms used and not otherwise defined herein shall have the meanings assigned to them in the Collaboration Agreement or SOW-2,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Continued Collaboration.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240" w:after="283"/>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QS agrees to and will continue to diligently and in accordance with the requirements of SOW-2, perform the activities and work required, in a diligent and professional workman like manner, necessary to complete the milestones in SOW-2, including those set forth in Workstream A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40"/>
        <w:jc w:val="both"/>
        <w:rPr>
          <w:rFonts w:ascii="Times New Roman" w:hAnsi="Times New Roman"/>
          <w:sz w:val="24"/>
        </w:rPr>
      </w:pPr>
      <w:r>
        <w:rPr>
          <w:rFonts w:ascii="Times New Roman" w:hAnsi="Times New Roman"/>
          <w:b/>
          <w:color w:val="000000"/>
          <w:sz w:val="24"/>
        </w:rPr>
        <w:t>Amendments to SOW-2</w:t>
      </w:r>
      <w:r>
        <w:rPr>
          <w:rFonts w:ascii="Times New Roman" w:hAnsi="Times New Roman"/>
          <w:color w:val="000000"/>
          <w:sz w:val="24"/>
        </w:rPr>
        <w:t>. With effect from the Second Amendment Effective Date, SOW-2 shall be amended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0"/>
        <w:jc w:val="both"/>
        <w:rPr>
          <w:rFonts w:ascii="Times New Roman" w:hAnsi="Times New Roman"/>
          <w:sz w:val="24"/>
        </w:rPr>
      </w:pPr>
      <w:r>
        <w:rPr>
          <w:rFonts w:ascii="Times New Roman" w:hAnsi="Times New Roman"/>
          <w:color w:val="000000"/>
          <w:sz w:val="24"/>
        </w:rPr>
        <w:t>Section 3.4 (</w:t>
      </w:r>
      <w:r>
        <w:rPr>
          <w:rFonts w:ascii="Times New Roman" w:hAnsi="Times New Roman"/>
          <w:i/>
          <w:color w:val="000000"/>
          <w:sz w:val="24"/>
        </w:rPr>
        <w:t>Transition Contribution</w:t>
      </w:r>
      <w:r>
        <w:rPr>
          <w:rFonts w:ascii="Times New Roman" w:hAnsi="Times New Roman"/>
          <w:color w:val="000000"/>
          <w:sz w:val="24"/>
        </w:rPr>
        <w:t>) of SOW-2 is hereby deleted in its entirety and replaced with “[Intentionally omitted.]”.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table of contents of SOW-2 is hereby conformed to reflect the amendments set forth in this Section 3.</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40"/>
        <w:jc w:val="both"/>
        <w:rPr>
          <w:rFonts w:ascii="Times New Roman" w:hAnsi="Times New Roman"/>
          <w:sz w:val="24"/>
        </w:rPr>
      </w:pPr>
      <w:r>
        <w:rPr>
          <w:rFonts w:ascii="Times New Roman" w:hAnsi="Times New Roman"/>
          <w:b/>
          <w:color w:val="000000"/>
          <w:sz w:val="24"/>
        </w:rPr>
        <w:t>Miscellaneous</w:t>
      </w: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0"/>
        <w:jc w:val="both"/>
        <w:rPr>
          <w:rFonts w:ascii="Times New Roman" w:hAnsi="Times New Roman"/>
          <w:sz w:val="24"/>
        </w:rPr>
      </w:pPr>
      <w:r>
        <w:rPr>
          <w:rFonts w:ascii="Times New Roman" w:hAnsi="Times New Roman"/>
          <w:color w:val="000000"/>
          <w:sz w:val="24"/>
        </w:rPr>
        <w:t>Section 1.2 (</w:t>
      </w:r>
      <w:r>
        <w:rPr>
          <w:rFonts w:ascii="Times New Roman" w:hAnsi="Times New Roman"/>
          <w:i/>
          <w:color w:val="000000"/>
          <w:sz w:val="24"/>
        </w:rPr>
        <w:t>Interpretation</w:t>
      </w:r>
      <w:r>
        <w:rPr>
          <w:rFonts w:ascii="Times New Roman" w:hAnsi="Times New Roman"/>
          <w:color w:val="000000"/>
          <w:sz w:val="24"/>
        </w:rPr>
        <w:t>), Article XI (</w:t>
      </w:r>
      <w:r>
        <w:rPr>
          <w:rFonts w:ascii="Times New Roman" w:hAnsi="Times New Roman"/>
          <w:i/>
          <w:color w:val="000000"/>
          <w:sz w:val="24"/>
        </w:rPr>
        <w:t>Confidentiality</w:t>
      </w:r>
      <w:r>
        <w:rPr>
          <w:rFonts w:ascii="Times New Roman" w:hAnsi="Times New Roman"/>
          <w:color w:val="000000"/>
          <w:sz w:val="24"/>
        </w:rPr>
        <w:t>), Article XII (</w:t>
      </w:r>
      <w:r>
        <w:rPr>
          <w:rFonts w:ascii="Times New Roman" w:hAnsi="Times New Roman"/>
          <w:i/>
          <w:color w:val="000000"/>
          <w:sz w:val="24"/>
        </w:rPr>
        <w:t>Governing Law and Dispute Resolution</w:t>
      </w:r>
      <w:r>
        <w:rPr>
          <w:rFonts w:ascii="Times New Roman" w:hAnsi="Times New Roman"/>
          <w:color w:val="000000"/>
          <w:sz w:val="24"/>
        </w:rPr>
        <w:t>) and Article XIII (</w:t>
      </w:r>
      <w:r>
        <w:rPr>
          <w:rFonts w:ascii="Times New Roman" w:hAnsi="Times New Roman"/>
          <w:i/>
          <w:color w:val="000000"/>
          <w:sz w:val="24"/>
        </w:rPr>
        <w:t>Miscellaneous</w:t>
      </w:r>
      <w:r>
        <w:rPr>
          <w:rFonts w:ascii="Times New Roman" w:hAnsi="Times New Roman"/>
          <w:color w:val="000000"/>
          <w:sz w:val="24"/>
        </w:rPr>
        <w:t xml:space="preserve">) of the Collaboration Agreement shall apply to this Second Amendment, </w:t>
      </w:r>
      <w:r>
        <w:rPr>
          <w:rFonts w:ascii="Times New Roman" w:hAnsi="Times New Roman"/>
          <w:i/>
          <w:color w:val="000000"/>
          <w:sz w:val="24"/>
        </w:rPr>
        <w:t>mutatis mutandis</w:t>
      </w:r>
      <w:r>
        <w:rPr>
          <w:rFonts w:ascii="Times New Roman" w:hAnsi="Times New Roman"/>
          <w:color w:val="000000"/>
          <w:sz w:val="24"/>
        </w:rPr>
        <w:t>, as if they were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amended by this Second Amendment, the Collaboration Agreement and SOW-2 remain in full force and effect. From and after the Second Amendment Effective Date, references in the Collaboration Agreement to “this Agreement” and references in SOW-2 to “this SOW-2” or the “Collaboration Agreement” shall be deemed to be references to such documents as amended by this Second Amendment. In the event of any conflict between this Second Amendment and the Collaboration Agreement or SOW-2, this Second Amendment shall prevail.</w:t>
      </w:r>
    </w:p>
    <w:p>
      <w:pPr>
        <w:pStyle w:val="TextBody"/>
        <w:bidi w:val="0"/>
        <w:spacing w:before="24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120"/>
        <w:jc w:val="left"/>
        <w:rPr>
          <w:rFonts w:ascii="Times New Roman" w:hAnsi="Times New Roman"/>
          <w:sz w:val="24"/>
        </w:rPr>
      </w:pPr>
      <w:r>
        <w:rPr>
          <w:rFonts w:ascii="Times New Roman" w:hAnsi="Times New Roman"/>
          <w:b/>
          <w:caps/>
          <w:color w:val="000000"/>
          <w:sz w:val="24"/>
        </w:rPr>
        <w:t>In Witness Whereof</w:t>
      </w:r>
      <w:r>
        <w:rPr>
          <w:rFonts w:ascii="Times New Roman" w:hAnsi="Times New Roman"/>
          <w:color w:val="000000"/>
          <w:sz w:val="24"/>
        </w:rPr>
        <w:t>, QS and PowerCo have executed this Second Amendment as of the date first written above.</w:t>
      </w:r>
    </w:p>
    <w:p>
      <w:pPr>
        <w:pStyle w:val="TextBody"/>
        <w:bidi w:val="0"/>
        <w:spacing w:before="0" w:after="120"/>
        <w:jc w:val="both"/>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POWERCO SE</w:t>
            </w:r>
          </w:p>
          <w:p>
            <w:pPr>
              <w:pStyle w:val="TableContents"/>
              <w:bidi w:val="0"/>
              <w:spacing w:before="0" w:after="120"/>
              <w:jc w:val="left"/>
              <w:rPr/>
            </w:pPr>
            <w:r>
              <w:rPr/>
              <w:t> </w:t>
            </w:r>
          </w:p>
          <w:p>
            <w:pPr>
              <w:pStyle w:val="TableContents"/>
              <w:bidi w:val="0"/>
              <w:spacing w:before="0" w:after="120"/>
              <w:jc w:val="left"/>
              <w:rPr/>
            </w:pPr>
            <w:r>
              <w:rPr/>
              <w:t> </w:t>
            </w:r>
          </w:p>
          <w:p>
            <w:pPr>
              <w:pStyle w:val="TableContents"/>
              <w:bidi w:val="0"/>
              <w:spacing w:before="0" w:after="1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Heinz Willi Vassen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 Heinz Willi Vassen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CTO</w:t>
            </w:r>
          </w:p>
          <w:p>
            <w:pPr>
              <w:pStyle w:val="TableContents"/>
              <w:bidi w:val="0"/>
              <w:spacing w:before="0" w:after="120"/>
              <w:jc w:val="left"/>
              <w:rPr/>
            </w:pPr>
            <w:r>
              <w:rPr/>
              <w:t> </w:t>
            </w:r>
          </w:p>
          <w:p>
            <w:pPr>
              <w:pStyle w:val="TableContents"/>
              <w:bidi w:val="0"/>
              <w:spacing w:before="0" w:after="1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Alexander Schmitt</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 Alexander Schmitt</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CPO</w:t>
            </w:r>
          </w:p>
        </w:tc>
      </w:tr>
    </w:tbl>
    <w:p>
      <w:pPr>
        <w:pStyle w:val="TextBody"/>
        <w:bidi w:val="0"/>
        <w:spacing w:before="120" w:after="120"/>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Second Amendment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240" w:after="283"/>
        <w:jc w:val="right"/>
        <w:rPr/>
      </w:pPr>
      <w:r>
        <w:rPr/>
        <w:t> </w:t>
      </w:r>
    </w:p>
    <w:p>
      <w:pPr>
        <w:pStyle w:val="TextBody"/>
        <w:bidi w:val="0"/>
        <w:spacing w:before="240" w:after="120"/>
        <w:jc w:val="left"/>
        <w:rPr>
          <w:rFonts w:ascii="Times New Roman" w:hAnsi="Times New Roman"/>
          <w:sz w:val="24"/>
        </w:rPr>
      </w:pPr>
      <w:r>
        <w:rPr>
          <w:rFonts w:ascii="Times New Roman" w:hAnsi="Times New Roman"/>
          <w:b/>
          <w:caps/>
          <w:color w:val="000000"/>
          <w:sz w:val="24"/>
        </w:rPr>
        <w:t>In Witness Whereof</w:t>
      </w:r>
      <w:r>
        <w:rPr>
          <w:rFonts w:ascii="Times New Roman" w:hAnsi="Times New Roman"/>
          <w:color w:val="000000"/>
          <w:sz w:val="24"/>
        </w:rPr>
        <w:t>, QS and PowerCo have executed this Second Amendment as of the date first written above.</w:t>
      </w:r>
    </w:p>
    <w:p>
      <w:pPr>
        <w:pStyle w:val="TextBody"/>
        <w:bidi w:val="0"/>
        <w:spacing w:before="0" w:after="120"/>
        <w:jc w:val="both"/>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QUANTUMSCAPE BATTERY, INC.</w:t>
            </w:r>
          </w:p>
          <w:p>
            <w:pPr>
              <w:pStyle w:val="TableContents"/>
              <w:bidi w:val="0"/>
              <w:spacing w:before="0" w:after="120"/>
              <w:jc w:val="left"/>
              <w:rPr/>
            </w:pPr>
            <w:r>
              <w:rPr/>
              <w:t> </w:t>
            </w:r>
          </w:p>
          <w:p>
            <w:pPr>
              <w:pStyle w:val="TableContents"/>
              <w:bidi w:val="0"/>
              <w:spacing w:before="0" w:after="120"/>
              <w:jc w:val="left"/>
              <w:rPr/>
            </w:pPr>
            <w:r>
              <w:rPr/>
              <w:t> </w:t>
            </w:r>
          </w:p>
          <w:p>
            <w:pPr>
              <w:pStyle w:val="TableContents"/>
              <w:bidi w:val="0"/>
              <w:spacing w:before="0" w:after="1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Siva Sivaram</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 Siva Sivaram</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CEO</w:t>
            </w:r>
          </w:p>
          <w:p>
            <w:pPr>
              <w:pStyle w:val="TableContents"/>
              <w:bidi w:val="0"/>
              <w:spacing w:before="0" w:after="120"/>
              <w:jc w:val="left"/>
              <w:rPr/>
            </w:pPr>
            <w:r>
              <w:rPr/>
              <w:t> </w:t>
            </w:r>
          </w:p>
          <w:p>
            <w:pPr>
              <w:pStyle w:val="TableContents"/>
              <w:bidi w:val="0"/>
              <w:spacing w:before="0" w:after="1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Luca Fasoli</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 Luca Fasoli</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COO</w:t>
            </w:r>
          </w:p>
          <w:p>
            <w:pPr>
              <w:pStyle w:val="TableContents"/>
              <w:bidi w:val="0"/>
              <w:spacing w:before="0" w:after="120"/>
              <w:jc w:val="left"/>
              <w:rPr/>
            </w:pPr>
            <w:r>
              <w:rPr/>
              <w:t> </w:t>
            </w:r>
          </w:p>
        </w:tc>
      </w:tr>
    </w:tbl>
    <w:p>
      <w:pPr>
        <w:pStyle w:val="TextBody"/>
        <w:bidi w:val="0"/>
        <w:spacing w:before="240" w:after="283"/>
        <w:jc w:val="both"/>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Second Amendment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bookmarkStart w:id="28" w:name="qs-ex31_1.htm"/>
      <w:bookmarkStart w:id="29" w:name="ksqs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4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Siva Sivaram,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QuantumScape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87" w:type="dxa"/>
        <w:jc w:val="left"/>
        <w:tblInd w:w="0" w:type="dxa"/>
        <w:tblLayout w:type="fixed"/>
        <w:tblCellMar>
          <w:top w:w="28" w:type="dxa"/>
          <w:left w:w="28" w:type="dxa"/>
          <w:bottom w:w="28" w:type="dxa"/>
          <w:right w:w="28" w:type="dxa"/>
        </w:tblCellMar>
      </w:tblPr>
      <w:tblGrid>
        <w:gridCol w:w="1786"/>
        <w:gridCol w:w="109"/>
        <w:gridCol w:w="361"/>
        <w:gridCol w:w="30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By:</w:t>
            </w:r>
          </w:p>
        </w:tc>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qs-ex31_2.htm"/>
      <w:bookmarkStart w:id="31" w:name="ksqs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4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Kevin Hettrich,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QuantumScape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786"/>
        <w:gridCol w:w="109"/>
        <w:gridCol w:w="361"/>
        <w:gridCol w:w="33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qs-ex32_1.htm"/>
      <w:bookmarkStart w:id="33" w:name="ksqsex32_1"/>
      <w:bookmarkEnd w:id="32"/>
      <w:bookmarkEnd w:id="33"/>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32.1</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of QuantumScape Corporation (the “Company”) on Form 10-Q for the period ending September 30, 2026 as filed with the Securities and Exchange Commission on the date hereof (the “Report”), I, Siva Sivaram, certify, pursuant to 18 U.S.C. § 1350, as adopted pursuant to § 906 of the Sarbanes-Oxley Act of 2002,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5287" w:type="dxa"/>
        <w:jc w:val="left"/>
        <w:tblInd w:w="0" w:type="dxa"/>
        <w:tblLayout w:type="fixed"/>
        <w:tblCellMar>
          <w:top w:w="28" w:type="dxa"/>
          <w:left w:w="28" w:type="dxa"/>
          <w:bottom w:w="28" w:type="dxa"/>
          <w:right w:w="28" w:type="dxa"/>
        </w:tblCellMar>
      </w:tblPr>
      <w:tblGrid>
        <w:gridCol w:w="1786"/>
        <w:gridCol w:w="109"/>
        <w:gridCol w:w="361"/>
        <w:gridCol w:w="30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qs-ex32_2.htm"/>
      <w:bookmarkStart w:id="35" w:name="ksqsex32_2"/>
      <w:bookmarkEnd w:id="34"/>
      <w:bookmarkEnd w:id="35"/>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of QuantumScape Corporation (the “Company”) on Form 10-Q for the period ending September 30, 2026 as filed with the Securities and Exchange Commission on the date hereof (the “Report”), I, Kevin Hettrich, certify, pursuant to 18 U.S.C. § 1350, as adopted pursuant to § 906 of the Sarbanes-Oxley Act of 2002,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786"/>
        <w:gridCol w:w="109"/>
        <w:gridCol w:w="361"/>
        <w:gridCol w:w="33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414/000095017024086884/qs-ex3_1.htm" TargetMode="External"/><Relationship Id="rId3" Type="http://schemas.openxmlformats.org/officeDocument/2006/relationships/hyperlink" Target="https://www.sec.gov/Archives/edgar/data/1811414/000095017024086884/qs-ex3_1.htm" TargetMode="External"/><Relationship Id="rId4" Type="http://schemas.openxmlformats.org/officeDocument/2006/relationships/hyperlink" Target="https://www.sec.gov/Archives/edgar/data/1811414/000095017022019936/qs-ex3_1.htm" TargetMode="External"/><Relationship Id="rId5" Type="http://schemas.openxmlformats.org/officeDocument/2006/relationships/hyperlink" Target="https://www.sec.gov/Archives/edgar/data/1811414/000119312526312381/qs-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44320</Words>
  <Characters>251609</Characters>
  <CharactersWithSpaces>296668</CharactersWithSpaces>
  <Paragraphs>5674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