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314325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5" w:lineRule="exact"/>
        <w:rPr>
          <w:sz w:val="24"/>
          <w:szCs w:val="24"/>
          <w:color w:val="auto"/>
        </w:rPr>
      </w:pPr>
    </w:p>
    <w:p>
      <w:pPr>
        <w:ind w:left="5245"/>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36" w:lineRule="exact"/>
        <w:rPr>
          <w:sz w:val="24"/>
          <w:szCs w:val="24"/>
          <w:color w:val="auto"/>
        </w:rPr>
      </w:pPr>
    </w:p>
    <w:p>
      <w:pPr>
        <w:ind w:left="4885"/>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36" w:lineRule="exact"/>
        <w:rPr>
          <w:sz w:val="24"/>
          <w:szCs w:val="24"/>
          <w:color w:val="auto"/>
        </w:rPr>
      </w:pPr>
    </w:p>
    <w:p>
      <w:pPr>
        <w:ind w:left="4365"/>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w:t>
      </w:r>
    </w:p>
    <w:p>
      <w:pPr>
        <w:spacing w:after="0" w:line="2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0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October 15, 2020</w:t>
      </w:r>
    </w:p>
    <w:p>
      <w:pPr>
        <w:spacing w:after="0" w:line="14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Kensington Capital Acquisition Corp.</w:t>
      </w:r>
    </w:p>
    <w:p>
      <w:pPr>
        <w:spacing w:after="0" w:line="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ectPr>
          <w:pgSz w:w="11900" w:h="16838" w:orient="portrait"/>
          <w:cols w:equalWidth="0" w:num="1">
            <w:col w:w="11265"/>
          </w:cols>
          <w:pgMar w:left="315" w:top="571" w:right="319" w:bottom="1440" w:gutter="0" w:footer="0" w:header="0"/>
        </w:sectPr>
      </w:pPr>
    </w:p>
    <w:p>
      <w:pPr>
        <w:spacing w:after="0" w:line="136" w:lineRule="exact"/>
        <w:rPr>
          <w:sz w:val="24"/>
          <w:szCs w:val="24"/>
          <w:color w:val="auto"/>
        </w:rPr>
      </w:pPr>
    </w:p>
    <w:p>
      <w:pPr>
        <w:ind w:left="2605"/>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5"/>
          <w:szCs w:val="15"/>
          <w:b w:val="1"/>
          <w:bCs w:val="1"/>
          <w:color w:val="auto"/>
        </w:rPr>
        <w:t>001-39345</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85-0796578</w:t>
      </w:r>
    </w:p>
    <w:p>
      <w:pPr>
        <w:spacing w:after="0" w:line="36" w:lineRule="exact"/>
        <w:rPr>
          <w:sz w:val="24"/>
          <w:szCs w:val="24"/>
          <w:color w:val="auto"/>
        </w:rPr>
      </w:pPr>
    </w:p>
    <w:p>
      <w:pPr>
        <w:sectPr>
          <w:pgSz w:w="11900" w:h="16838" w:orient="portrait"/>
          <w:cols w:equalWidth="0" w:num="3">
            <w:col w:w="4545" w:space="720"/>
            <w:col w:w="1960" w:space="720"/>
            <w:col w:w="3320"/>
          </w:cols>
          <w:pgMar w:left="315" w:top="571" w:right="319" w:bottom="1440" w:gutter="0" w:footer="0" w:header="0"/>
          <w:type w:val="continuous"/>
        </w:sectPr>
      </w:pPr>
    </w:p>
    <w:p>
      <w:pPr>
        <w:jc w:val="center"/>
        <w:ind w:left="1725"/>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11" w:lineRule="exact"/>
        <w:rPr>
          <w:sz w:val="24"/>
          <w:szCs w:val="24"/>
          <w:color w:val="auto"/>
        </w:rPr>
      </w:pPr>
    </w:p>
    <w:p>
      <w:pPr>
        <w:jc w:val="center"/>
        <w:ind w:left="1725"/>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jc w:val="center"/>
        <w:ind w:right="2280"/>
        <w:spacing w:after="0"/>
        <w:rPr>
          <w:sz w:val="20"/>
          <w:szCs w:val="20"/>
          <w:color w:val="auto"/>
        </w:rPr>
      </w:pPr>
      <w:r>
        <w:rPr>
          <w:rFonts w:ascii="Times New Roman" w:cs="Times New Roman" w:eastAsia="Times New Roman" w:hAnsi="Times New Roman"/>
          <w:sz w:val="14"/>
          <w:szCs w:val="14"/>
          <w:color w:val="auto"/>
        </w:rPr>
        <w:t>(I.R.S. Employer</w:t>
      </w:r>
    </w:p>
    <w:p>
      <w:pPr>
        <w:spacing w:after="0" w:line="11"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4"/>
          <w:szCs w:val="14"/>
          <w:color w:val="auto"/>
        </w:rPr>
        <w:t>Identification Number)</w:t>
      </w:r>
    </w:p>
    <w:p>
      <w:pPr>
        <w:spacing w:after="0" w:line="193" w:lineRule="exact"/>
        <w:rPr>
          <w:sz w:val="24"/>
          <w:szCs w:val="24"/>
          <w:color w:val="auto"/>
        </w:rPr>
      </w:pPr>
    </w:p>
    <w:p>
      <w:pPr>
        <w:sectPr>
          <w:pgSz w:w="11900" w:h="16838" w:orient="portrait"/>
          <w:cols w:equalWidth="0" w:num="3">
            <w:col w:w="4125" w:space="720"/>
            <w:col w:w="2100" w:space="720"/>
            <w:col w:w="3600"/>
          </w:cols>
          <w:pgMar w:left="315" w:top="571" w:right="319" w:bottom="1440" w:gutter="0" w:footer="0" w:header="0"/>
          <w:type w:val="continuous"/>
        </w:sectPr>
      </w:pPr>
    </w:p>
    <w:p>
      <w:pPr>
        <w:jc w:val="center"/>
        <w:ind w:left="545"/>
        <w:spacing w:after="0"/>
        <w:rPr>
          <w:sz w:val="20"/>
          <w:szCs w:val="20"/>
          <w:color w:val="auto"/>
        </w:rPr>
      </w:pPr>
      <w:r>
        <w:rPr>
          <w:rFonts w:ascii="Times New Roman" w:cs="Times New Roman" w:eastAsia="Times New Roman" w:hAnsi="Times New Roman"/>
          <w:sz w:val="15"/>
          <w:szCs w:val="15"/>
          <w:b w:val="1"/>
          <w:bCs w:val="1"/>
          <w:color w:val="auto"/>
        </w:rPr>
        <w:t>1400 Old Country Road, Suite 301</w:t>
      </w:r>
    </w:p>
    <w:p>
      <w:pPr>
        <w:spacing w:after="0" w:line="36" w:lineRule="exact"/>
        <w:rPr>
          <w:sz w:val="24"/>
          <w:szCs w:val="24"/>
          <w:color w:val="auto"/>
        </w:rPr>
      </w:pPr>
    </w:p>
    <w:p>
      <w:pPr>
        <w:jc w:val="center"/>
        <w:ind w:left="545"/>
        <w:spacing w:after="0"/>
        <w:rPr>
          <w:sz w:val="20"/>
          <w:szCs w:val="20"/>
          <w:color w:val="auto"/>
        </w:rPr>
      </w:pPr>
      <w:r>
        <w:rPr>
          <w:rFonts w:ascii="Times New Roman" w:cs="Times New Roman" w:eastAsia="Times New Roman" w:hAnsi="Times New Roman"/>
          <w:sz w:val="16"/>
          <w:szCs w:val="16"/>
          <w:b w:val="1"/>
          <w:bCs w:val="1"/>
          <w:color w:val="auto"/>
        </w:rPr>
        <w:t>Westbury, New York</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11590</w:t>
      </w:r>
    </w:p>
    <w:p>
      <w:pPr>
        <w:spacing w:after="0" w:line="35" w:lineRule="exact"/>
        <w:rPr>
          <w:sz w:val="24"/>
          <w:szCs w:val="24"/>
          <w:color w:val="auto"/>
        </w:rPr>
      </w:pPr>
    </w:p>
    <w:p>
      <w:pPr>
        <w:sectPr>
          <w:pgSz w:w="11900" w:h="16838" w:orient="portrait"/>
          <w:cols w:equalWidth="0" w:num="2">
            <w:col w:w="6825" w:space="720"/>
            <w:col w:w="3720"/>
          </w:cols>
          <w:pgMar w:left="315" w:top="571" w:right="319" w:bottom="1440" w:gutter="0" w:footer="0" w:header="0"/>
          <w:type w:val="continuous"/>
        </w:sectPr>
      </w:pPr>
    </w:p>
    <w:p>
      <w:pPr>
        <w:jc w:val="center"/>
        <w:ind w:left="625"/>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(Zip code)</w:t>
      </w:r>
    </w:p>
    <w:p>
      <w:pPr>
        <w:spacing w:after="0" w:line="150" w:lineRule="exact"/>
        <w:rPr>
          <w:sz w:val="24"/>
          <w:szCs w:val="24"/>
          <w:color w:val="auto"/>
        </w:rPr>
      </w:pPr>
    </w:p>
    <w:p>
      <w:pPr>
        <w:sectPr>
          <w:pgSz w:w="11900" w:h="16838" w:orient="portrait"/>
          <w:cols w:equalWidth="0" w:num="2">
            <w:col w:w="6725" w:space="720"/>
            <w:col w:w="3820"/>
          </w:cols>
          <w:pgMar w:left="315" w:top="571" w:right="31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(703) 674-6514</w:t>
      </w:r>
    </w:p>
    <w:p>
      <w:pPr>
        <w:spacing w:after="0" w:line="2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65"/>
          </w:cols>
          <w:pgMar w:left="315" w:top="571" w:right="319" w:bottom="1440" w:gutter="0" w:footer="0" w:header="0"/>
          <w:type w:val="continuous"/>
        </w:sectPr>
      </w:pPr>
    </w:p>
    <w:p>
      <w:pPr>
        <w:spacing w:after="0" w:line="9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53"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w:t>
      </w:r>
    </w:p>
    <w:p>
      <w:pPr>
        <w:spacing w:after="0" w:line="23"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provisions:</w:t>
      </w:r>
    </w:p>
    <w:p>
      <w:pPr>
        <w:spacing w:after="0" w:line="118" w:lineRule="exact"/>
        <w:rPr>
          <w:sz w:val="24"/>
          <w:szCs w:val="24"/>
          <w:color w:val="auto"/>
        </w:rPr>
      </w:pPr>
    </w:p>
    <w:p>
      <w:pPr>
        <w:ind w:left="605" w:hanging="605"/>
        <w:spacing w:after="0"/>
        <w:tabs>
          <w:tab w:leader="none" w:pos="6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00" w:lineRule="exact"/>
        <w:rPr>
          <w:sz w:val="24"/>
          <w:szCs w:val="24"/>
          <w:color w:val="auto"/>
        </w:rPr>
      </w:pPr>
    </w:p>
    <w:p>
      <w:pPr>
        <w:ind w:left="605" w:hanging="605"/>
        <w:spacing w:after="0"/>
        <w:tabs>
          <w:tab w:leader="none" w:pos="60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00" w:lineRule="exact"/>
        <w:rPr>
          <w:rFonts w:ascii="MS PGothic" w:cs="MS PGothic" w:eastAsia="MS PGothic" w:hAnsi="MS PGothic"/>
          <w:sz w:val="16"/>
          <w:szCs w:val="16"/>
          <w:color w:val="auto"/>
        </w:rPr>
      </w:pPr>
    </w:p>
    <w:p>
      <w:pPr>
        <w:ind w:left="605" w:hanging="605"/>
        <w:spacing w:after="0"/>
        <w:tabs>
          <w:tab w:leader="none" w:pos="60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00" w:lineRule="exact"/>
        <w:rPr>
          <w:rFonts w:ascii="MS PGothic" w:cs="MS PGothic" w:eastAsia="MS PGothic" w:hAnsi="MS PGothic"/>
          <w:sz w:val="16"/>
          <w:szCs w:val="16"/>
          <w:color w:val="auto"/>
        </w:rPr>
      </w:pPr>
    </w:p>
    <w:p>
      <w:pPr>
        <w:ind w:left="5" w:right="3620" w:hanging="5"/>
        <w:spacing w:after="0" w:line="416" w:lineRule="auto"/>
        <w:tabs>
          <w:tab w:leader="none" w:pos="609"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665" w:type="dxa"/>
        <w:tblCellMar>
          <w:top w:w="0" w:type="dxa"/>
          <w:left w:w="0" w:type="dxa"/>
          <w:bottom w:w="0" w:type="dxa"/>
          <w:right w:w="0" w:type="dxa"/>
        </w:tblCellMar>
      </w:tblPr>
      <w:tr>
        <w:trPr>
          <w:trHeight w:val="206"/>
        </w:trPr>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Trading Symbol(s)</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63"/>
        </w:trPr>
        <w:tc>
          <w:tcPr>
            <w:tcW w:w="3360" w:type="dxa"/>
            <w:vAlign w:val="bottom"/>
            <w:tcBorders>
              <w:top w:val="single" w:sz="8" w:color="auto"/>
            </w:tcBorders>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w w:val="98"/>
              </w:rPr>
              <w:t>Units, each consisting of one share of Class A</w:t>
            </w:r>
          </w:p>
        </w:tc>
        <w:tc>
          <w:tcPr>
            <w:tcW w:w="60" w:type="dxa"/>
            <w:vAlign w:val="bottom"/>
          </w:tcPr>
          <w:p>
            <w:pPr>
              <w:spacing w:after="0"/>
              <w:rPr>
                <w:sz w:val="14"/>
                <w:szCs w:val="14"/>
                <w:color w:val="auto"/>
              </w:rPr>
            </w:pPr>
          </w:p>
        </w:tc>
        <w:tc>
          <w:tcPr>
            <w:tcW w:w="1320" w:type="dxa"/>
            <w:vAlign w:val="bottom"/>
            <w:tcBorders>
              <w:top w:val="single" w:sz="8" w:color="auto"/>
            </w:tcBorders>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w w:val="98"/>
              </w:rPr>
              <w:t>KCAC.U</w:t>
            </w:r>
          </w:p>
        </w:tc>
        <w:tc>
          <w:tcPr>
            <w:tcW w:w="80" w:type="dxa"/>
            <w:vAlign w:val="bottom"/>
          </w:tcPr>
          <w:p>
            <w:pPr>
              <w:spacing w:after="0"/>
              <w:rPr>
                <w:sz w:val="14"/>
                <w:szCs w:val="14"/>
                <w:color w:val="auto"/>
              </w:rPr>
            </w:pPr>
          </w:p>
        </w:tc>
        <w:tc>
          <w:tcPr>
            <w:tcW w:w="3120" w:type="dxa"/>
            <w:vAlign w:val="bottom"/>
            <w:tcBorders>
              <w:top w:val="single" w:sz="8" w:color="auto"/>
            </w:tcBorders>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w w:val="97"/>
              </w:rPr>
              <w:t>The New York Stock Exchange</w:t>
            </w:r>
          </w:p>
        </w:tc>
      </w:tr>
      <w:tr>
        <w:trPr>
          <w:trHeight w:val="189"/>
        </w:trPr>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 stock, par value $0.0001 per share, and</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189"/>
        </w:trPr>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one-half of one redeemable warrant</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189"/>
        </w:trPr>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Class A common stock included as part of the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KCAC</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The New York Stock Exchange</w:t>
            </w:r>
          </w:p>
        </w:tc>
      </w:tr>
      <w:tr>
        <w:trPr>
          <w:trHeight w:val="189"/>
        </w:trPr>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189"/>
        </w:trPr>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Redeemable warrants included as part of the</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KCAC WS</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The New York Stock Exchange</w:t>
            </w:r>
          </w:p>
        </w:tc>
      </w:tr>
      <w:tr>
        <w:trPr>
          <w:trHeight w:val="189"/>
        </w:trPr>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units, each whole warrant exercisable for one</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189"/>
        </w:trPr>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share of Class A common stock at an exercise</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209"/>
        </w:trPr>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price of $11.50</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tcPr>
          <w:p>
            <w:pPr>
              <w:spacing w:after="0"/>
              <w:rPr>
                <w:sz w:val="18"/>
                <w:szCs w:val="18"/>
                <w:color w:val="auto"/>
              </w:rPr>
            </w:pPr>
          </w:p>
        </w:tc>
      </w:tr>
    </w:tbl>
    <w:p>
      <w:pPr>
        <w:spacing w:after="0" w:line="125" w:lineRule="exact"/>
        <w:rPr>
          <w:sz w:val="24"/>
          <w:szCs w:val="24"/>
          <w:color w:val="auto"/>
        </w:rPr>
      </w:pPr>
    </w:p>
    <w:p>
      <w:pPr>
        <w:ind w:left="5" w:right="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or Rule 12b-2 of the Securities Exchange Act of 1934 (§ 240.12b-2).</w:t>
      </w:r>
    </w:p>
    <w:p>
      <w:pPr>
        <w:spacing w:after="0" w:line="27"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ind w:left="5"/>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57785</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448945</wp:posOffset>
            </wp:positionV>
            <wp:extent cx="716407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5"/>
          </w:cols>
          <w:pgMar w:left="315" w:top="571"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7" w:lineRule="exact"/>
        <w:rPr>
          <w:sz w:val="20"/>
          <w:szCs w:val="20"/>
          <w:color w:val="auto"/>
        </w:rPr>
      </w:pPr>
    </w:p>
    <w:p>
      <w:pPr>
        <w:ind w:right="140" w:firstLine="866"/>
        <w:spacing w:after="0" w:line="252" w:lineRule="auto"/>
        <w:rPr>
          <w:sz w:val="20"/>
          <w:szCs w:val="20"/>
          <w:color w:val="auto"/>
        </w:rPr>
      </w:pPr>
      <w:r>
        <w:rPr>
          <w:rFonts w:ascii="Times New Roman" w:cs="Times New Roman" w:eastAsia="Times New Roman" w:hAnsi="Times New Roman"/>
          <w:sz w:val="16"/>
          <w:szCs w:val="16"/>
          <w:color w:val="auto"/>
        </w:rPr>
        <w:t>Attached as Exhibit 99.1 to this Current Report on Form 8-K and incorporated herein by reference into this Item 7.01 is the Analyst Day Presentation, dated October 2020, that will be used by Kensington Capital Acquisition Corp., a Delaware corporation (“</w:t>
      </w:r>
      <w:r>
        <w:rPr>
          <w:rFonts w:ascii="Times New Roman" w:cs="Times New Roman" w:eastAsia="Times New Roman" w:hAnsi="Times New Roman"/>
          <w:sz w:val="16"/>
          <w:szCs w:val="16"/>
          <w:u w:val="single" w:color="auto"/>
          <w:color w:val="auto"/>
        </w:rPr>
        <w:t>Kensington</w:t>
      </w:r>
      <w:r>
        <w:rPr>
          <w:rFonts w:ascii="Times New Roman" w:cs="Times New Roman" w:eastAsia="Times New Roman" w:hAnsi="Times New Roman"/>
          <w:sz w:val="16"/>
          <w:szCs w:val="16"/>
          <w:color w:val="auto"/>
        </w:rPr>
        <w:t>”), in presentations to certain Kensington stockholders and other persons, including at an analyst day presentation scheduled for October 15, 2020, in connection with Kensington’s previously disclosed proposed business combination with QuantumScape Corporation,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the other transactions contemplated by that certain Business Combination Agreement, dated as of September 2, 2020, among Kensington, Kensington Merger Sub Corp., a Delaware corporation and a wholly-owned direct subsidiary of Kensington, and the Company, as amended on September 21, 2020 (the “</w:t>
      </w:r>
      <w:r>
        <w:rPr>
          <w:rFonts w:ascii="Times New Roman" w:cs="Times New Roman" w:eastAsia="Times New Roman" w:hAnsi="Times New Roman"/>
          <w:sz w:val="16"/>
          <w:szCs w:val="16"/>
          <w:u w:val="single" w:color="auto"/>
          <w:color w:val="auto"/>
        </w:rPr>
        <w:t>Business Combination Agreement</w:t>
      </w:r>
      <w:r>
        <w:rPr>
          <w:rFonts w:ascii="Times New Roman" w:cs="Times New Roman" w:eastAsia="Times New Roman" w:hAnsi="Times New Roman"/>
          <w:sz w:val="16"/>
          <w:szCs w:val="16"/>
          <w:color w:val="auto"/>
        </w:rPr>
        <w:t>” and the “</w:t>
      </w:r>
      <w:r>
        <w:rPr>
          <w:rFonts w:ascii="Times New Roman" w:cs="Times New Roman" w:eastAsia="Times New Roman" w:hAnsi="Times New Roman"/>
          <w:sz w:val="16"/>
          <w:szCs w:val="16"/>
          <w:u w:val="single" w:color="auto"/>
          <w:color w:val="auto"/>
        </w:rPr>
        <w:t>Proposed Transactions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right="400" w:firstLine="866"/>
        <w:spacing w:after="0" w:line="261" w:lineRule="auto"/>
        <w:rPr>
          <w:sz w:val="20"/>
          <w:szCs w:val="20"/>
          <w:color w:val="auto"/>
        </w:rPr>
      </w:pPr>
      <w:r>
        <w:rPr>
          <w:rFonts w:ascii="Times New Roman" w:cs="Times New Roman" w:eastAsia="Times New Roman" w:hAnsi="Times New Roman"/>
          <w:sz w:val="16"/>
          <w:szCs w:val="16"/>
          <w:color w:val="auto"/>
        </w:rPr>
        <w:t>The foregoing Exhibit 99.1 and the information set forth therein are being furnished pursuant to Item 7.01 and shall not be deemed to be filed for purposes of Section 18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or otherwise be subject to the liabilities of that section, nor shall they be deemed to be incorporated by reference in any filing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or the Exchange Act.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Important Information and Where to Find It</w:t>
      </w:r>
    </w:p>
    <w:p>
      <w:pPr>
        <w:spacing w:after="0" w:line="199" w:lineRule="exact"/>
        <w:rPr>
          <w:sz w:val="20"/>
          <w:szCs w:val="20"/>
          <w:color w:val="auto"/>
        </w:rPr>
      </w:pPr>
    </w:p>
    <w:p>
      <w:pPr>
        <w:ind w:firstLine="866"/>
        <w:spacing w:after="0" w:line="250" w:lineRule="auto"/>
        <w:rPr>
          <w:sz w:val="20"/>
          <w:szCs w:val="20"/>
          <w:color w:val="auto"/>
        </w:rPr>
      </w:pPr>
      <w:r>
        <w:rPr>
          <w:rFonts w:ascii="Times New Roman" w:cs="Times New Roman" w:eastAsia="Times New Roman" w:hAnsi="Times New Roman"/>
          <w:sz w:val="16"/>
          <w:szCs w:val="16"/>
          <w:color w:val="auto"/>
        </w:rPr>
        <w:t>In connection with the Proposed Transactions, Kensington has filed a registration statement on Form S-4, including a proxy statement/prospectus/information statement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with the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which includes a preliminary proxy statement to be distributed to holders of Kensington’s common stock in connection with Kensington’s solicitation of proxies for the vote by Kensington’s stockholders with respect to the Proposed Transactions and other matters as described in the Registration Statement, a prospectus relating to the offer of the securities to be issued to the Company’s stockholders in connection with the Proposed Transactions, and an information statement to Company’s stockholders regarding the Proposed Transactions. After the Registration Statement has been declared effective, Kensington will mail a definitive proxy statement/prospectus, when available, to its stockholders. Investors and security holders and other interested parties are urged to read the proxy statement/prospectus, any amendments thereto and any other documents filed with the SEC carefully and in their entirety when they become available because they will contain important information about Kensington, the Company and the Proposed Transactions. Investors and security holders may obtain free copies of the preliminary proxy statement/prospectus and definitive proxy statement/prospectus (when available) and other documents filed with the SEC by Kensington through the website maintained by the SEC at http://www.sec.gov, or by directing a request to: Kensington Capital Acquisition Corp., 1400 Old Country Road, Suite 301, Westbury, NY 11590.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Participants in the Solicitation</w:t>
      </w:r>
    </w:p>
    <w:p>
      <w:pPr>
        <w:spacing w:after="0" w:line="199" w:lineRule="exact"/>
        <w:rPr>
          <w:sz w:val="20"/>
          <w:szCs w:val="20"/>
          <w:color w:val="auto"/>
        </w:rPr>
      </w:pPr>
    </w:p>
    <w:p>
      <w:pPr>
        <w:ind w:right="20" w:firstLine="866"/>
        <w:spacing w:after="0" w:line="252" w:lineRule="auto"/>
        <w:rPr>
          <w:sz w:val="20"/>
          <w:szCs w:val="20"/>
          <w:color w:val="auto"/>
        </w:rPr>
      </w:pPr>
      <w:r>
        <w:rPr>
          <w:rFonts w:ascii="Times New Roman" w:cs="Times New Roman" w:eastAsia="Times New Roman" w:hAnsi="Times New Roman"/>
          <w:sz w:val="16"/>
          <w:szCs w:val="16"/>
          <w:color w:val="auto"/>
        </w:rPr>
        <w:t>Kensington and the Company and their respective directors and certain of their respective executive officers and other members of management and employees may be considered participants in the solicitation of proxies with respect to the Proposed Transactions. Information about the directors and executive officers of Kensington is set forth in the Registration Statement. Additional information regarding the participants in the proxy solicitation and a description of their direct and indirect interests, by security holdings or otherwise, will be included in the Registration Statement and other relevant materials to be filed with the SEC regarding the Proposed Transactions when they become available. Stockholders, potential investors and other interested persons should read the Registration Statement carefully when it becomes available before making any voting or investment decisions. When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259080</wp:posOffset>
            </wp:positionV>
            <wp:extent cx="716407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0"/>
          </w:cols>
          <w:pgMar w:left="320" w:top="512" w:right="319" w:bottom="1440" w:gutter="0" w:footer="0" w:header="0"/>
        </w:sectPr>
      </w:pPr>
    </w:p>
    <w:bookmarkStart w:id="2" w:name="page3"/>
    <w:bookmarkEnd w:id="2"/>
    <w:p>
      <w:pPr>
        <w:ind w:left="11160"/>
        <w:spacing w:after="0"/>
        <w:rPr>
          <w:sz w:val="20"/>
          <w:szCs w:val="20"/>
          <w:color w:val="auto"/>
        </w:rPr>
      </w:pPr>
      <w:r>
        <w:rPr>
          <w:rFonts w:ascii="Times New Roman" w:cs="Times New Roman" w:eastAsia="Times New Roman" w:hAnsi="Times New Roman"/>
          <w:sz w:val="19"/>
          <w:szCs w:val="19"/>
          <w:color w:val="auto"/>
        </w:rPr>
        <w:t>3</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 Offer or Solicitation</w:t>
      </w:r>
    </w:p>
    <w:p>
      <w:pPr>
        <w:spacing w:after="0" w:line="199" w:lineRule="exact"/>
        <w:rPr>
          <w:sz w:val="20"/>
          <w:szCs w:val="20"/>
          <w:color w:val="auto"/>
        </w:rPr>
      </w:pPr>
    </w:p>
    <w:p>
      <w:pPr>
        <w:jc w:val="both"/>
        <w:ind w:right="180" w:firstLine="866"/>
        <w:spacing w:after="0" w:line="261" w:lineRule="auto"/>
        <w:rPr>
          <w:sz w:val="20"/>
          <w:szCs w:val="20"/>
          <w:color w:val="auto"/>
        </w:rPr>
      </w:pPr>
      <w:r>
        <w:rPr>
          <w:rFonts w:ascii="Times New Roman" w:cs="Times New Roman" w:eastAsia="Times New Roman" w:hAnsi="Times New Roman"/>
          <w:sz w:val="16"/>
          <w:szCs w:val="16"/>
          <w:color w:val="auto"/>
        </w:rPr>
        <w:t>This Current Report on Form 8-K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199" w:lineRule="exact"/>
        <w:rPr>
          <w:sz w:val="20"/>
          <w:szCs w:val="20"/>
          <w:color w:val="auto"/>
        </w:rPr>
      </w:pPr>
    </w:p>
    <w:p>
      <w:pPr>
        <w:jc w:val="both"/>
        <w:ind w:firstLine="866"/>
        <w:spacing w:after="0" w:line="248" w:lineRule="auto"/>
        <w:rPr>
          <w:sz w:val="20"/>
          <w:szCs w:val="20"/>
          <w:color w:val="auto"/>
        </w:rPr>
      </w:pPr>
      <w:r>
        <w:rPr>
          <w:rFonts w:ascii="Times New Roman" w:cs="Times New Roman" w:eastAsia="Times New Roman" w:hAnsi="Times New Roman"/>
          <w:sz w:val="16"/>
          <w:szCs w:val="16"/>
          <w:color w:val="auto"/>
        </w:rPr>
        <w:t>This Current Report on Form 8-K includes, or incorporates by reference, certain statements that are not historical facts but are forward-looking statements for purposes of the safe harbor provisions under the United States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estimates and forecasts of revenue and other financial and performance metrics, projections of market opportunity, expectations and timing related to product development, potential benefits of the Proposed Transactions, and expectations related to the terms and timing of the Proposed Transactions. These statements are based on various assumptions and on the current expectations of Kensington’s and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Kensington and the Company. These forward looking statements are subject to a number of risks and uncertainties, including general economic, financial, legal, political and business conditions and changes in domestic and foreign markets; the outcome of judicial proceedings to which Kensington or the Company may become a party (including any legal proceedings that may be instituted against Kensington or the Company following announcement of the Proposed Transactions); the inability of the parties to successfully or timely consummate the Proposed Transactions or to satisfy the other conditions to the closing of the Proposed Transactions, including the risk that any required regulatory approvals are not obtained, are delayed or are subject to unanticipated conditions that could adversely affect the combined company; the risk that the approval of the stockholders of Kensington for the Proposed Transactions is not obtained; failure to realize the anticipated benefits of the Proposed Transactions, including as a result of a delay in consummating the Proposed Transaction or difficulty in, or costs associated with, integrating the businesses of Kensington and the Company; the amount of redemption requests made by Kensington’s stockholders; the occurrence of events that may give rise to a right of one or both of Kensington and the Company to terminate the Business Combination Agreement; risks related to the rollout of the Company’s business, the development and performance of the Company’s products, and the timing of expected business milestones; the risk that the Proposed Transactions disrupt Kensington’s or the Company’s current plans and operations as a result of the announcement of the Proposed Transactions; the ability to grow and manage growth following the Proposed Transactions; the effects of competition on the Company’s future business; and those factors discussed in the Registration Statement under the heading “Risk Factors,” and other documents of Kensington filed, or to be filed, with the SEC. If the risks materialize or assumptions prove incorrect, actual results could differ materially from the results implied by these forward-looking statements. There may be additional risks that neither Kensington nor the Company presently do not know or that Kensington and the Company currently believe are immaterial that could also cause actual results to differ from those contained in the forward-looking statements. In addition, forward-looking statements reflect Kensington’s and the Company’s expectations, plans or forecasts of future events and views as of the date of this Current Report on Form 8-K. Kensington and the Company anticipate that subsequent events and developments will cause their assessments to change. However, while Kensington and the Company may elect to update these forward-looking statements at some point in the future, Kensington and the Company specifically disclaim any obligation to do so. These forward-looking statements should not be relied upon as representing Kensington’s or the Company’s assessments as of any date subsequent to the date of this Current Report on Form 8-K.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260985</wp:posOffset>
            </wp:positionV>
            <wp:extent cx="716407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 w:name="page4"/>
    <w:bookmarkEnd w:id="3"/>
    <w:p>
      <w:pPr>
        <w:ind w:left="11160"/>
        <w:spacing w:after="0"/>
        <w:rPr>
          <w:sz w:val="20"/>
          <w:szCs w:val="20"/>
          <w:color w:val="auto"/>
        </w:rPr>
      </w:pPr>
      <w:r>
        <w:rPr>
          <w:rFonts w:ascii="Times New Roman" w:cs="Times New Roman" w:eastAsia="Times New Roman" w:hAnsi="Times New Roman"/>
          <w:sz w:val="19"/>
          <w:szCs w:val="19"/>
          <w:color w:val="auto"/>
        </w:rPr>
        <w:t>4</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10120" w:type="dxa"/>
            <w:vAlign w:val="bottom"/>
            <w:tcBorders>
              <w:bottom w:val="single" w:sz="8" w:color="auto"/>
            </w:tcBorders>
          </w:tcPr>
          <w:p>
            <w:pPr>
              <w:ind w:left="46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8"/>
                <w:szCs w:val="18"/>
                <w:color w:val="auto"/>
              </w:rPr>
            </w:pPr>
          </w:p>
        </w:tc>
      </w:tr>
      <w:tr>
        <w:trPr>
          <w:trHeight w:val="189"/>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99.1</w:t>
            </w:r>
          </w:p>
        </w:tc>
        <w:tc>
          <w:tcPr>
            <w:tcW w:w="10240" w:type="dxa"/>
            <w:vAlign w:val="bottom"/>
            <w:gridSpan w:val="2"/>
            <w:shd w:val="clear" w:color="auto" w:fill="CCEEFF"/>
          </w:tcPr>
          <w:p>
            <w:pPr>
              <w:ind w:left="120"/>
              <w:spacing w:after="0"/>
              <w:rPr>
                <w:rFonts w:ascii="Times New Roman" w:cs="Times New Roman" w:eastAsia="Times New Roman" w:hAnsi="Times New Roman"/>
                <w:sz w:val="16"/>
                <w:szCs w:val="16"/>
                <w:u w:val="single" w:color="auto"/>
                <w:color w:val="0000EE"/>
              </w:rPr>
            </w:pPr>
            <w:hyperlink w:anchor="page6">
              <w:r>
                <w:rPr>
                  <w:rFonts w:ascii="Times New Roman" w:cs="Times New Roman" w:eastAsia="Times New Roman" w:hAnsi="Times New Roman"/>
                  <w:sz w:val="16"/>
                  <w:szCs w:val="16"/>
                  <w:u w:val="single" w:color="auto"/>
                  <w:color w:val="0000EE"/>
                </w:rPr>
                <w:t>Analyst Day Presentation, dated October 2020</w:t>
              </w:r>
            </w:hyperlink>
          </w:p>
        </w:tc>
        <w:tc>
          <w:tcPr>
            <w:tcW w:w="20" w:type="dxa"/>
            <w:vAlign w:val="bottom"/>
          </w:tcPr>
          <w:p>
            <w:pPr>
              <w:spacing w:after="0"/>
              <w:rPr>
                <w:sz w:val="16"/>
                <w:szCs w:val="16"/>
                <w:color w:val="auto"/>
              </w:rPr>
            </w:pPr>
          </w:p>
        </w:tc>
      </w:tr>
      <w:tr>
        <w:trPr>
          <w:trHeight w:val="821"/>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116"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9"/>
          <w:szCs w:val="19"/>
          <w:color w:val="auto"/>
        </w:rPr>
        <w:t>5</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7" w:lineRule="exact"/>
        <w:rPr>
          <w:sz w:val="20"/>
          <w:szCs w:val="20"/>
          <w:color w:val="auto"/>
        </w:rPr>
      </w:pPr>
    </w:p>
    <w:p>
      <w:pPr>
        <w:ind w:right="580" w:firstLine="866"/>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October 15, 2020</w:t>
      </w:r>
    </w:p>
    <w:p>
      <w:pPr>
        <w:spacing w:after="0" w:line="19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6"/>
          <w:szCs w:val="16"/>
          <w:b w:val="1"/>
          <w:bCs w:val="1"/>
          <w:color w:val="auto"/>
        </w:rPr>
        <w:t>KENSINGTON CAPITAL ACQUISITION CORP.</w:t>
      </w:r>
    </w:p>
    <w:p>
      <w:pPr>
        <w:spacing w:after="0" w:line="197" w:lineRule="exact"/>
        <w:rPr>
          <w:sz w:val="20"/>
          <w:szCs w:val="20"/>
          <w:color w:val="auto"/>
        </w:rPr>
      </w:pPr>
    </w:p>
    <w:p>
      <w:pPr>
        <w:ind w:left="6680"/>
        <w:spacing w:after="0"/>
        <w:tabs>
          <w:tab w:leader="none" w:pos="7140" w:val="left"/>
        </w:tabs>
        <w:rPr>
          <w:sz w:val="20"/>
          <w:szCs w:val="20"/>
          <w:color w:val="auto"/>
        </w:rPr>
      </w:pPr>
      <w:r>
        <w:rPr>
          <w:rFonts w:ascii="Times New Roman" w:cs="Times New Roman" w:eastAsia="Times New Roman" w:hAnsi="Times New Roman"/>
          <w:sz w:val="16"/>
          <w:szCs w:val="16"/>
          <w:color w:val="auto"/>
        </w:rPr>
        <w:t>By:</w:t>
        <w:tab/>
        <w:t>/s/ Daniel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4544695</wp:posOffset>
            </wp:positionH>
            <wp:positionV relativeFrom="paragraph">
              <wp:posOffset>13970</wp:posOffset>
            </wp:positionV>
            <wp:extent cx="260096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0960" cy="15240"/>
                    </a:xfrm>
                    <a:prstGeom prst="rect">
                      <a:avLst/>
                    </a:prstGeom>
                    <a:noFill/>
                  </pic:spPr>
                </pic:pic>
              </a:graphicData>
            </a:graphic>
          </wp:anchor>
        </w:drawing>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6"/>
          <w:szCs w:val="16"/>
          <w:color w:val="auto"/>
        </w:rPr>
        <w:t>Name: Daniel Huber</w:t>
      </w:r>
    </w:p>
    <w:p>
      <w:pPr>
        <w:spacing w:after="0" w:line="2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6"/>
          <w:szCs w:val="16"/>
          <w:color w:val="auto"/>
        </w:rPr>
        <w:t>Title: Chief Financial Officer</w:t>
      </w:r>
    </w:p>
    <w:p>
      <w:pPr>
        <w:sectPr>
          <w:pgSz w:w="11900" w:h="16838" w:orient="portrait"/>
          <w:cols w:equalWidth="0" w:num="1">
            <w:col w:w="11260"/>
          </w:cols>
          <w:pgMar w:left="320" w:top="115" w:right="319" w:bottom="1440" w:gutter="0" w:footer="0" w:header="0"/>
        </w:sectPr>
      </w:pPr>
    </w:p>
    <w:bookmarkStart w:id="5" w:name="page6"/>
    <w:bookmarkEnd w:id="5"/>
    <w:p>
      <w:pPr>
        <w:ind w:left="932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142875</wp:posOffset>
            </wp:positionV>
            <wp:extent cx="7204075" cy="4375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0" w:num="1">
            <w:col w:w="10140"/>
          </w:cols>
          <w:pgMar w:left="1440" w:top="310"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382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382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171690" cy="4337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1690"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4354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43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375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82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382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59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359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216535</wp:posOffset>
            </wp:positionV>
            <wp:extent cx="7204075" cy="43751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3751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075" cy="437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292100</wp:posOffset>
            </wp:positionV>
            <wp:extent cx="7204075" cy="40519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19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2020-10-15T07:28:34Z</dcterms:created>
  <dcterms:modified xsi:type="dcterms:W3CDTF">2020-10-15T07:28:34Z</dcterms:modified>
</cp:coreProperties>
</file>