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2021</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2940"/>
        <w:spacing w:after="0"/>
        <w:tabs>
          <w:tab w:leader="none" w:pos="71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001-39345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QUANTUMSCAPE CORPORATION</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tbl>
      <w:tblPr>
        <w:tblLayout w:type="fixed"/>
        <w:tblInd w:w="166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85-0796578</w:t>
            </w:r>
          </w:p>
        </w:tc>
      </w:tr>
      <w:tr>
        <w:trPr>
          <w:trHeight w:val="148"/>
        </w:trPr>
        <w:tc>
          <w:tcPr>
            <w:tcW w:w="436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1730 Technology Drive</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95110</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80" w:type="dxa"/>
            <w:vAlign w:val="bottom"/>
          </w:tcPr>
          <w:p>
            <w:pPr>
              <w:spacing w:after="0"/>
              <w:rPr>
                <w:sz w:val="13"/>
                <w:szCs w:val="13"/>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2"/>
          </w:tcPr>
          <w:p>
            <w:pPr>
              <w:jc w:val="center"/>
              <w:ind w:right="4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QS</w:t>
            </w: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4"/>
          </w:tcPr>
          <w:p>
            <w:pPr>
              <w:jc w:val="center"/>
              <w:ind w:right="4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4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60" w:type="dxa"/>
            <w:vAlign w:val="bottom"/>
            <w:gridSpan w:val="7"/>
          </w:tcPr>
          <w:p>
            <w:pPr>
              <w:ind w:left="30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40" w:type="dxa"/>
            <w:vAlign w:val="bottom"/>
            <w:gridSpan w:val="3"/>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940" w:type="dxa"/>
            <w:vAlign w:val="bottom"/>
            <w:gridSpan w:val="4"/>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5"/>
        </w:trPr>
        <w:tc>
          <w:tcPr>
            <w:tcW w:w="8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Indicate by check mark if the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egistrant is a well-known seasoned issuer, as defined in Rule 405 of the Securities Act.</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3"/>
              </w:rPr>
              <w:t>YES</w:t>
            </w:r>
          </w:p>
        </w:tc>
        <w:tc>
          <w:tcPr>
            <w:tcW w:w="32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 xml:space="preserve">Indicate by check mark if the </w:t>
            </w:r>
            <w:r>
              <w:rPr>
                <w:rFonts w:ascii="Times New Roman" w:cs="Times New Roman" w:eastAsia="Times New Roman" w:hAnsi="Times New Roman"/>
                <w:sz w:val="18"/>
                <w:szCs w:val="18"/>
                <w:b w:val="1"/>
                <w:bCs w:val="1"/>
                <w:color w:val="auto"/>
                <w:w w:val="99"/>
              </w:rPr>
              <w:t>r</w:t>
            </w:r>
            <w:r>
              <w:rPr>
                <w:rFonts w:ascii="Times New Roman" w:cs="Times New Roman" w:eastAsia="Times New Roman" w:hAnsi="Times New Roman"/>
                <w:sz w:val="18"/>
                <w:szCs w:val="18"/>
                <w:color w:val="auto"/>
                <w:w w:val="99"/>
              </w:rPr>
              <w:t>egistrant is not required to file reports pursuant to Section 13 or 15(d) of the Act.</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17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78" w:lineRule="exact"/>
        <w:rPr>
          <w:sz w:val="24"/>
          <w:szCs w:val="24"/>
          <w:color w:val="auto"/>
        </w:rPr>
      </w:pPr>
    </w:p>
    <w:p>
      <w:pPr>
        <w:ind w:left="120"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left="120" w:right="1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26" w:right="4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78" w:lineRule="exact"/>
        <w:rPr>
          <w:sz w:val="20"/>
          <w:szCs w:val="20"/>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0"/>
          <w:szCs w:val="20"/>
          <w:color w:val="auto"/>
        </w:rPr>
      </w:pPr>
    </w:p>
    <w:p>
      <w:pPr>
        <w:ind w:right="3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7560" w:val="left"/>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As of June 30, 2021, the last day of the registrant’s most recently completed second fiscal quarter, the aggregate market value of the voting and non-voting common equity held by non-affiliates of the registrant, based on the closing price of the shares of common stock on The New York Stock Exchange, was approximately $7.2 billion. Shares of common stock held by each executive officer and director and by each person who owns 5% or more of the outstanding common stock have been excluded from the foregoing calculation in that such persons may be deemed affiliates. This determination of affiliate status is not necessarily a conclusive determination for other purposes.</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Class A Common Stock, par value $0.0001 per share outstanding was 334,793,716, and the number of shares of the registrant’s Class B Common Stock, par value $0.0001 per share outstanding was 95,267,246, as of March 1, 2022.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tabs>
          <w:tab w:leader="none" w:pos="4320" w:val="left"/>
          <w:tab w:leader="none" w:pos="7800" w:val="left"/>
        </w:tabs>
        <w:rPr>
          <w:sz w:val="20"/>
          <w:szCs w:val="20"/>
          <w:color w:val="auto"/>
        </w:rPr>
      </w:pPr>
      <w:r>
        <w:rPr>
          <w:rFonts w:ascii="Times New Roman" w:cs="Times New Roman" w:eastAsia="Times New Roman" w:hAnsi="Times New Roman"/>
          <w:sz w:val="18"/>
          <w:szCs w:val="18"/>
          <w:color w:val="auto"/>
        </w:rPr>
        <w:t>PCAOB Auditor ID: 42</w:t>
      </w:r>
      <w:r>
        <w:rPr>
          <w:sz w:val="20"/>
          <w:szCs w:val="20"/>
          <w:color w:val="auto"/>
        </w:rPr>
        <w:tab/>
      </w:r>
      <w:r>
        <w:rPr>
          <w:rFonts w:ascii="Times New Roman" w:cs="Times New Roman" w:eastAsia="Times New Roman" w:hAnsi="Times New Roman"/>
          <w:sz w:val="18"/>
          <w:szCs w:val="18"/>
          <w:color w:val="auto"/>
        </w:rPr>
        <w:t>Auditor Name: Ernst &amp; Young LLP</w:t>
      </w:r>
      <w:r>
        <w:rPr>
          <w:sz w:val="20"/>
          <w:szCs w:val="20"/>
          <w:color w:val="auto"/>
        </w:rPr>
        <w:tab/>
      </w:r>
      <w:r>
        <w:rPr>
          <w:rFonts w:ascii="Times New Roman" w:cs="Times New Roman" w:eastAsia="Times New Roman" w:hAnsi="Times New Roman"/>
          <w:sz w:val="17"/>
          <w:szCs w:val="17"/>
          <w:color w:val="auto"/>
        </w:rPr>
        <w:t>Auditor Location: Redwood City,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06" w:right="4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60" w:type="dxa"/>
            <w:vAlign w:val="bottom"/>
          </w:tcPr>
          <w:p>
            <w:pPr>
              <w:spacing w:after="0"/>
              <w:rPr>
                <w:sz w:val="15"/>
                <w:szCs w:val="15"/>
                <w:color w:val="auto"/>
              </w:rPr>
            </w:pPr>
          </w:p>
        </w:tc>
        <w:tc>
          <w:tcPr>
            <w:tcW w:w="9700" w:type="dxa"/>
            <w:vAlign w:val="bottom"/>
            <w:gridSpan w:val="8"/>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Explanatory Note</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700" w:type="dxa"/>
            <w:vAlign w:val="bottom"/>
            <w:gridSpan w:val="8"/>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9700" w:type="dxa"/>
            <w:vAlign w:val="bottom"/>
            <w:gridSpan w:val="8"/>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Corporate History and Background</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32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660" w:type="dxa"/>
            <w:vAlign w:val="bottom"/>
            <w:gridSpan w:val="9"/>
          </w:tcPr>
          <w:p>
            <w:pPr>
              <w:ind w:left="18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10.  </w:t>
            </w:r>
            <w:hyperlink w:anchor="page5">
              <w:r>
                <w:rPr>
                  <w:rFonts w:ascii="Times New Roman" w:cs="Times New Roman" w:eastAsia="Times New Roman" w:hAnsi="Times New Roman"/>
                  <w:sz w:val="18"/>
                  <w:szCs w:val="18"/>
                  <w:color w:val="0000EE"/>
                </w:rPr>
                <w:t>Directors, Executive Officers and Corporate Governance</w:t>
              </w:r>
            </w:hyperlink>
          </w:p>
        </w:tc>
        <w:tc>
          <w:tcPr>
            <w:tcW w:w="32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96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Executive Compensation</w:t>
              </w:r>
            </w:hyperlink>
          </w:p>
        </w:tc>
        <w:tc>
          <w:tcPr>
            <w:tcW w:w="2280" w:type="dxa"/>
            <w:vAlign w:val="bottom"/>
            <w:tcBorders>
              <w:top w:val="single" w:sz="8" w:color="0000EE"/>
            </w:tcBorders>
            <w:gridSpan w:val="3"/>
          </w:tcPr>
          <w:p>
            <w:pPr>
              <w:spacing w:after="0"/>
              <w:rPr>
                <w:sz w:val="17"/>
                <w:szCs w:val="17"/>
                <w:color w:val="auto"/>
              </w:rPr>
            </w:pPr>
          </w:p>
        </w:tc>
        <w:tc>
          <w:tcPr>
            <w:tcW w:w="560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0660" w:type="dxa"/>
            <w:vAlign w:val="bottom"/>
            <w:gridSpan w:val="9"/>
          </w:tcPr>
          <w:p>
            <w:pPr>
              <w:ind w:left="18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12.  </w:t>
            </w:r>
            <w:hyperlink w:anchor="page40">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900" w:type="dxa"/>
            <w:vAlign w:val="bottom"/>
            <w:tcBorders>
              <w:right w:val="single" w:sz="8" w:color="0000EE"/>
            </w:tcBorders>
            <w:gridSpan w:val="4"/>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9"/>
          </w:tcPr>
          <w:p>
            <w:pPr>
              <w:ind w:left="18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13.  </w:t>
            </w:r>
            <w:hyperlink w:anchor="page43">
              <w:r>
                <w:rPr>
                  <w:rFonts w:ascii="Times New Roman" w:cs="Times New Roman" w:eastAsia="Times New Roman" w:hAnsi="Times New Roman"/>
                  <w:sz w:val="18"/>
                  <w:szCs w:val="18"/>
                  <w:color w:val="0000EE"/>
                </w:rPr>
                <w:t>Certain Relationships and Related Transactions, and Director Independence</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900" w:type="dxa"/>
            <w:vAlign w:val="bottom"/>
            <w:tcBorders>
              <w:right w:val="single" w:sz="8" w:color="0000EE"/>
            </w:tcBorders>
            <w:gridSpan w:val="4"/>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9"/>
          </w:tcPr>
          <w:p>
            <w:pPr>
              <w:ind w:left="18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14.  </w:t>
            </w:r>
            <w:hyperlink w:anchor="page49">
              <w:r>
                <w:rPr>
                  <w:rFonts w:ascii="Times New Roman" w:cs="Times New Roman" w:eastAsia="Times New Roman" w:hAnsi="Times New Roman"/>
                  <w:sz w:val="18"/>
                  <w:szCs w:val="18"/>
                  <w:color w:val="0000EE"/>
                </w:rPr>
                <w:t>Principal Accounting Fees and Services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2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6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700" w:type="dxa"/>
            <w:vAlign w:val="bottom"/>
            <w:gridSpan w:val="8"/>
          </w:tcPr>
          <w:p>
            <w:pPr>
              <w:spacing w:after="0" w:line="194"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Exhibits, Financial Statement Schedules</w:t>
              </w:r>
            </w:hyperlink>
          </w:p>
        </w:tc>
        <w:tc>
          <w:tcPr>
            <w:tcW w:w="32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82"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On February 28, 2022, QuantumScape Corporation (“QuantumScape,” the “Company,” “we,” “us,” or “our”) filed its Annual Report on Form 10-K for the fiscal year ended December 31, 2021 (the “Original Filing”). As disclosed in the Original Filing, we are filing this Annual Report on Form 10-K/A (the “Amendment”) as Amendment No. 1 to the Original Filing for the purposes of amending Part III, Items 10, 11, 12, 13 and 14 of the Original Filing to include the information required by such Items. In addition, pursuant to the rules of the Securities and Exchange Commission (the “SEC”), we have also included as exhibits currently dated certifications required under Section 302 of The Sarbanes-Oxley Act of 2002. We are amending and refiling Part IV to reflect the inclusion of those certifications. Because no financial statements are contained within this Amendment, we are not including certifications pursuant to Section 906 of The Sarbanes-Oxley Act of 2002.</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Except as described above, no other changes have been made to the Original Filing. Except as otherwise indicated herein, we have not updated the disclosures contained in the Original Filing to reflect any events that occurred subsequent to the date of the Original Filing. Accordingly, this Amendment should be read in conjunction with the Original Filing and the Company’s other and subsequent filings with the SEC.</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Corporate History and Background</w:t>
      </w:r>
    </w:p>
    <w:p>
      <w:pPr>
        <w:spacing w:after="0" w:line="22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original QuantumScape Corporation, now named QuantumScape Battery, Inc. (“Legacy QuantumScape”) was founded in 2010 with the mission to revolutionize energy storage to enable a sustainable future.</w:t>
      </w:r>
    </w:p>
    <w:p>
      <w:pPr>
        <w:spacing w:after="0" w:line="162"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On November 25, 2020 (the “Closing Date”), Kensington Capital Acquisition Corp. (“Kensington”), a special purpose acquisition company, consummated the Business Combination Agreement (the “Business Combination Agreement”) dated September 2, 2020, by and among Kensington, Kensington Merger Sub Corp., a Delaware corporation and wholly owned subsidiary of Kensington (“Merger Sub”), and Legacy QuantumScape.</w:t>
      </w:r>
    </w:p>
    <w:p>
      <w:pPr>
        <w:spacing w:after="0" w:line="15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 business combination between Kensington and Legacy QuantumScape was effected through the merger of Merger Sub with and into Legacy QuantumScape, with Legacy QuantumScape surviving as the surviving company and as a wholly-owned subsidiary of Kensington (the “Merger” and, collectively with the other transactions described in the Business Combination Agreement, the “Business Combination”). On the Closing Date, Kensington changed its name to QuantumScape Corporation.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82" w:right="4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and directors as of March 1, 2022:</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80" w:type="dxa"/>
            <w:vAlign w:val="bottom"/>
          </w:tcPr>
          <w:p>
            <w:pPr>
              <w:spacing w:after="0"/>
              <w:rPr>
                <w:sz w:val="15"/>
                <w:szCs w:val="15"/>
                <w:color w:val="auto"/>
              </w:rPr>
            </w:pPr>
          </w:p>
        </w:tc>
        <w:tc>
          <w:tcPr>
            <w:tcW w:w="7140" w:type="dxa"/>
            <w:vAlign w:val="bottom"/>
          </w:tcPr>
          <w:p>
            <w:pPr>
              <w:ind w:left="3140"/>
              <w:spacing w:after="0"/>
              <w:rPr>
                <w:sz w:val="20"/>
                <w:szCs w:val="20"/>
                <w:color w:val="auto"/>
              </w:rPr>
            </w:pPr>
            <w:r>
              <w:rPr>
                <w:rFonts w:ascii="Times New Roman" w:cs="Times New Roman" w:eastAsia="Times New Roman" w:hAnsi="Times New Roman"/>
                <w:sz w:val="14"/>
                <w:szCs w:val="14"/>
                <w:b w:val="1"/>
                <w:bCs w:val="1"/>
                <w:color w:val="auto"/>
              </w:rPr>
              <w:t>Position(s) (1)</w:t>
            </w:r>
          </w:p>
        </w:tc>
      </w:tr>
      <w:tr>
        <w:trPr>
          <w:trHeight w:val="20"/>
        </w:trPr>
        <w:tc>
          <w:tcPr>
            <w:tcW w:w="3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40" w:type="dxa"/>
            <w:vAlign w:val="bottom"/>
            <w:tcBorders>
              <w:bottom w:val="single" w:sz="8" w:color="auto"/>
            </w:tcBorders>
          </w:tcPr>
          <w:p>
            <w:pPr>
              <w:spacing w:after="0" w:line="20" w:lineRule="exact"/>
              <w:rPr>
                <w:sz w:val="1"/>
                <w:szCs w:val="1"/>
                <w:color w:val="auto"/>
              </w:rPr>
            </w:pPr>
          </w:p>
        </w:tc>
      </w:tr>
      <w:tr>
        <w:trPr>
          <w:trHeight w:val="185"/>
        </w:trPr>
        <w:tc>
          <w:tcPr>
            <w:tcW w:w="304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140" w:type="dxa"/>
            <w:vAlign w:val="bottom"/>
          </w:tcPr>
          <w:p>
            <w:pPr>
              <w:spacing w:after="0"/>
              <w:rPr>
                <w:sz w:val="16"/>
                <w:szCs w:val="16"/>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Jagdeep Singh</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7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President, Chief Executive Officer, Co-Founder and Chairman of the Board of Directors</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Timothy Holme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7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Technology Officer and Co-Founder</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Mohit Singh</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7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Hettrich</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7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McCarthy</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7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Legal Officer and Head of Corporate Development</w:t>
            </w: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Celina Mikolajczak</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7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Manufacturing Officer</w:t>
            </w:r>
          </w:p>
        </w:tc>
      </w:tr>
      <w:tr>
        <w:trPr>
          <w:trHeight w:val="30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140" w:type="dxa"/>
            <w:vAlign w:val="bottom"/>
          </w:tcPr>
          <w:p>
            <w:pPr>
              <w:spacing w:after="0"/>
              <w:rPr>
                <w:sz w:val="24"/>
                <w:szCs w:val="24"/>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Blome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7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 Buss (2)(3)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7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Jeneanne Hanley</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7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187"/>
        </w:trPr>
        <w:tc>
          <w:tcPr>
            <w:tcW w:w="304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Susan Huppertz</w:t>
            </w:r>
          </w:p>
        </w:tc>
        <w:tc>
          <w:tcPr>
            <w:tcW w:w="320" w:type="dxa"/>
            <w:vAlign w:val="bottom"/>
            <w:gridSpan w:val="2"/>
          </w:tcPr>
          <w:p>
            <w:pPr>
              <w:jc w:val="right"/>
              <w:ind w:right="80"/>
              <w:spacing w:after="0" w:line="188" w:lineRule="exact"/>
              <w:rPr>
                <w:sz w:val="20"/>
                <w:szCs w:val="20"/>
                <w:color w:val="auto"/>
              </w:rPr>
            </w:pPr>
            <w:r>
              <w:rPr>
                <w:rFonts w:ascii="Times New Roman" w:cs="Times New Roman" w:eastAsia="Times New Roman" w:hAnsi="Times New Roman"/>
                <w:sz w:val="18"/>
                <w:szCs w:val="18"/>
                <w:color w:val="auto"/>
              </w:rPr>
              <w:t>52</w:t>
            </w:r>
          </w:p>
        </w:tc>
        <w:tc>
          <w:tcPr>
            <w:tcW w:w="722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color w:val="auto"/>
              </w:rPr>
              <w:t>Director</w:t>
            </w:r>
          </w:p>
        </w:tc>
      </w:tr>
      <w:tr>
        <w:trPr>
          <w:trHeight w:val="245"/>
        </w:trPr>
        <w:tc>
          <w:tcPr>
            <w:tcW w:w="304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Prof. Dr. J</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rgen Leohold (3)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7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Gena Lovett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7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Mirro (2)(4)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7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 Dr. Fritz Prinz</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7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 and Co-Founder</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Dipender Saluja (2)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7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 Straubel</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7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Jens Wiese (4)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7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5" w:lineRule="exact"/>
        <w:rPr>
          <w:sz w:val="20"/>
          <w:szCs w:val="20"/>
          <w:color w:val="auto"/>
        </w:rPr>
      </w:pPr>
    </w:p>
    <w:p>
      <w:pPr>
        <w:ind w:left="540" w:right="460" w:hanging="424"/>
        <w:spacing w:after="0" w:line="261"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officer holds office until such person’s successor is elected and qualified or until such person’s earlier death, resignation or removal.</w:t>
      </w:r>
    </w:p>
    <w:p>
      <w:pPr>
        <w:ind w:left="540" w:hanging="424"/>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nominating and corporate governance committee.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Letter Agreements on Board and Committee Representation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September 2, 2020, we entered into a letter agreement (the “Original Letter Agreement”) with Legacy QuantumScape, and Volkswagen Group of America Investments, LLC (“VGA”) pursuant to which we would nominate one designee of VGA for election to our board of directors, and from and after the First Closing (as defined under the Series F Preferred Stock Purchase Agreement between Legacy QuantumScape and VGA, dated May 14, 2020), a second designee of VGA. On December 7, 2020, the parties amended and restated the Original Letter Agreement to provide (subject to VGA satisfying certain specified stock ownership thresholds) that (i) in connection with any annual or special meeting of stockholders at which directors will be elected, we will nominate for election to our board of directors two designees of VGA (each, a “VW Director”), and (ii) we shall cause one VW Director to be appointed to the nominating and corporate governance committee of our board of directors, provided that such VW Director fulfills the independence requirements under applicable NYSE rules (as amended, the “VW Director Agreement”). Messrs. Blome and Wiese are the two current VW Directors pursuant to the VW Director Agreement.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Jagdeep Singh </w:t>
      </w:r>
      <w:r>
        <w:rPr>
          <w:rFonts w:ascii="Times New Roman" w:cs="Times New Roman" w:eastAsia="Times New Roman" w:hAnsi="Times New Roman"/>
          <w:sz w:val="18"/>
          <w:szCs w:val="18"/>
          <w:color w:val="auto"/>
        </w:rPr>
        <w:t>has served as our President, Chief Executive Officer and the Chairman of our board of directors since November 2020. Mr. Singh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co-founded Legacy QuantumScape and has served as its President and Chief Executive Officer and on Legacy QuantumScape’s board of directors since its incorporation in May 2010. Prior to joining Legacy QuantumScape, he was the founder and Chief Executive Officer at Infinera Corporation (NASDAQ: INFN), a telecommunications company, from 2001 to 2009. Mr. Singh served on the boards of Khosla Ventures Acquisition Co. (NASDAQ: KVSA) (“KVSA”), a blank check company, from February 2021 to February 2022, and of Slam Corp. (NASDAQ: SLAM), a blank check company, from March 2021 to February 2022. Mr. Singh served as the Chair of the Corporate Governance and Nominating Committee and a member of the Audit Committee of KVSA, and as Chair of the Compensation Committee and member of the Audit Committee of Slam Corp. Mr. Singh holds a B.S. in Computer Science from the University of Maryland College Park, an M.B.A. from the University of California, Berkeley, Haas School of Business, and a M.S. in Computer Science from Stanford University.</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82" w:right="4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We believe Mr. Singh is qualified to serve on our board of directors because of the perspective and experience he brings as Legacy QuantumScape’s President and Chief Executive Officer, leadership experience in the energy storage industry, educational background and strong scientific knowledge.</w:t>
      </w:r>
    </w:p>
    <w:p>
      <w:pPr>
        <w:spacing w:after="0" w:line="172"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Dr. Timothy Holme </w:t>
      </w:r>
      <w:r>
        <w:rPr>
          <w:rFonts w:ascii="Times New Roman" w:cs="Times New Roman" w:eastAsia="Times New Roman" w:hAnsi="Times New Roman"/>
          <w:sz w:val="18"/>
          <w:szCs w:val="18"/>
          <w:color w:val="auto"/>
        </w:rPr>
        <w:t>has served as our Chief Technology Officer since November 2020. Dr. Holme co-founded Legacy QuantumScape and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Legacy QuantumScape’s Chief Technology Officer from January 2011 to November 2020. Prior to joining Legacy QuantumScape, he was a Research Associate at Stanford University from June 2008 to January 2011. Dr. Holme holds a B.S. in Physics, a M.S. in Mechanical Engineering, and a Ph.D. in Mechanical Engineering from Stanford University.</w:t>
      </w:r>
    </w:p>
    <w:p>
      <w:pPr>
        <w:spacing w:after="0" w:line="176"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Dr. Mohit Singh </w:t>
      </w:r>
      <w:r>
        <w:rPr>
          <w:rFonts w:ascii="Times New Roman" w:cs="Times New Roman" w:eastAsia="Times New Roman" w:hAnsi="Times New Roman"/>
          <w:sz w:val="18"/>
          <w:szCs w:val="18"/>
          <w:color w:val="auto"/>
        </w:rPr>
        <w:t>has served as our Chief Development Officer since November 2020. Dr. Singh served as Legacy QuantumScape’s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Officer from June 2015 to November 2020. Prior to this, Dr. Singh served as Legacy QuantumScape’s Vice President, Development from April 2014 to June 2015. From 2004 to 2007, Dr. Singh conducted post doctorate research in Chemical Engineering at the Lawrence Berkeley National Laboratory for the University of California, Berkeley. Dr. Singh holds a B. Tech in Chemical Engineering from the Indian Institute of Technology Bombay and a Ph.D. in Chemical and Biomolecular Engineering from Tulane University. Dr. Mohit Singh is not related to Jagdeep Singh.</w:t>
      </w:r>
    </w:p>
    <w:p>
      <w:pPr>
        <w:spacing w:after="0" w:line="17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Kevin Hettrich </w:t>
      </w:r>
      <w:r>
        <w:rPr>
          <w:rFonts w:ascii="Times New Roman" w:cs="Times New Roman" w:eastAsia="Times New Roman" w:hAnsi="Times New Roman"/>
          <w:sz w:val="18"/>
          <w:szCs w:val="18"/>
          <w:color w:val="auto"/>
        </w:rPr>
        <w:t>has served as our Chief Financial Officer since November 2020. Mr. Hettrich served as Legacy QuantumScape’s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and head of Business Operations from September 2018 to November 2020, and currently serves on the board of directors of Legacy QuantumScape. Prior to this, Mr. Hettrich served as Legacy QuantumScape’s Vice President of Business Operations from March 2016 to March 2018, as Senior Director of Finance and Product Management from March 2014 to March 2016, as a Director of Product Management from March 2013 to March 2014, and as a Manager of Product Management from January 2012 to March 2013. Prior to joining Legacy QuantumScape, Mr. Hettrich was a Private Equity Associate of Bain Capital, an investment firm, from September 2007 to July 2009. Mr. Hettrich also was a Business Analyst at McKinsey &amp; Company, a management consulting firm, from September 2004 to July 2007. Mr. Hettrich holds a B.A. in Economics from Pomona College, a M.B.A. from Stanford Graduate School of Business, and a M.S. in Environment and Resources from Stanford University.</w:t>
      </w:r>
    </w:p>
    <w:p>
      <w:pPr>
        <w:spacing w:after="0" w:line="18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Michael McCarthy </w:t>
      </w:r>
      <w:r>
        <w:rPr>
          <w:rFonts w:ascii="Times New Roman" w:cs="Times New Roman" w:eastAsia="Times New Roman" w:hAnsi="Times New Roman"/>
          <w:sz w:val="18"/>
          <w:szCs w:val="18"/>
          <w:color w:val="auto"/>
        </w:rPr>
        <w:t>has served as our Chief Legal Officer and Head of Corporate Development since November 2020. Mr. McCarthy has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Legacy QuantumScape’s Chief Legal Officer since March 2013 and Head of Corporate Development since January 2018 and also currently serves on the board of directors of Legacy QuantumScape and board of managers of QSV Operations LLC. Prior to joining Legacy QuantumScape, he served several roles at Infinera Corporation from April 2003 to March 2013, including as Chief Legal Officer, General Counsel and Chief Administrative Officer. From September 1997 to April 2003, Mr. McCarthy served as Senior Vice President and General Counsel of Ciena Corporation, a network strategy and technology company. Mr. McCarthy currently serves as a member of the boards of several privately-held companies. Mr. McCarthy holds a B.A. in Mathematical Economics from Colgate University and a J.D. from Vanderbilt University Law School.</w:t>
      </w:r>
    </w:p>
    <w:p>
      <w:pPr>
        <w:spacing w:after="0" w:line="183"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Celina Mikolajczak </w:t>
      </w:r>
      <w:r>
        <w:rPr>
          <w:rFonts w:ascii="Times New Roman" w:cs="Times New Roman" w:eastAsia="Times New Roman" w:hAnsi="Times New Roman"/>
          <w:sz w:val="18"/>
          <w:szCs w:val="18"/>
          <w:color w:val="auto"/>
        </w:rPr>
        <w:t>has served as our Chief Manufacturing Officer since November 2021. She previously served as our Vice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Engineering from July 2021 to November 2021, and also served on our board of directors from April 2021 to May 2021. From August 2020 to April 2021, she served as Vice President of Engineering and Battery Technology at Panasonic Energy of North America (“PENA”), a battery manufacturer, and as Vice President of Battery Technology from October 2019 to August 2020. Prior to her service at PENA, she served as Director of Engineering, Energy Storage Systems at Uber Technologies, Inc., a transportation technology company, from January 2018 to August 2019, as Senior Manager, Cell Quality and Materials Engineering at Tesla from April 2014 to January 2018, and as Manager, Cell Quality at Tesla from April 2012 to April 2014. Ms. Mikolajczak holds an M.A. in Mechanical and Aerospace Engineering from Princeton University, and a B.S. in Engineering and Applied Science from the California Institute of Technology.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17" w:lineRule="exact"/>
        <w:rPr>
          <w:sz w:val="20"/>
          <w:szCs w:val="20"/>
          <w:color w:val="auto"/>
        </w:rPr>
      </w:pPr>
    </w:p>
    <w:p>
      <w:pPr>
        <w:ind w:left="120" w:right="34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Frank Blome </w:t>
      </w:r>
      <w:r>
        <w:rPr>
          <w:rFonts w:ascii="Times New Roman" w:cs="Times New Roman" w:eastAsia="Times New Roman" w:hAnsi="Times New Roman"/>
          <w:sz w:val="17"/>
          <w:szCs w:val="17"/>
          <w:color w:val="auto"/>
        </w:rPr>
        <w:t>has served on our board of directors since November 2020, and on Legacy QuantumScape’s board of directors from September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2020 until January 2021. Mr. Blome has also served on the board of QSV Operations LLC since September 2020. Mr. Blome has 25 years of professional experience in the automotive industry, with a particular focus on alternative powertrain technologies and battery cell technology. Since January 2018, Mr. Blome has served as the Head of the Battery Center of Excellence of Volkswagen AG. Prior to this, Mr. Blome served from May 2016 to June 2016 as Chief Executive Officer at Mercedes-Benz Energy GmbH, a subsidiary of the Daimler Group active in the EV battery storage space. From July 2013 to June 2017, Mr. Blome served as Chief Executive Officer of LiTec Battery GmbH, a battery cell manufacturing company started as a joint venture between Daimler Group and Evonik Industries AG, a specialty chemicals company. In addition to these roles, Mr. Blome served from June 2009 to June 2017 as the Chief Executive Officer of Deutsche Accumotive GmbH &amp; Co KG, a subsidiary of Daimler Group, producing batteries for hybrid and electric vehicles, after which Mr. Blome undertook a sabbatical until January 2018 when he started in his current position at Volkswagen AG. Mr. Blome holds a diploma in electrical engineering from the University of Applied Sciences Bielefeld.</w:t>
      </w:r>
    </w:p>
    <w:p>
      <w:pPr>
        <w:spacing w:after="0" w:line="17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believe Mr. Blome is qualified to serve on our board of directors due to his vast experience in the automotive and alternative powertrain industries.</w:t>
      </w:r>
    </w:p>
    <w:p>
      <w:pPr>
        <w:spacing w:after="0" w:line="158" w:lineRule="exact"/>
        <w:rPr>
          <w:sz w:val="20"/>
          <w:szCs w:val="20"/>
          <w:color w:val="auto"/>
        </w:rPr>
      </w:pPr>
    </w:p>
    <w:p>
      <w:pPr>
        <w:jc w:val="both"/>
        <w:ind w:left="120" w:right="4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Brad Buss </w:t>
      </w:r>
      <w:r>
        <w:rPr>
          <w:rFonts w:ascii="Times New Roman" w:cs="Times New Roman" w:eastAsia="Times New Roman" w:hAnsi="Times New Roman"/>
          <w:sz w:val="17"/>
          <w:szCs w:val="17"/>
          <w:color w:val="auto"/>
        </w:rPr>
        <w:t>has served on our board of directors since November 2020, and on Legacy QuantumScape’s board of directors from August 2020 until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January 2021. From August 2014 until his retirement in February 2016, Mr. Buss served as the Executive Vice President and Chief Financial Officer of SolarCity Corporation, a solar energy company acquired by Tesla, Inc. (NASDAQ: TSLA), a high-performance electric vehicle company (“Tesla”).</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Mr. Buss also served as the Executive, Vice President and Chief Financial Officer of Cypress Semiconductor Corporation (NASDAQ: CY), a semiconductor design and manufacturing company, from August 2005 to June 2014. Mr. Buss has served on the boards of Marvell Technology Group Ltd. (NASDAQ: MRVL) (“Marvell”), a semiconductor company, since July 2018, AECOM (NYSE: ACM), an engineering firm, since August 2020, and TuSimple Holdings Inc., an autonomous driving technology company (NASDAQ: TSP) (“TSP”), since December 2020. Mr. Buss serves as Chair of the Nominating and Governance Committee and as a member of the Audit Committee of Marvell, as Chair of the Nominating and Governance Committee and as a member of the Compensation and Organization Committee of AECOM, as Chair of the Audit Committee of TSP and as a member of the Nominating and Corporate Governance Committee of TSP. Mr. Buss previously served on the boards of Tesla from November 2009 to June 2019, Cavium, Inc., a semiconductor company, from July 2016 until its acquisition by Marvell in July 2018, CafePress Inc., an e-commerce company, from October 2007 to July 2016, and Advance Auto Parts, Inc. (NYSE: AAP), an automotive parts and accessories provider, from March 2016 until May 2021. He served on the Audit Committee, Compensation Committee, Nominating and Corporate Governance Committee, and Disclosure Committee of Tesla, the Audit Committee and Compensation Committee of Cavium, Inc., the Audit Committee and Compensation Committee of CafePress Inc., and as Chair of the Audit Committee of Advance. Mr. Buss holds a B.A. in Economics from McMaster University and a Honors Business Administration degree from University of Windsor.</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believe Mr. Buss is qualified to serve on our board of directors because of his vast leadership expertise and experience on the boards of major automotive companies.</w:t>
      </w:r>
    </w:p>
    <w:p>
      <w:pPr>
        <w:spacing w:after="0" w:line="158"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Jeneanne Hanley </w:t>
      </w:r>
      <w:r>
        <w:rPr>
          <w:rFonts w:ascii="Times New Roman" w:cs="Times New Roman" w:eastAsia="Times New Roman" w:hAnsi="Times New Roman"/>
          <w:sz w:val="18"/>
          <w:szCs w:val="18"/>
          <w:color w:val="auto"/>
        </w:rPr>
        <w:t>has served on our board of directors since December 2021. Ms. Hanley has held various positions at Lear Corporation,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designer and manufacturer of automotive seating systems and electrical distribution systems and related components, from 1994 until January 2019, most recently serving as Senior Vice President and President of the E-Systems Division. Other positions at Lear Corporation she has held include Corporate Vice President, Global Surface Materials, Corporate Vice President, Americas Seating Business Unit and Vice President, Global Strategy and Business Development. Ms. Hanley earned her bachelor’s degree in mechanical engineering in 1994 and her master’s degree in business administration in 2000 from the University of Michigan.</w:t>
      </w:r>
    </w:p>
    <w:p>
      <w:pPr>
        <w:spacing w:after="0" w:line="18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believe Ms. Hanley is qualified to serve on our board of directors due to her past service as an operational executive of significant business units and divisions serving the global automotive industry.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4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Susan Huppertz </w:t>
      </w:r>
      <w:r>
        <w:rPr>
          <w:rFonts w:ascii="Times New Roman" w:cs="Times New Roman" w:eastAsia="Times New Roman" w:hAnsi="Times New Roman"/>
          <w:sz w:val="18"/>
          <w:szCs w:val="18"/>
          <w:color w:val="auto"/>
        </w:rPr>
        <w:t>has served on our board of directors since February 2022. Ms. Huppertz has been serving as Chief Supply Chain Officer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Johnson Controls (NYSE: JCI), a designer and manufacturer of building automation and control technologies, since March 2022. Prior to that,</w:t>
      </w:r>
    </w:p>
    <w:p>
      <w:pPr>
        <w:spacing w:after="0" w:line="1" w:lineRule="exact"/>
        <w:rPr>
          <w:sz w:val="20"/>
          <w:szCs w:val="20"/>
          <w:color w:val="auto"/>
        </w:rPr>
      </w:pPr>
    </w:p>
    <w:p>
      <w:pPr>
        <w:ind w:left="120" w:right="40"/>
        <w:spacing w:after="0" w:line="219" w:lineRule="exact"/>
        <w:rPr>
          <w:sz w:val="20"/>
          <w:szCs w:val="20"/>
          <w:color w:val="auto"/>
        </w:rPr>
      </w:pPr>
      <w:r>
        <w:rPr>
          <w:rFonts w:ascii="Times New Roman" w:cs="Times New Roman" w:eastAsia="Times New Roman" w:hAnsi="Times New Roman"/>
          <w:sz w:val="18"/>
          <w:szCs w:val="18"/>
          <w:color w:val="auto"/>
        </w:rPr>
        <w:t>Ms. Huppertz served as Chief Manufacturing and Supply Chain Officer at Hubbell Incorporated (NYSE: HUBB), an electronic products designer and manufacturer, from January 2018 to March 2022. She also served as Vice President, Global Operations at TE Connectivity Ltd (NYSE: TEL), a connectivity and sensor solutions provider, from May 2014 until November 2017, and in a variety of roles over 20 years at Siemens AG, an industrial manufacturing conglomerate, including as Senior Vice President Global Manufacturing and Supply Chain Manager of its Water Technologies Business Unit from August 2011 to January 2014, and as Vice President Regional Manufacturing Manager for Europe, Latin America and Middle East for its OSRAM Professional Lighting Business Unit from January 2008 to August 2011. Ms. Huppertz holds a B.A. in Computer Science and Economics from Cornell University and dual M.B.A. degrees from the Kellogg Graduate School of Management at Northwestern University and Wissenschaftliche Hochschule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 Unternehmensf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hrung.</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believe Ms. Huppertz is qualified to serve on our board of directors due to her past leadership experience and her expertise in manufacturing and supply chains.</w:t>
      </w:r>
    </w:p>
    <w:p>
      <w:pPr>
        <w:spacing w:after="0" w:line="133" w:lineRule="exact"/>
        <w:rPr>
          <w:sz w:val="20"/>
          <w:szCs w:val="20"/>
          <w:color w:val="auto"/>
        </w:rPr>
      </w:pPr>
    </w:p>
    <w:p>
      <w:pPr>
        <w:ind w:left="120" w:right="200" w:firstLine="440"/>
        <w:spacing w:after="0" w:line="224" w:lineRule="exact"/>
        <w:rPr>
          <w:sz w:val="20"/>
          <w:szCs w:val="20"/>
          <w:color w:val="auto"/>
        </w:rPr>
      </w:pPr>
      <w:r>
        <w:rPr>
          <w:rFonts w:ascii="Times New Roman" w:cs="Times New Roman" w:eastAsia="Times New Roman" w:hAnsi="Times New Roman"/>
          <w:sz w:val="18"/>
          <w:szCs w:val="18"/>
          <w:b w:val="1"/>
          <w:bCs w:val="1"/>
          <w:color w:val="auto"/>
        </w:rPr>
        <w:t>Prof. Dr. J</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rgen Leohold </w:t>
      </w:r>
      <w:r>
        <w:rPr>
          <w:rFonts w:ascii="Times New Roman" w:cs="Times New Roman" w:eastAsia="Times New Roman" w:hAnsi="Times New Roman"/>
          <w:sz w:val="18"/>
          <w:szCs w:val="18"/>
          <w:color w:val="auto"/>
        </w:rPr>
        <w:t>has served on our board of directors since November 2020, and on Legacy QuantumScape’s board of directors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2015 until January 2021. From October 2012 to December 2017, Prof. Dr. Leohold served as the Head of the Volkswagen AutoUni, an advanced training and research institution for Volkswagen AG, a German automobile manufacturer. He continued to serve as a consultant for Volkswagen AG’s research and development group from January 2018 until retiring in May 2019. He also served as the Executive Director of Group Research at Volkswagen AG from April 2006 to July 2016. Prof. Dr. Leohold holds a degree in Electrical Engineering from the University of Hannover, a M.S. in Electrical Engineering from the Georgia Institute of Technology and a doctoral degree from the University of Hannover.</w:t>
      </w:r>
    </w:p>
    <w:p>
      <w:pPr>
        <w:spacing w:after="0" w:line="20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believe Prof. Dr. Leohold is qualified to serve on our board of directors because of his leadership experience and his expertise in the energy technology and automotive fields.</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Gena Lovett </w:t>
      </w:r>
      <w:r>
        <w:rPr>
          <w:rFonts w:ascii="Times New Roman" w:cs="Times New Roman" w:eastAsia="Times New Roman" w:hAnsi="Times New Roman"/>
          <w:sz w:val="18"/>
          <w:szCs w:val="18"/>
          <w:color w:val="auto"/>
        </w:rPr>
        <w:t>has served on our board of directors since January 2022. Ms. Lovett has most recently served as Vice President,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Defense, Space and Security, of The Boeing Company (NYSE:BA), an aerospace manufacturer, from July 2015 until June 2019. She also served as Global Chief Diversity Officer from January 2012 until June 2015, and as Director, Manufacturing, Forging, from July 2007 until January 2012, of Alcoa Corporation (NYSE: AA), an aluminum manufacturer. Prior to that, Ms. Lovett served in a number of engineering and managing roles over 15 years at Ford Motor Company (NYSE: F), an automotive manufacturer, including as Plant Manager for New Model Programs from 2006 to 2007, and as an Assistant Plant Manager for the Atlanta Assembly from 2005 to 2006. In addition, Ms. Lovett has served as a member of the board of directors of AdvanSix Inc. (NYSE: ASIX), a fully integrated manufacturer of nylon 6 resin, chemical intermediates, and ammonium sulfate fertilizer, since September 2021, and as a member of the board of directors of Trex Company, Inc. (NYSE: TREX), a manufacturer of wood-alternative composite decking and railing materials, since March 2021. She further serves on the Nominating and Governance Committee, and Health, Safety, Environmental and Sustainability Committee of ASIX, and on the Audit Committee and the Nominating/Corporate Governance Committee of TREX. Ms. Lovett also served on the board of directors of Shiloh Industries (NASDAQ: SHLO) from August 2019 to December 2020. Ms. Lovett holds a B.A. in Criminal Justice from The Ohio State University, an M.B.A. from Baker College, and an M.S. in Values Driven Leadership from Benedictine University. Additionally, she recently defended her doctoral dissertation and expects to be conferred a Ph.D. in Values Driven Leadership from Benedictine University in May 2022.</w:t>
      </w:r>
    </w:p>
    <w:p>
      <w:pPr>
        <w:spacing w:after="0" w:line="18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believe Ms. Lovett is qualified to serve on our board of directors because of her operational leadership experience and extensive operational and manufacturing experience in automotive, heavy forging, and aerospace.</w:t>
      </w:r>
    </w:p>
    <w:p>
      <w:pPr>
        <w:spacing w:after="0" w:line="158"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Justin Mirro </w:t>
      </w:r>
      <w:r>
        <w:rPr>
          <w:rFonts w:ascii="Times New Roman" w:cs="Times New Roman" w:eastAsia="Times New Roman" w:hAnsi="Times New Roman"/>
          <w:sz w:val="18"/>
          <w:szCs w:val="18"/>
          <w:color w:val="auto"/>
        </w:rPr>
        <w:t>has served on our board of directors since April 2020, and as Kensington’s Chairman and Chief Executive Officer from April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November 2020. Mr. Mirro has over 25 years of operating, mergers and acquisitions and financing experience in the automotive and automotive-related sector. He began his career at General Motors Company as a Tool and Die Manufacturing Engineer, with successive positions at Car and Driver Magazine, Toyota Motor Corporation and Itochu International Inc. prior to transitioning to automotive investment banking at Schroder &amp; Co. Inc./Salomon Smith Barney, Inc./ABN Amro Inc. in 1996. In 1999, Mr. Mirro formed Kensington Capital Partners, LLC, where he has served as President since 2015, to invest in automotive and automotive-related sector businesses. In 2005, Mr. Mirro transitioned to Jefferies &amp; Company, Inc. as Head of Automotive Investment Banking, and later served as the Head of Automotive Investment Banking at Moelis &amp; Company, LLC and RBC Capital Markets, LLC from 2008 to 2011 and 2011 to 2014, respectively. In his role, Mr.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82" w:right="4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Mirro played a key role in leading and executing all aspects of capital raising, mergers and acquisitions and restructurings, and has advised on over 70 transactions totaling more than $60 billion of value for original equipment manufacturers (“OEMs”), suppliers and automotive-related industries. From 2016 to 2019, Mr. Mirro served as Chairman of the Board of Directors and Audit Committee of Pure Power Technologies, Inc., one of the largest aftermarket suppliers of diesel fuel injectors, which was sold to Stanadyne LLC. In his role, Mr. Mirro focused on deal sourcing, structuring, capital raising, executive recruitment and the eventual sale process. Mr. Mirro has served on the board of Cooper-Standard Holdings Inc. (NYSE: CPS) since 2015 and served on the board of Transtar Industries, Inc., from 2017 to 2021, in each case, where he focuses or focused, respectively, on mergers and acquisitions, capital structuring and public market strategy. Mr. Mirro is also the Chairman and Chief Executive of Kensington Capital Acquisition Corp. IV (NYSE: KCAC.U) and Kensington Capital Acquisition Corp. V (NYSE: KCGI.U) and previously served in the same roles for Kensington Capital Acquisition Corp. II (“KCAC II”) from January 2021 until October 2021 when KCAC II completed its business combination with affiliated entities of Wallbox N.V., an electric vehicle charging and energy management provider (NYSE: WBX). Mr. Mirro holds a B.S. in Mechanical Engineering from the University of Michigan and an M.B.A. from the New York University Stern School of Business.</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believe Mr. Mirro is qualified to serve on our board of directors due to his experience serving as Kensington’s Chairman and Chief Executive Officer, as well as his extensive skills in strategy, finance and management.</w:t>
      </w:r>
    </w:p>
    <w:p>
      <w:pPr>
        <w:spacing w:after="0" w:line="158" w:lineRule="exact"/>
        <w:rPr>
          <w:sz w:val="20"/>
          <w:szCs w:val="20"/>
          <w:color w:val="auto"/>
        </w:rPr>
      </w:pPr>
    </w:p>
    <w:p>
      <w:pPr>
        <w:ind w:left="120"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Prof. Dr. Fritz Prinz </w:t>
      </w:r>
      <w:r>
        <w:rPr>
          <w:rFonts w:ascii="Times New Roman" w:cs="Times New Roman" w:eastAsia="Times New Roman" w:hAnsi="Times New Roman"/>
          <w:sz w:val="18"/>
          <w:szCs w:val="18"/>
          <w:color w:val="auto"/>
        </w:rPr>
        <w:t>co-founded Legacy QuantumScape and has served on our board of directors since November 2020, and on Legacy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QuantumScape’s board of directors from December 2010 until January 2021. Prof. Dr. Prinz also provides consulting and advisory services to the Company apart from his board service. He has served as Professor of Materials Science and Engineering, Professor of Mechanical Engineering, and Senior Fellow at the Precourt Institute for Energy since September 2010. He has also served as the Leonardo Professor at the School of Engineering at Stanford University since September 1994. Prof. Dr. Prinz holds a Ph.D. in Physics and Mathematics from the University of Vienna, Austria.</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believe Prof. Dr. Prinz is qualified to serve on our board of directors because of his in-depth educational expertise and his broad insight and research into energy conservation.</w:t>
      </w:r>
    </w:p>
    <w:p>
      <w:pPr>
        <w:spacing w:after="0" w:line="158"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Dipender Saluja </w:t>
      </w:r>
      <w:r>
        <w:rPr>
          <w:rFonts w:ascii="Times New Roman" w:cs="Times New Roman" w:eastAsia="Times New Roman" w:hAnsi="Times New Roman"/>
          <w:sz w:val="18"/>
          <w:szCs w:val="18"/>
          <w:color w:val="auto"/>
        </w:rPr>
        <w:t>has served on our board of directors since November 2020, and on Legacy QuantumScape’s board of directors from August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2012 until January 2021. Mr. Saluja has served as Managing Director of Capricorn Investment Group, an investment firm, since 2006. Prior to Capricorn Investment Group, he served in various positions from 1990 to 2006 at Cadence Design Systems, an electronic design company. Mr. Saluja has served on the board of Joby Aviation, Inc. (NYSE: JOBY) and as a member of its Nominating and Corporate Governance Committee since August 2021, and on the board of Navitas Semiconductor, Inc. (NASDAQ: NVTS) and as a member of its Nominating and Corporate Governance Committee since October 2021. Mr. Saluja also currently serves on the boards of several private companies.</w:t>
      </w:r>
    </w:p>
    <w:p>
      <w:pPr>
        <w:spacing w:after="0" w:line="18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believe Mr. Saluja is qualified to serve on our board of directors because of his extensive investment experience in the technology industry and extensive expertise and skills in strategy, finance and management.</w:t>
      </w:r>
    </w:p>
    <w:p>
      <w:pPr>
        <w:spacing w:after="0" w:line="15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JB Straubel </w:t>
      </w:r>
      <w:r>
        <w:rPr>
          <w:rFonts w:ascii="Times New Roman" w:cs="Times New Roman" w:eastAsia="Times New Roman" w:hAnsi="Times New Roman"/>
          <w:sz w:val="18"/>
          <w:szCs w:val="18"/>
          <w:color w:val="auto"/>
        </w:rPr>
        <w:t>has served on our board of directors since November 2020, and on Legacy QuantumScape’s board of directors from December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January 2021. Mr. Straubel is the Founder and Chief Executive Officer of Redwood Materials Inc., a Nevada-based company working to drive down the costs and environmental footprint of lithium-ion batteries by offering large-scale sources of domestic anode and cathode materials produced from recycled batteries. Prior to joining Legacy QuantumScape, Mr. Straubel also co-founded and served as the Chief Technology Officer of Tesla from May 2005 to July 2019. Mr. Straubel previously served on the board of SolarCity Corporation and as a member of its Nominating and Corporate Governance Committee from August 2006 until its acquisition by Tesla in November 2016. Mr. Straubel holds a B.S. in Energy Systems Engineering and a M.S. in Engineering, with an emphasis on energy conversion, from Stanford University.</w:t>
      </w:r>
    </w:p>
    <w:p>
      <w:pPr>
        <w:spacing w:after="0" w:line="187"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believe Mr. Straubel is qualified to serve on our board of directors because of his technical and manufacturing expertise along with his leadership experience in energy technology companies.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Jens Wiese </w:t>
      </w:r>
      <w:r>
        <w:rPr>
          <w:rFonts w:ascii="Times New Roman" w:cs="Times New Roman" w:eastAsia="Times New Roman" w:hAnsi="Times New Roman"/>
          <w:sz w:val="17"/>
          <w:szCs w:val="17"/>
          <w:color w:val="auto"/>
        </w:rPr>
        <w:t>has served on our board of directors since January 2021. Mr. Wiese has also served as Chairman of the board of QSV Operations LLC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since its inception in September 2018. Mr. Wiese has 23 years of professional experience in the automotive industry, including more than 15 years as a top management consultant, advising clients from the automotive industry in strategic and financial turnaround matters. Mr. Wiese has served in multiple roles at Volkswagen AG, most recently as Head of Volkswagen Group M&amp;A, Investment Advisory, and Partnerships since January 2020, Head of Industrial Cooperations and Partnerships from June 2018 to December 2019, Head of Group Battery Strategy from June 2016 to December 2019, and Corporate Strategy/Head of Performance Improvement from March 2016 to May 2018. Prior to his service at Volkswagen AG, Mr. Wiese served as Senior Director and Member of the German Management Team at Alix Partners GmbH, a consulting firm, from March 2007 to February 2016. Prior to that, Mr. Wiese served as a Principal and Member of the Automotive Leadership team at Roland Berger Strategy Consultants GmbH, a consulting firm, from April 1999 to March 2007. Mr. Wiese holds a Master’s degree in Business Administration from the Ludwig Maximilian University of Munich.</w:t>
      </w:r>
    </w:p>
    <w:p>
      <w:pPr>
        <w:spacing w:after="0" w:line="17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believe Mr. Wiese is qualified to serve on our board of directors because of his broad investment advisory and strategic experience, along with his long-term experience in the automotive industry.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Matrix</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of directors identifies, reviews and makes recommendations of candidates to serve on our board of directors, and considers director qualifications that include, without limitation, diversity factors such as race, ethnicity, gender, differences in professional background, education, age and geography, as well as other individual qualities and attributes that contribute to the total mix of viewpoints and experience represented on our board.</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following matrix highlights key skills, experiences and attributes possessed by our directors which our board of directors believes are important to our business and industry. If a director is not listed under a particular skill, experience or attribute, that does not mean that such director does not possess it or is unable to contribute to the decision-making process in that area.</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Singh</w:t>
            </w: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Blome</w:t>
            </w: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Buss</w:t>
            </w: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Hanley</w:t>
            </w:r>
          </w:p>
        </w:tc>
        <w:tc>
          <w:tcPr>
            <w:tcW w:w="8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Huppertz</w:t>
            </w: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Leohold</w:t>
            </w: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Lovett</w:t>
            </w:r>
          </w:p>
        </w:tc>
        <w:tc>
          <w:tcPr>
            <w:tcW w:w="6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Mirro</w:t>
            </w: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Prinz</w:t>
            </w: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Saluja</w:t>
            </w: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Straubel</w:t>
            </w: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Wiese</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Knowledge, Skills and Experience</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198"/>
        </w:trPr>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Public company board experience and</w:t>
            </w: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34"/>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governance</w:t>
            </w:r>
          </w:p>
        </w:tc>
        <w:tc>
          <w:tcPr>
            <w:tcW w:w="86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66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7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1"/>
              </w:rPr>
              <w:t>●</w:t>
            </w:r>
          </w:p>
        </w:tc>
        <w:tc>
          <w:tcPr>
            <w:tcW w:w="540" w:type="dxa"/>
            <w:vAlign w:val="bottom"/>
          </w:tcPr>
          <w:p>
            <w:pPr>
              <w:spacing w:after="0"/>
              <w:rPr>
                <w:sz w:val="20"/>
                <w:szCs w:val="20"/>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experience</w:t>
            </w:r>
          </w:p>
        </w:tc>
        <w:tc>
          <w:tcPr>
            <w:tcW w:w="86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66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1"/>
              </w:rPr>
              <w:t>●</w:t>
            </w:r>
          </w:p>
        </w:tc>
        <w:tc>
          <w:tcPr>
            <w:tcW w:w="72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7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1"/>
              </w:rPr>
              <w:t>●</w:t>
            </w:r>
          </w:p>
        </w:tc>
        <w:tc>
          <w:tcPr>
            <w:tcW w:w="5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Battery and energy technology</w:t>
            </w:r>
          </w:p>
        </w:tc>
        <w:tc>
          <w:tcPr>
            <w:tcW w:w="86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7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1"/>
              </w:rPr>
              <w:t>●</w:t>
            </w:r>
          </w:p>
        </w:tc>
        <w:tc>
          <w:tcPr>
            <w:tcW w:w="54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industry</w:t>
            </w:r>
          </w:p>
        </w:tc>
        <w:tc>
          <w:tcPr>
            <w:tcW w:w="86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66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1"/>
              </w:rPr>
              <w:t>●</w:t>
            </w:r>
          </w:p>
        </w:tc>
        <w:tc>
          <w:tcPr>
            <w:tcW w:w="5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Technology development</w:t>
            </w:r>
          </w:p>
        </w:tc>
        <w:tc>
          <w:tcPr>
            <w:tcW w:w="86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66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7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7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1"/>
              </w:rPr>
              <w:t>●</w:t>
            </w:r>
          </w:p>
        </w:tc>
        <w:tc>
          <w:tcPr>
            <w:tcW w:w="54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scale-up, operations</w:t>
            </w:r>
          </w:p>
        </w:tc>
        <w:tc>
          <w:tcPr>
            <w:tcW w:w="86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66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1"/>
              </w:rPr>
              <w:t>●</w:t>
            </w:r>
          </w:p>
        </w:tc>
        <w:tc>
          <w:tcPr>
            <w:tcW w:w="72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7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1"/>
              </w:rPr>
              <w:t>●</w:t>
            </w:r>
          </w:p>
        </w:tc>
        <w:tc>
          <w:tcPr>
            <w:tcW w:w="54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Financial</w:t>
            </w:r>
          </w:p>
        </w:tc>
        <w:tc>
          <w:tcPr>
            <w:tcW w:w="86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66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1"/>
              </w:rPr>
              <w:t>●</w:t>
            </w:r>
          </w:p>
        </w:tc>
        <w:tc>
          <w:tcPr>
            <w:tcW w:w="720" w:type="dxa"/>
            <w:vAlign w:val="bottom"/>
          </w:tcPr>
          <w:p>
            <w:pPr>
              <w:spacing w:after="0"/>
              <w:rPr>
                <w:sz w:val="18"/>
                <w:szCs w:val="18"/>
                <w:color w:val="auto"/>
              </w:rPr>
            </w:pPr>
          </w:p>
        </w:tc>
        <w:tc>
          <w:tcPr>
            <w:tcW w:w="6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7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1"/>
              </w:rPr>
              <w:t>●</w:t>
            </w:r>
          </w:p>
        </w:tc>
        <w:tc>
          <w:tcPr>
            <w:tcW w:w="5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management</w:t>
            </w:r>
          </w:p>
        </w:tc>
        <w:tc>
          <w:tcPr>
            <w:tcW w:w="86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66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1"/>
              </w:rPr>
              <w:t>●</w:t>
            </w:r>
          </w:p>
        </w:tc>
        <w:tc>
          <w:tcPr>
            <w:tcW w:w="72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7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1"/>
              </w:rPr>
              <w:t>●</w:t>
            </w:r>
          </w:p>
        </w:tc>
        <w:tc>
          <w:tcPr>
            <w:tcW w:w="5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HR, compensation</w:t>
            </w:r>
          </w:p>
        </w:tc>
        <w:tc>
          <w:tcPr>
            <w:tcW w:w="86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66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7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7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1"/>
              </w:rPr>
              <w:t>●</w:t>
            </w:r>
          </w:p>
        </w:tc>
        <w:tc>
          <w:tcPr>
            <w:tcW w:w="540" w:type="dxa"/>
            <w:vAlign w:val="bottom"/>
          </w:tcPr>
          <w:p>
            <w:pPr>
              <w:spacing w:after="0"/>
              <w:rPr>
                <w:sz w:val="20"/>
                <w:szCs w:val="20"/>
                <w:color w:val="auto"/>
              </w:rPr>
            </w:pPr>
          </w:p>
        </w:tc>
      </w:tr>
      <w:tr>
        <w:trPr>
          <w:trHeight w:val="198"/>
        </w:trPr>
        <w:tc>
          <w:tcPr>
            <w:tcW w:w="3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Demographics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Race/Ethnicity</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Asian/Pacific Islander</w:t>
            </w:r>
          </w:p>
        </w:tc>
        <w:tc>
          <w:tcPr>
            <w:tcW w:w="86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Black/African American</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Caucasian</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66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1"/>
              </w:rPr>
              <w:t>●</w:t>
            </w:r>
          </w:p>
        </w:tc>
        <w:tc>
          <w:tcPr>
            <w:tcW w:w="72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1"/>
              </w:rPr>
              <w:t>●</w:t>
            </w:r>
          </w:p>
        </w:tc>
        <w:tc>
          <w:tcPr>
            <w:tcW w:w="5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Hispanic/Latino</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Native American</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Gender</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Male</w:t>
            </w:r>
          </w:p>
        </w:tc>
        <w:tc>
          <w:tcPr>
            <w:tcW w:w="86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7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1"/>
              </w:rPr>
              <w:t>●</w:t>
            </w:r>
          </w:p>
        </w:tc>
        <w:tc>
          <w:tcPr>
            <w:tcW w:w="5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Female</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1"/>
              </w:rPr>
              <w:t>●</w:t>
            </w:r>
          </w:p>
        </w:tc>
        <w:tc>
          <w:tcPr>
            <w:tcW w:w="720" w:type="dxa"/>
            <w:vAlign w:val="bottom"/>
          </w:tcPr>
          <w:p>
            <w:pPr>
              <w:spacing w:after="0"/>
              <w:rPr>
                <w:sz w:val="18"/>
                <w:szCs w:val="18"/>
                <w:color w:val="auto"/>
              </w:rPr>
            </w:pPr>
          </w:p>
        </w:tc>
        <w:tc>
          <w:tcPr>
            <w:tcW w:w="6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Company Board Tenure</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34"/>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Years*</w:t>
            </w:r>
          </w:p>
        </w:tc>
        <w:tc>
          <w:tcPr>
            <w:tcW w:w="86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99"/>
              </w:rPr>
              <w:t>12</w:t>
            </w:r>
          </w:p>
        </w:tc>
        <w:tc>
          <w:tcPr>
            <w:tcW w:w="6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88"/>
              </w:rPr>
              <w:t>2</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&lt;1</w:t>
            </w:r>
          </w:p>
        </w:tc>
        <w:tc>
          <w:tcPr>
            <w:tcW w:w="8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3"/>
              </w:rPr>
              <w:t>&lt;1</w:t>
            </w:r>
          </w:p>
        </w:tc>
        <w:tc>
          <w:tcPr>
            <w:tcW w:w="7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88"/>
              </w:rPr>
              <w:t>7</w:t>
            </w:r>
          </w:p>
        </w:tc>
        <w:tc>
          <w:tcPr>
            <w:tcW w:w="6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&lt;1</w:t>
            </w:r>
          </w:p>
        </w:tc>
        <w:tc>
          <w:tcPr>
            <w:tcW w:w="6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88"/>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6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88"/>
              </w:rPr>
              <w:t>2</w:t>
            </w:r>
          </w:p>
        </w:tc>
        <w:tc>
          <w:tcPr>
            <w:tcW w:w="5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88"/>
              </w:rPr>
              <w:t>1</w:t>
            </w:r>
          </w:p>
        </w:tc>
      </w:tr>
    </w:tbl>
    <w:p>
      <w:pPr>
        <w:spacing w:after="0" w:line="206" w:lineRule="exact"/>
        <w:rPr>
          <w:sz w:val="20"/>
          <w:szCs w:val="20"/>
          <w:color w:val="auto"/>
        </w:rPr>
      </w:pPr>
    </w:p>
    <w:p>
      <w:pPr>
        <w:ind w:left="540" w:hanging="424"/>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board service on both QuantumScape Corporation and Legacy QuantumScape, rounded to the nearest whole year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business and affairs are organized under the direction of our board of directors, which currently consists of twelve (12) directors, ten (10) of whom are independent under the listing standards of the NYSE. Jagdeep Singh serves as Chairman of our board of directors. The primary responsibilities of our board of directors are to provide oversight, strategic guidance, counseling and direction to our management. Our board of directors meets on a regular basis and additionally as required. At each annual meeting of stockholders, each director will be elected for a term expiring at our next annual meeting of stockholders and until their successors are duly elected and qualified.</w:t>
      </w:r>
    </w:p>
    <w:p>
      <w:pPr>
        <w:spacing w:after="0" w:line="183"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the terms of our amended and restated bylaws (“Bylaws”), each director, including a director elected to fill a vacancy, shall hold office until the expiration of the term for which elected and until such director’s successor is elected and qualified or until such director’s earlier death, resignation or removal.</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Any director may be removed from office by our stockholders as provided in Section 141(k) of the Delaware General Corporation Law (the “DGCL”).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Board of Directors in Risk Oversight</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Risk is inherent with every business, and we face a number of risks, including strategic, financial, business and operational, legal and compliance and reputational risks. We have designed and implemented processes to manage risk in our operations. Management is responsible for the day-to-day management of risks the company faces, while one of the key functions of our board of directors is informed oversight of our risk management process.</w:t>
      </w:r>
    </w:p>
    <w:p>
      <w:pPr>
        <w:sectPr>
          <w:pgSz w:w="11900" w:h="16838" w:orient="portrait"/>
          <w:cols w:equalWidth="0" w:num="1">
            <w:col w:w="11140"/>
          </w:cols>
          <w:pgMar w:left="320" w:top="482" w:right="439" w:bottom="0" w:gutter="0" w:footer="0" w:header="0"/>
        </w:sectPr>
      </w:pPr>
    </w:p>
    <w:bookmarkStart w:id="10" w:name="page11"/>
    <w:bookmarkEnd w:id="10"/>
    <w:p>
      <w:pPr>
        <w:spacing w:after="0" w:line="261" w:lineRule="auto"/>
        <w:rPr>
          <w:sz w:val="20"/>
          <w:szCs w:val="20"/>
          <w:color w:val="auto"/>
        </w:rPr>
      </w:pPr>
      <w:r>
        <w:rPr>
          <w:rFonts w:ascii="Times New Roman" w:cs="Times New Roman" w:eastAsia="Times New Roman" w:hAnsi="Times New Roman"/>
          <w:sz w:val="18"/>
          <w:szCs w:val="18"/>
          <w:color w:val="auto"/>
        </w:rPr>
        <w:t>Our board of directors does not currently have or anticipate having a standing risk management committee, but instead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121" w:right="4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our management will take to monitor and control such exposures, including guidelines and policies to govern the process by which risk assessment and management is undertaken. Our audit committee also monitors compliance with legal and regulatory requirements. Our compensation committee assesses and monitors whether our compensation plans, policies and programs comply with applicable legal and regulatory requirements. Our nominating and corporate governance committee assesses risks relating to our corporate governance practices, the independence of the board and potential conflicts of interest.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of directors believes its current leadership structure supports the risk oversight function of our board of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During our fiscal year ended December 31, 2021, our board of directors held eight meetings (including regularly scheduled and special meetings),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spacing w:after="0" w:line="180"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encourage, but do not require, our directors to attend our annual meeting of stockholders. All of our directors attended our 2021 annual meeting of stockholders.</w:t>
      </w:r>
    </w:p>
    <w:p>
      <w:pPr>
        <w:spacing w:after="0" w:line="162"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otherwise determined by our board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Our board of directors has established the following standing committees of the board: audit committee; compensation committee; and nominating and corporate governance committee. Copies of the charters for each committee are available on our website at </w:t>
      </w:r>
      <w:r>
        <w:rPr>
          <w:rFonts w:ascii="Times New Roman" w:cs="Times New Roman" w:eastAsia="Times New Roman" w:hAnsi="Times New Roman"/>
          <w:sz w:val="18"/>
          <w:szCs w:val="18"/>
          <w:i w:val="1"/>
          <w:iCs w:val="1"/>
          <w:color w:val="auto"/>
        </w:rPr>
        <w:t>https://ir.quantumscape.com/governance/governance-documents</w:t>
      </w:r>
      <w:r>
        <w:rPr>
          <w:rFonts w:ascii="Times New Roman" w:cs="Times New Roman" w:eastAsia="Times New Roman" w:hAnsi="Times New Roman"/>
          <w:sz w:val="18"/>
          <w:szCs w:val="18"/>
          <w:color w:val="auto"/>
        </w:rPr>
        <w:t>. The composition and responsibilities of each committee are described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current members of our audit committee are Messrs. Buss, Mirro and Saluja. Mr. Buss is the chairperson of our audit committee. Our board of directors has determined that each member of our audit committee meets the requirements for independence of audit committee members under the rules and regulations of the SEC and the listing standards of the NYSE, and are able to read and understand fundamental financial statements in accordance with the NYSE audit committee requirements. In arriving at this determination, our board of directors examined each audit committee member’s scope of experience and the nature of their prior and/or current employment. Our board of directors has determined that each of Messrs. Buss and Mirro qualifies as an audit committee financial expert within the meaning of Item 407(d) of Regulation S-K and meets the financial sophistication requirements of the NYSE rules. In making this determination, our board of directors considered each of Messrs. Buss’ and Mirro’s formal education and previous experience in financial roles. Both our independent registered public accounting firm and management will periodically meet privately with our audit committee. Our audit committee is responsible for, among other things:</w:t>
      </w:r>
    </w:p>
    <w:p>
      <w:pPr>
        <w:spacing w:after="0" w:line="94"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compensating, and overseeing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and qualifications of our independent registered public accounting firm and determining whether to retain our existing independent registered public accounting firm or engage a new independent registered public accounting firm;</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our independent auditors to perform audit services and any permissible non-audit and tax services;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698" w:right="4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6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and approving the annual audit plan, including the scope of audit activities and all critical accounting policies and practices to be used by us;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and quarterly financial statements and reports, including the disclosures in “Management’s Discussion and Analysis of Financial Condition and Results of Operations” and discussing the statements and reports with our independent auditors and management, and discussing with management and our independent registered public accounting firm the results of the annual audit and the quarterly reviews;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reporting processes, and disclosure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design, implementation and performance of our internal audit function;</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 party transactions in accordance with our related party transaction policy and reviewing, monitoring compliance with legal and regulatory responsibilities, including our code of business conduct and ethics (the “Code of Conduct”); and</w:t>
      </w:r>
    </w:p>
    <w:p>
      <w:pPr>
        <w:spacing w:after="0" w:line="81"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financial controls, accounting, auditing or other matters, including confidential, anonymous submissions by our employees of concerns regarding questionable accounting or auditing matters.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Our audit committee operates under a written charter that satisfies the applicable listing standards of the NYSE. A copy of the charter of our audit committee is available on our website at </w:t>
      </w:r>
      <w:r>
        <w:rPr>
          <w:rFonts w:ascii="Times New Roman" w:cs="Times New Roman" w:eastAsia="Times New Roman" w:hAnsi="Times New Roman"/>
          <w:sz w:val="18"/>
          <w:szCs w:val="18"/>
          <w:i w:val="1"/>
          <w:iCs w:val="1"/>
          <w:color w:val="auto"/>
        </w:rPr>
        <w:t>https://ir.quantumscape.com/governance/governance-documents</w:t>
      </w:r>
      <w:r>
        <w:rPr>
          <w:rFonts w:ascii="Times New Roman" w:cs="Times New Roman" w:eastAsia="Times New Roman" w:hAnsi="Times New Roman"/>
          <w:sz w:val="18"/>
          <w:szCs w:val="18"/>
          <w:color w:val="auto"/>
        </w:rPr>
        <w:t>. During 2021 our audit committee held 13 meetings.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current members of our compensation committee are Messrs. Leohold and Buss. Mr. Leohold is the chairperson of our compensation committee. Our board of directors has determined that each member of our compensation committee meets the requirements for independence for compensation committee members under the rules and regulations of the SEC and the listing standards of the NYSE. Each member of the compensation committee is also an outside director, as defined pursuant to Rule 16b-3 promulgated under the Securities and Exchange Act of 1934 (as amended, the “Exchange Act”). Our compensation committee is responsible for, among other things:</w:t>
      </w:r>
    </w:p>
    <w:p>
      <w:pPr>
        <w:spacing w:after="0" w:line="89" w:lineRule="exact"/>
        <w:rPr>
          <w:sz w:val="20"/>
          <w:szCs w:val="20"/>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the determination of the compensation of our executive officers, including our chief executive officer;</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our executive officers and assessing their performance against these goals and objectives;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of directors regarding the compensation and other terms of employment of our executive officers, including our chief executive officer;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arrangements and any other material arrangements for our executive officers;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to the extent such authority is delegated by our board of directors; reviewing, approving and administering our employee benefit and equity incentive plans;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the compensation plans and programs of our employees, and ensuring that they are consistent with our general compensation strategy;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82"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the adoption or amendment of equity and cash incentive plans and approving amendments to such plans to the extent authorized by our board of directors;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of directors or committee establishes stock ownership guidelines for the executive officers and non-employee members of the board of directors, monitoring compliance with any such stock ownership guidelines;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making recommendations to our board of directors regarding the creation or revision of any clawback policy;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regarding the type and amount of compensation to be paid or awarded to our outside board members;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our disclosures under the caption “Compensation Discussion and Analysis” in our periodic reports or proxy statements to be filed with the SEC, to the extent such caption is included in any such report or proxy statement;</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our annual proxy statement, to the extent such report is required;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committee and recommending such changes as deemed necessary with our board of directors.</w:t>
      </w:r>
    </w:p>
    <w:p>
      <w:pPr>
        <w:spacing w:after="0" w:line="162" w:lineRule="exact"/>
        <w:rPr>
          <w:sz w:val="20"/>
          <w:szCs w:val="20"/>
          <w:color w:val="auto"/>
        </w:rPr>
      </w:pPr>
    </w:p>
    <w:p>
      <w:pPr>
        <w:jc w:val="both"/>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charter of the compensation committee permits the committee to delegate any or all of its authority when it deems it appropriate and in the best interests of our company and when such delegation would not violate applicable law, regulation or NYSE or SEC requirements. In addition, the compensation committee has the authority under its charter to retain or obtain the advice of compensation consultants, independent legal counsel and other advisors.</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Since the Business Combination, our compensation committee has been responsible for making all executive compensation determinations. Jagdeep Singh works closely with the compensation committee in managing the executive compensation program and attends most meetings of the compensation committee other than those meetings in which our Extraordinary Performance Award Program (the “EPA Program”) was discussed and deliberated on. He does not participate in the determination of his own compensation.</w:t>
      </w:r>
    </w:p>
    <w:p>
      <w:pPr>
        <w:spacing w:after="0" w:line="18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In 2021, our compensation committee retained Compensia, Inc. (“Compensia”) as our independent compensation consultant to advise the compensation committee with respect to director compensation.</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Our compensation committee operates under a written charter that satisfies the applicable listing standards of the NYSE. A copy of the charter of our compensation committee is available on our website at </w:t>
      </w:r>
      <w:r>
        <w:rPr>
          <w:rFonts w:ascii="Times New Roman" w:cs="Times New Roman" w:eastAsia="Times New Roman" w:hAnsi="Times New Roman"/>
          <w:sz w:val="18"/>
          <w:szCs w:val="18"/>
          <w:i w:val="1"/>
          <w:iCs w:val="1"/>
          <w:color w:val="auto"/>
        </w:rPr>
        <w:t>https://ir.quantumscape.com/governance/governance-documents</w:t>
      </w:r>
      <w:r>
        <w:rPr>
          <w:rFonts w:ascii="Times New Roman" w:cs="Times New Roman" w:eastAsia="Times New Roman" w:hAnsi="Times New Roman"/>
          <w:sz w:val="18"/>
          <w:szCs w:val="18"/>
          <w:color w:val="auto"/>
        </w:rPr>
        <w:t>. During 2021 our compensation committee held 23 meetings.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current members of our nominating and corporate governance committee are Messrs. Mirro and Wiese. We do not currently have a chairperson of our nominating and corporate governance committee following the retirement of John Doerr from our board of directors in February 2022. The nominating and corporate governance committee may designate a chairperson by a majority vote of the committee members, provided that our board of directors may replace any chairperson designated by the committee at any time. Our board of directors has determined that each member of our nominating and corporate governance committee meets the requirements for independence for nominating and corporate governance committee members under the listing standards of the NYSE. Our nominating and corporate governance committee is responsible for, among other things: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82" w:right="4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9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and making recommendations to our board of directors regarding desired qualifications, expertise and characteristics sought of board members;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our board of directors’ leadership structure, including the separation of the chairman and chief executive officer roles and/or appointment of a lead independent director of our board, either permanently or for specific purposes, and making such recommendations to our board of directors;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reviewing periodically policies and procedures for considering stockholder nominees for election to our board of directors and evaluating nominations by stockholders of candidates for election to our board of directors;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“independence” of directors and director nominees against the independence requirements of the NYSE, applicable rules and regulations of the SEC and other applicable laws;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succession planning process for our chief executive officer and any other members of our executive management team;</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current size, composition and organization of our board of directors and its committees and making recommendations to our board of directors for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any changes to the corporate governance guidelines and corporate governance framework;</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issues and developments related to corporate governance and identifying and bringing to the attention of our board of directors current and emerging corporate governance trends;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director orientation for new directors and continuing education for our directors;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its committees and individual directors and determining whether continued service on our board of directors is appropriate;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compliance with our Code of Conduct, and reviewing possible, actual and potential conflicts of interest of our board members and officers other than related party transactions reviewed by our audit committee;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policies and procedures for communications with the non-management members of our board of directors;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of directors or committee establishes stock ownership guidelines for the executive officers and non-employee members of the board of directors, monitoring compliance with any such stock ownership guidelines; and</w:t>
      </w:r>
    </w:p>
    <w:p>
      <w:pPr>
        <w:spacing w:after="0" w:line="67" w:lineRule="exact"/>
        <w:rPr>
          <w:rFonts w:ascii="Times New Roman" w:cs="Times New Roman" w:eastAsia="Times New Roman" w:hAnsi="Times New Roman"/>
          <w:sz w:val="18"/>
          <w:szCs w:val="18"/>
          <w:color w:val="auto"/>
        </w:rPr>
      </w:pPr>
    </w:p>
    <w:p>
      <w:pPr>
        <w:ind w:left="1080" w:right="820" w:hanging="424"/>
        <w:spacing w:after="0" w:line="312" w:lineRule="auto"/>
        <w:tabs>
          <w:tab w:leader="none" w:pos="10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annually the nominating and corporate governance committee charter, structure and membership requirements and recommending any proposed changes to our board of directors, including undertaking an annual review of its own performance.</w:t>
      </w:r>
    </w:p>
    <w:p>
      <w:pPr>
        <w:spacing w:after="0" w:line="14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composition and function of our nominating and corporate governance committee complies with all applicable requirements of The Sarbanes-Oxley Act of 2002 and all applicable SEC and the NYSE rules and regulations. We will comply with future requirements to the extent they become applicable. Our nominating and corporate governance committee operates under a written charter that satisfies the applicable listing standards of the NYSE. A copy of the charter of our nominating and corporate governance committee is available on our website at </w:t>
      </w:r>
      <w:r>
        <w:rPr>
          <w:rFonts w:ascii="Times New Roman" w:cs="Times New Roman" w:eastAsia="Times New Roman" w:hAnsi="Times New Roman"/>
          <w:sz w:val="18"/>
          <w:szCs w:val="18"/>
          <w:i w:val="1"/>
          <w:iCs w:val="1"/>
          <w:color w:val="auto"/>
        </w:rPr>
        <w:t>https://ir.quantumscape.com/governance/governance-documents</w:t>
      </w:r>
      <w:r>
        <w:rPr>
          <w:rFonts w:ascii="Times New Roman" w:cs="Times New Roman" w:eastAsia="Times New Roman" w:hAnsi="Times New Roman"/>
          <w:sz w:val="18"/>
          <w:szCs w:val="18"/>
          <w:color w:val="auto"/>
        </w:rPr>
        <w:t>. During 2021, our nominating and corporate governance committee held six meetings.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Sessions of Outside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To encourage and enhance communication among outside directors, and as required under applicable NYSE rules, our corporate governance guidelines provide that the outside directors will meet in executive sessions without management directors or management present on a periodic basis. In addition, if any of our outside directors are not independent directors, then our independent directors will also meet in executive sessions on a periodic basis. These executive sessions are chaired by Mr. Mirro, our lead independent director.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uses a variety of methods for identifying and evaluating potential director nominees. In its evaluation of director candidates, including the current directors eligible for re-election, our nominating and corporate governance committee will consider the current size and composition of our board of directors and the needs of our board of directors and the respective committees of our board of directors and other director qualifications. While our board has not established minimum qualifications for board members, some of the factors that our nominating and corporate governance committee considers in assessing director nominee qualifications include, without limitation, issues of character, professional ethics and integrity, judgment, business acumen and experience, proven achievement and competence in one’s field, the ability to exercise sound business judgment, tenure on the board and skills that are complementary to the board, an understanding of our business, an understanding of the responsibilities that are required of a member of the board, other time commitments and diversity, and with respect to diversity, such factors as race, ethnicity, gender, differences in professional background, education,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nominating and corporate governance committee considers a broad range of perspectives, backgrounds and experiences.</w:t>
      </w:r>
    </w:p>
    <w:p>
      <w:pPr>
        <w:spacing w:after="0" w:line="190"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addition to the process described above, our nominating and corporate governance committee also nominates two individuals designated by VGA as required under the VW Director Agreement. Messrs. Blome and Wiese are the two current VW Directors pursuant to the VW Director Agreement. If our nominating and corporate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 In determining whether to recommend a director for reelection, our nominating and corporate governance committee also considers the director’s past attendance at meetings, participation in and contributions to the activities of the board and our business and other qualifications and characteristics set forth in the charter of our nominating and corporate governance committee.</w:t>
      </w:r>
    </w:p>
    <w:p>
      <w:pPr>
        <w:spacing w:after="0" w:line="17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After completing its review and evaluation of director candidates, our nominating and corporate governance committee recommends to our full board of directors the director nominees for selection. Our nominating and corporate governance committee has discretion to decide which individuals to recommend for nomination as directors and our board of directors has the final authority in determining the selection of director candidates for nomination to our board.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Recommendations and Nominations to our Board of Directors</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(“Certificate of Incorporation”) and Bylaws, all applicable company policies and all applicable laws, rules and regulations, including those promulgated by the SEC. Our nominating and corporate governance committee will evaluate such recommendations in accordance with its charter, our Bylaws and the director nominee criteria described above.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 stockholder that wants to recommend a candidate to our board of directors should direct the recommendation in writing by letter to our corporate secretary at QuantumScape Corporation, 1730 Technology Drive, San Jose, California, 95110,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corporate governance committee has discretion to decide which individuals to recommend for nomination as directors.</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our Bylaws, stockholders may also directly nominate persons for election to our board of directors at the annual meeting of stockholders. Any nomination must comply with the requirements set forth in (i) our Bylaws, as amended from time to time, (ii) our applicable SEC filings, including our proxy statements, (iii) and the rules and regulations of the SEC. All nominations should be sent in writing to our corporate secretary at the address above.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Code of Business Conduct and Ethics for Employees, Executive Officers, and Directors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has adopted corporate governance guidelines. Our corporate governance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our Code of Conduct, applicable to all of our employees, executive officers and directors. The full text of our corporate governance guidelines and Code of Conduct are available on our website at </w:t>
      </w:r>
      <w:r>
        <w:rPr>
          <w:rFonts w:ascii="Times New Roman" w:cs="Times New Roman" w:eastAsia="Times New Roman" w:hAnsi="Times New Roman"/>
          <w:sz w:val="18"/>
          <w:szCs w:val="18"/>
          <w:i w:val="1"/>
          <w:iCs w:val="1"/>
          <w:color w:val="auto"/>
        </w:rPr>
        <w:t>https://ir.quantumscape.com/governance/governance-documents</w:t>
      </w:r>
      <w:r>
        <w:rPr>
          <w:rFonts w:ascii="Times New Roman" w:cs="Times New Roman" w:eastAsia="Times New Roman" w:hAnsi="Times New Roman"/>
          <w:sz w:val="18"/>
          <w:szCs w:val="18"/>
          <w:color w:val="auto"/>
        </w:rPr>
        <w:t>. The nominating and corporate governance committee of our board of directors is responsible for overseeing the Code of Conduct and must approve any waivers of the Code of Conduct for employees, executive officers and directors. Any amendments to the Code of Conduct, or any waivers of its requirements, will be disclosed on our website.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Section 16 of the Exchange Act, our directors, executive officers and any persons holding more than 10% of our common stock are required to report initial ownership of our common stock and any subsequent changes in ownership to the SEC. Specific due dates have been established by the SEC, and we are required to disclose any failure to file required ownership reports by these dates. Based solely upon a review of forms filed with the SEC and the written representations of such persons, we are aware of no late Section 16(a) filings other than Form 4 filings for one transaction by each of Messrs. Doerr, Lukens, Saluja, Jagdeep Singh and Mohit Singh, and two transactions by each of Messrs. Hettrich and McCarthy, due to administrative error.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82" w:right="4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provides an overview of our executive compensation philosophy, the material principles governing our executive compensation policies and decisions, and the material elements of compensation awarded to, earned by or paid to our named executive officers. In addition, we explain how and why the compensation committee determined the specific compensation elements that comprised the 2021 executive compensation program.</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named executive officers for 2021 were:</w:t>
      </w:r>
    </w:p>
    <w:p>
      <w:pPr>
        <w:spacing w:after="0" w:line="131" w:lineRule="exact"/>
        <w:rPr>
          <w:sz w:val="20"/>
          <w:szCs w:val="20"/>
          <w:color w:val="auto"/>
        </w:rPr>
      </w:pPr>
    </w:p>
    <w:p>
      <w:pPr>
        <w:ind w:left="1540" w:hanging="331"/>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Jagdeep Singh, our Chief Executive Officer (our “CEO”);</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Hettrich, our Chief Financial Officer;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Tim Holme, our Chief Technology Officer;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Celina Mikolajczak, our Chief Manufacturing Officer;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Mohit Singh, our Chief Development Officer.</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Compensation Discussion and Analysis provides perspective and narrative analysis relating to, and should be read along with, the executive compensation tables that follow.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2021 Executive Compensation Highlights</w:t>
      </w:r>
    </w:p>
    <w:p>
      <w:pPr>
        <w:spacing w:after="0" w:line="121" w:lineRule="exact"/>
        <w:rPr>
          <w:sz w:val="20"/>
          <w:szCs w:val="20"/>
          <w:color w:val="auto"/>
        </w:rPr>
      </w:pPr>
    </w:p>
    <w:p>
      <w:pPr>
        <w:ind w:left="120" w:right="100" w:firstLine="440"/>
        <w:spacing w:after="0" w:line="238" w:lineRule="auto"/>
        <w:rPr>
          <w:sz w:val="20"/>
          <w:szCs w:val="20"/>
          <w:color w:val="auto"/>
        </w:rPr>
      </w:pPr>
      <w:r>
        <w:rPr>
          <w:rFonts w:ascii="Times New Roman" w:cs="Times New Roman" w:eastAsia="Times New Roman" w:hAnsi="Times New Roman"/>
          <w:sz w:val="18"/>
          <w:szCs w:val="18"/>
          <w:color w:val="auto"/>
        </w:rPr>
        <w:t>For 2021, the compensation of our named executive officers was consistent with our compensation philosophy and objectives described below. Our named executive officers were eligible for base salary, annual cash incentive compensation, and equity incentives. In 2021, we increased the base salary and annual cash incentive compensation of our named executive officers in order to align target cash compensation with our compensation committee’s intention that cash compensation transition gradually over a two-year period to fall generally near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 of our compensation peer group. In 2020, our compensation committee elected to forego equity refresh grants for our named executive officers in light of the grants awarded in 2020 and awards being considered under the EPA Program that were eventually made in December 2021, as described below.</w:t>
      </w:r>
    </w:p>
    <w:p>
      <w:pPr>
        <w:spacing w:after="0" w:line="20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2021, we implemented the Extraordinary Performance Award Program (the “EPA Program”), a performance-based equity incentive program for our key employees and executives, including our named executive officers. We sought stockholder approval on our EPA Program at our 2021 stockholder meeting on December 15, 2021, which was subject to approval by a majority of the voting power of the shares present or represented by proxy at the meeting by holders of shares of our common stock that were not beneficially owned, directly or indirectly, by members of our management, including our named executive officers, eligible to receive awards under the EPA Program. Such approval was obtained, with approximately 96% of the votes cast by such disinterested shares voting in favor of the EPA Program. The EPA Program will provide exceptional rewards to participants if we create extraordinary value for our stockholders and achieve ambitious long-term financial and operational objectives leading to large scale deployment of the Company’s battery technology. Among other goals consistent with our compensation philosophy and objectives, the EPA Program is intended to encourage Mr. Singh’s continued leadership of the Company and our other key service providers’ continued contributions to the Company over the long-term by providing them with valuable equity incentives upon achievement of significant stockholder value growth and long-term significant operational and performance milestones. We believe that it is critical to keep each of Mr. Singh and our other selected key service providers incentivized to continue their efforts and, in the case of Mr. Singh, to lead the Company during this critical point in its history, and to ensure that Mr. Singh remains motivated to achieve his visionary goal of our technology enabling and accelerating mass market adoption of electric vehicles.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Objectives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overall objective of our executive compensation program is to tie executive compensation to the performance of our Company, and to motivate our executives, including our named executive officers, to make a long-term commitment to our success. Our executive compensation program is designed with a mix of short-term and long-term components, cash and equity elements and fixed and contingent payments in proportions that we believe provide appropriate incentives to retain and motivate our named executive officers, and other senior executives and management team and help to achieve success in our business.</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Our executive compensation program seeks to achieve this objective by ensuring that we can:</w:t>
      </w:r>
    </w:p>
    <w:p>
      <w:pPr>
        <w:spacing w:after="0" w:line="67" w:lineRule="exact"/>
        <w:rPr>
          <w:sz w:val="20"/>
          <w:szCs w:val="20"/>
          <w:color w:val="auto"/>
        </w:rPr>
      </w:pPr>
    </w:p>
    <w:p>
      <w:pPr>
        <w:ind w:left="1540" w:hanging="331"/>
        <w:spacing w:after="0"/>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talented executives, who possess proven experience, knowledge, skills, and leadership criteria;</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executives by giving them a stake in our growth and prosperity and encouraging their continued service;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stockholders and named executive officers without creating an incentive for inappropriate risk-taking.</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Based on this philosophy, we have designed our executive compensation program to encourage the achievement of strong overall financial results, particularly ambitious long-term financial and operational objectives.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Advisory Vote on Executive Compensation</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have not been required to hold a non-binding stockholder advisory vote on the compensation of our named executive officers to date, but our board of directors and compensation committee will consider the results of such votes in the future.</w:t>
      </w:r>
    </w:p>
    <w:p>
      <w:pPr>
        <w:spacing w:after="0" w:line="16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Our compensation committee considered stockholder feedback on our EPA Program, which was approved by our stockholders in 2021, as described above under “—2021 Executive Compensation Highlights”.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Policies and Practices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endeavor to maintain compensation policies and practices that are consistent with sound governance standards. We believe it is important to provide competitive compensation packages and a high-quality work environment in order to hire, retain and motivate key personnel. Our compensation committee evaluates our executive compensation program on an ongoing basis to ensure that it is consistent with our short-term and long-term goals given the nature of the market in which we compete for key personnel. The following policies and practices were in effect during 2021:</w:t>
      </w:r>
    </w:p>
    <w:p>
      <w:pPr>
        <w:spacing w:after="0" w:line="83" w:lineRule="exact"/>
        <w:rPr>
          <w:sz w:val="20"/>
          <w:szCs w:val="20"/>
          <w:color w:val="auto"/>
        </w:rPr>
      </w:pPr>
    </w:p>
    <w:p>
      <w:pPr>
        <w:ind w:left="1540" w:right="360" w:hanging="331"/>
        <w:spacing w:after="0" w:line="281" w:lineRule="auto"/>
        <w:tabs>
          <w:tab w:leader="none" w:pos="1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Performance-Based Compensation</w:t>
      </w:r>
      <w:r>
        <w:rPr>
          <w:rFonts w:ascii="Times New Roman" w:cs="Times New Roman" w:eastAsia="Times New Roman" w:hAnsi="Times New Roman"/>
          <w:sz w:val="17"/>
          <w:szCs w:val="17"/>
          <w:color w:val="auto"/>
        </w:rPr>
        <w:t>. In 2021 we adopted the EPA Program, and as a result the majority of our 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program for 2021 is comprised of long-term performance-based compensation, and therefore “at risk,” dependent upon corporate performance, as well as equity-based to align the interests of our executives with our stockholders. The overall performance and contribution of our executives is also considered in determining each such individual’s compensation.</w:t>
      </w:r>
    </w:p>
    <w:p>
      <w:pPr>
        <w:spacing w:after="0" w:line="69" w:lineRule="exact"/>
        <w:rPr>
          <w:rFonts w:ascii="Times New Roman" w:cs="Times New Roman" w:eastAsia="Times New Roman" w:hAnsi="Times New Roman"/>
          <w:sz w:val="17"/>
          <w:szCs w:val="17"/>
          <w:color w:val="auto"/>
        </w:rPr>
      </w:pPr>
    </w:p>
    <w:p>
      <w:pPr>
        <w:jc w:val="both"/>
        <w:ind w:left="1540" w:right="580" w:hanging="331"/>
        <w:spacing w:after="0" w:line="267"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Compensation Committee</w:t>
      </w:r>
      <w:r>
        <w:rPr>
          <w:rFonts w:ascii="Times New Roman" w:cs="Times New Roman" w:eastAsia="Times New Roman" w:hAnsi="Times New Roman"/>
          <w:sz w:val="18"/>
          <w:szCs w:val="18"/>
          <w:color w:val="auto"/>
        </w:rPr>
        <w:t>. Our compensation committee is comprised solely of independent directors who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effective means for communicating with each other and with our stockholders, and implementing their executive compensation ideas, as well as addressing their concerns.</w:t>
      </w:r>
    </w:p>
    <w:p>
      <w:pPr>
        <w:spacing w:after="0" w:line="78" w:lineRule="exact"/>
        <w:rPr>
          <w:rFonts w:ascii="Times New Roman" w:cs="Times New Roman" w:eastAsia="Times New Roman" w:hAnsi="Times New Roman"/>
          <w:sz w:val="18"/>
          <w:szCs w:val="18"/>
          <w:color w:val="auto"/>
        </w:rPr>
      </w:pPr>
    </w:p>
    <w:p>
      <w:pPr>
        <w:ind w:left="1540" w:right="300" w:hanging="331"/>
        <w:spacing w:after="0" w:line="267"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Compensation Consultant</w:t>
      </w:r>
      <w:r>
        <w:rPr>
          <w:rFonts w:ascii="Times New Roman" w:cs="Times New Roman" w:eastAsia="Times New Roman" w:hAnsi="Times New Roman"/>
          <w:sz w:val="18"/>
          <w:szCs w:val="18"/>
          <w:color w:val="auto"/>
        </w:rPr>
        <w:t>. Our compensation committee engaged its own compensation consultant, Compensia,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compensation consulting firm, to assist with its 2021 compensation review and analysis. Compensia performed no other consulting or other services for us.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82" w:right="4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540" w:hanging="331"/>
        <w:spacing w:after="0" w:line="284"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Executive Compensation Review</w:t>
      </w:r>
      <w:r>
        <w:rPr>
          <w:rFonts w:ascii="Times New Roman" w:cs="Times New Roman" w:eastAsia="Times New Roman" w:hAnsi="Times New Roman"/>
          <w:sz w:val="18"/>
          <w:szCs w:val="18"/>
          <w:color w:val="auto"/>
        </w:rPr>
        <w:t>. Our compensation committee conducts an annual review and approval of our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strategy, including a review of our compensation peer group used for comparative purposes.</w:t>
      </w:r>
    </w:p>
    <w:p>
      <w:pPr>
        <w:spacing w:after="0" w:line="63" w:lineRule="exact"/>
        <w:rPr>
          <w:rFonts w:ascii="Times New Roman" w:cs="Times New Roman" w:eastAsia="Times New Roman" w:hAnsi="Times New Roman"/>
          <w:sz w:val="18"/>
          <w:szCs w:val="18"/>
          <w:color w:val="auto"/>
        </w:rPr>
      </w:pPr>
    </w:p>
    <w:p>
      <w:pPr>
        <w:jc w:val="both"/>
        <w:ind w:left="1540" w:right="120" w:hanging="331"/>
        <w:spacing w:after="0" w:line="267"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Minimal Perquisites and Special Benefits</w:t>
      </w:r>
      <w:r>
        <w:rPr>
          <w:rFonts w:ascii="Times New Roman" w:cs="Times New Roman" w:eastAsia="Times New Roman" w:hAnsi="Times New Roman"/>
          <w:sz w:val="18"/>
          <w:szCs w:val="18"/>
          <w:color w:val="auto"/>
        </w:rPr>
        <w:t>. Our executives are eligible to participate in broad-based Company-sponsored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and welfare benefits programs on the same basis as our other full-time, salaried employees. At this time, we provide limited perquisites and other personal benefits to our executives and certain senior employees.</w:t>
      </w:r>
    </w:p>
    <w:p>
      <w:pPr>
        <w:spacing w:after="0" w:line="78" w:lineRule="exact"/>
        <w:rPr>
          <w:rFonts w:ascii="Times New Roman" w:cs="Times New Roman" w:eastAsia="Times New Roman" w:hAnsi="Times New Roman"/>
          <w:sz w:val="18"/>
          <w:szCs w:val="18"/>
          <w:color w:val="auto"/>
        </w:rPr>
      </w:pPr>
    </w:p>
    <w:p>
      <w:pPr>
        <w:jc w:val="both"/>
        <w:ind w:left="1540" w:right="100" w:hanging="331"/>
        <w:spacing w:after="0" w:line="267"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“Golden Parachute” Tax Reimbursements</w:t>
      </w:r>
      <w:r>
        <w:rPr>
          <w:rFonts w:ascii="Times New Roman" w:cs="Times New Roman" w:eastAsia="Times New Roman" w:hAnsi="Times New Roman"/>
          <w:sz w:val="18"/>
          <w:szCs w:val="18"/>
          <w:color w:val="auto"/>
        </w:rPr>
        <w:t>. We do not provide any tax reimbursement payments (including “gross-ups”)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liability that our executives might owe as a result of the application of Sections 280G or 4999 of the Internal Revenue Code (the “Code”).</w:t>
      </w:r>
    </w:p>
    <w:p>
      <w:pPr>
        <w:spacing w:after="0" w:line="78" w:lineRule="exact"/>
        <w:rPr>
          <w:rFonts w:ascii="Times New Roman" w:cs="Times New Roman" w:eastAsia="Times New Roman" w:hAnsi="Times New Roman"/>
          <w:sz w:val="18"/>
          <w:szCs w:val="18"/>
          <w:color w:val="auto"/>
        </w:rPr>
      </w:pPr>
    </w:p>
    <w:p>
      <w:pPr>
        <w:jc w:val="both"/>
        <w:ind w:left="1540" w:right="40" w:hanging="331"/>
        <w:spacing w:after="0" w:line="267"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Hedging and Pledging</w:t>
      </w:r>
      <w:r>
        <w:rPr>
          <w:rFonts w:ascii="Times New Roman" w:cs="Times New Roman" w:eastAsia="Times New Roman" w:hAnsi="Times New Roman"/>
          <w:sz w:val="18"/>
          <w:szCs w:val="18"/>
          <w:color w:val="auto"/>
        </w:rPr>
        <w:t>. Our Insider Trading Policy prohibits our employees, including our executive officers and the members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from hedging any Company securities, from pledging any Company securities as collateral for any loan or as part of any other pledging transaction, or from holding any Company common stock in margin accounts.</w:t>
      </w:r>
    </w:p>
    <w:p>
      <w:pPr>
        <w:spacing w:after="0" w:line="78" w:lineRule="exact"/>
        <w:rPr>
          <w:rFonts w:ascii="Times New Roman" w:cs="Times New Roman" w:eastAsia="Times New Roman" w:hAnsi="Times New Roman"/>
          <w:sz w:val="18"/>
          <w:szCs w:val="18"/>
          <w:color w:val="auto"/>
        </w:rPr>
      </w:pPr>
    </w:p>
    <w:p>
      <w:pPr>
        <w:ind w:left="1540" w:right="40" w:hanging="331"/>
        <w:spacing w:after="0" w:line="261"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“Single-Trigger” Change-in-Control Arrangements</w:t>
      </w:r>
      <w:r>
        <w:rPr>
          <w:rFonts w:ascii="Times New Roman" w:cs="Times New Roman" w:eastAsia="Times New Roman" w:hAnsi="Times New Roman"/>
          <w:sz w:val="18"/>
          <w:szCs w:val="18"/>
          <w:color w:val="auto"/>
        </w:rPr>
        <w:t>. Our named executive officers are not eligible for payments and benefits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payable solely as a result of a change-in-control in the Company. All change-in-control payments and benefits are based on a “double-trigger” arrangement (that is, they require both a change-in-control of our Company plus an involuntary termination of employment before payments and benefits are paid).</w:t>
      </w:r>
    </w:p>
    <w:p>
      <w:pPr>
        <w:spacing w:after="0" w:line="85" w:lineRule="exact"/>
        <w:rPr>
          <w:rFonts w:ascii="Times New Roman" w:cs="Times New Roman" w:eastAsia="Times New Roman" w:hAnsi="Times New Roman"/>
          <w:sz w:val="18"/>
          <w:szCs w:val="18"/>
          <w:color w:val="auto"/>
        </w:rPr>
      </w:pPr>
    </w:p>
    <w:p>
      <w:pPr>
        <w:ind w:left="1540" w:right="120" w:hanging="331"/>
        <w:spacing w:after="0" w:line="258"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Clawback Arrangements. </w:t>
      </w:r>
      <w:r>
        <w:rPr>
          <w:rFonts w:ascii="Times New Roman" w:cs="Times New Roman" w:eastAsia="Times New Roman" w:hAnsi="Times New Roman"/>
          <w:sz w:val="18"/>
          <w:szCs w:val="18"/>
          <w:color w:val="auto"/>
        </w:rPr>
        <w:t>The terms of the awards under the EPA Program provide for recovery of such awards under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including in the case of a recipient’s perpetration of common law fraud or a recipient’s misconduct that is materially injurious to the business reputation of, or is otherwise materially injurious to, any member of the company group. Additionally, our 2020 Equity Incentive Plan and Employee Incentive Compensation Plan permit us to implement compensation recoupment provisions.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Compensation-Setting Process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Committee</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Each year, our compensation committee conducts a review of our executive compensation program and related policies and practices. Our compensation committee assesses the prior year performance and establishes bonus metrics and related target levels for the current year and annual equity award grants for our executives, including our named executive officers. In addition, our compensation committee reviews and determines the base salary of our executives, including our named executive officers. In determining the compensation of the members of our executive team, including our named executive officers, for 2021, our compensation committee reviewed the compensation arrangements, including base salary, target bonus opportunities and annual equity awards, of our executives and considered an analysis of competitive market data prepared by Compensia, as well as our overall strategic business plan. Market data was used primarily as a reference point for measuring the competitive marketplace, and was one factor among others, used by our compensation committee in determining executive compensation. Other factors our compensation committee considers in making its executive compensation decisions include input from our CEO, Chief Legal Officer &amp; Head of Corporate Development, and Head of Human Resources (except with respect to their own compensation), past individual performance and expected future contributions, the vesting status and value of outstanding equity awards, and internal pay equity based on the impact of business and performance.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Role of Management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carrying out its responsibilities, our compensation committee works with members of our management, including our CEO, Chief Legal Officer &amp; Head of Corporate Development, and Head of Human Resources. In 2021, these members of management assisted our compensation committee in developing our executive annual bonus plan based on metrics that contain attainable target levels that are achievable through the commitment and leadership of our executives. Our CEO provides recommendations on compensation matters for our employees in general and all of his direct reports, including our executives. Our CEO, Chief Legal Officer &amp; Head of Corporate Development, and Head of Human Resources usually attend compensation committee meetings. No members of management participate in discussions or decisions regarding their own compensation and none of them are present when their own compensation is determined.</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Compensia has been engaged by and serves as our compensation committee’s compensation consultant. Compensia reviews the compensation arrangements of our executives and generally assists our compensation committee in analyzing executive and employee compensation, and the compensation of the non-employee members of our board of directors. Compensia provides support for our compensation committee by attending committee meetings, providing recommendations regarding the composition of our compensation peer group, analyzing competitive compensation data and formulating recommendations for executive and non-employee director compensation. Our compensation committee also requests specific analyses to assist our compensation committee in the design and structure of our executive and non-employee director compensation programs.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compensation committee has determined that the work of Compensia does not raise any “conflict of interest” in accordance with Item 407(e)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(3)(iv) of Regulation S-K and the listing standards of the NYSE.</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Competitive Positioning</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setting executive compensation, our compensation committee uses publicly-available data on the compensation policies and practices of comparable publicly-traded companies as a reference to understand the competitive market for executive talent. With respect to decisions regarding the 2021 compensation of our executives, including our named executive officers, our compensation committee reviewed an analysis prepared by Compensia of competitive market data derived from a group of technology sector companies with complex products and/or operations related to the electronic vehicle clean energy industries within a specific selection criteria, which included, but was not limited to, a 30-day average market capitalizations of between approximately 0.25x to 4.0x of our 30-day average market capitalization. As approved by our compensation committee on February 3, 2021), the following companies comprised our compensation peer group for 2021:</w:t>
      </w:r>
    </w:p>
    <w:p>
      <w:pPr>
        <w:spacing w:after="0" w:line="216" w:lineRule="exact"/>
        <w:rPr>
          <w:sz w:val="20"/>
          <w:szCs w:val="20"/>
          <w:color w:val="auto"/>
        </w:rPr>
      </w:pPr>
    </w:p>
    <w:p>
      <w:pPr>
        <w:ind w:left="120"/>
        <w:spacing w:after="0"/>
        <w:tabs>
          <w:tab w:leader="none" w:pos="5840" w:val="left"/>
        </w:tabs>
        <w:rPr>
          <w:sz w:val="20"/>
          <w:szCs w:val="20"/>
          <w:color w:val="auto"/>
        </w:rPr>
      </w:pPr>
      <w:r>
        <w:rPr>
          <w:rFonts w:ascii="Times New Roman" w:cs="Times New Roman" w:eastAsia="Times New Roman" w:hAnsi="Times New Roman"/>
          <w:sz w:val="18"/>
          <w:szCs w:val="18"/>
          <w:color w:val="auto"/>
        </w:rPr>
        <w:t>AMETEK</w:t>
      </w:r>
      <w:r>
        <w:rPr>
          <w:sz w:val="20"/>
          <w:szCs w:val="20"/>
          <w:color w:val="auto"/>
        </w:rPr>
        <w:tab/>
      </w:r>
      <w:r>
        <w:rPr>
          <w:rFonts w:ascii="Times New Roman" w:cs="Times New Roman" w:eastAsia="Times New Roman" w:hAnsi="Times New Roman"/>
          <w:sz w:val="18"/>
          <w:szCs w:val="18"/>
          <w:color w:val="auto"/>
        </w:rPr>
        <w:t>Lyft</w:t>
      </w:r>
    </w:p>
    <w:p>
      <w:pPr>
        <w:spacing w:after="0" w:line="117" w:lineRule="exact"/>
        <w:rPr>
          <w:sz w:val="20"/>
          <w:szCs w:val="20"/>
          <w:color w:val="auto"/>
        </w:rPr>
      </w:pPr>
    </w:p>
    <w:p>
      <w:pPr>
        <w:ind w:left="120"/>
        <w:spacing w:after="0"/>
        <w:tabs>
          <w:tab w:leader="none" w:pos="5840" w:val="left"/>
        </w:tabs>
        <w:rPr>
          <w:sz w:val="20"/>
          <w:szCs w:val="20"/>
          <w:color w:val="auto"/>
        </w:rPr>
      </w:pPr>
      <w:r>
        <w:rPr>
          <w:rFonts w:ascii="Times New Roman" w:cs="Times New Roman" w:eastAsia="Times New Roman" w:hAnsi="Times New Roman"/>
          <w:sz w:val="18"/>
          <w:szCs w:val="18"/>
          <w:color w:val="auto"/>
        </w:rPr>
        <w:t>Ballard Power Systems</w:t>
      </w:r>
      <w:r>
        <w:rPr>
          <w:sz w:val="20"/>
          <w:szCs w:val="20"/>
          <w:color w:val="auto"/>
        </w:rPr>
        <w:tab/>
      </w:r>
      <w:r>
        <w:rPr>
          <w:rFonts w:ascii="Times New Roman" w:cs="Times New Roman" w:eastAsia="Times New Roman" w:hAnsi="Times New Roman"/>
          <w:sz w:val="17"/>
          <w:szCs w:val="17"/>
          <w:color w:val="auto"/>
        </w:rPr>
        <w:t>Monolithic Power Systems</w:t>
      </w:r>
    </w:p>
    <w:p>
      <w:pPr>
        <w:spacing w:after="0" w:line="117" w:lineRule="exact"/>
        <w:rPr>
          <w:sz w:val="20"/>
          <w:szCs w:val="20"/>
          <w:color w:val="auto"/>
        </w:rPr>
      </w:pPr>
    </w:p>
    <w:p>
      <w:pPr>
        <w:ind w:left="120"/>
        <w:spacing w:after="0"/>
        <w:tabs>
          <w:tab w:leader="none" w:pos="5840" w:val="left"/>
        </w:tabs>
        <w:rPr>
          <w:sz w:val="20"/>
          <w:szCs w:val="20"/>
          <w:color w:val="auto"/>
        </w:rPr>
      </w:pPr>
      <w:r>
        <w:rPr>
          <w:rFonts w:ascii="Times New Roman" w:cs="Times New Roman" w:eastAsia="Times New Roman" w:hAnsi="Times New Roman"/>
          <w:sz w:val="18"/>
          <w:szCs w:val="18"/>
          <w:color w:val="auto"/>
        </w:rPr>
        <w:t>Cognex</w:t>
      </w:r>
      <w:r>
        <w:rPr>
          <w:sz w:val="20"/>
          <w:szCs w:val="20"/>
          <w:color w:val="auto"/>
        </w:rPr>
        <w:tab/>
      </w:r>
      <w:r>
        <w:rPr>
          <w:rFonts w:ascii="Times New Roman" w:cs="Times New Roman" w:eastAsia="Times New Roman" w:hAnsi="Times New Roman"/>
          <w:sz w:val="18"/>
          <w:szCs w:val="18"/>
          <w:color w:val="auto"/>
        </w:rPr>
        <w:t>Plug Power</w:t>
      </w:r>
    </w:p>
    <w:p>
      <w:pPr>
        <w:spacing w:after="0" w:line="117" w:lineRule="exact"/>
        <w:rPr>
          <w:sz w:val="20"/>
          <w:szCs w:val="20"/>
          <w:color w:val="auto"/>
        </w:rPr>
      </w:pPr>
    </w:p>
    <w:p>
      <w:pPr>
        <w:ind w:left="120"/>
        <w:spacing w:after="0"/>
        <w:tabs>
          <w:tab w:leader="none" w:pos="5840" w:val="left"/>
        </w:tabs>
        <w:rPr>
          <w:sz w:val="20"/>
          <w:szCs w:val="20"/>
          <w:color w:val="auto"/>
        </w:rPr>
      </w:pPr>
      <w:r>
        <w:rPr>
          <w:rFonts w:ascii="Times New Roman" w:cs="Times New Roman" w:eastAsia="Times New Roman" w:hAnsi="Times New Roman"/>
          <w:sz w:val="18"/>
          <w:szCs w:val="18"/>
          <w:color w:val="auto"/>
        </w:rPr>
        <w:t>Enphase Energy</w:t>
      </w:r>
      <w:r>
        <w:rPr>
          <w:sz w:val="20"/>
          <w:szCs w:val="20"/>
          <w:color w:val="auto"/>
        </w:rPr>
        <w:tab/>
      </w:r>
      <w:r>
        <w:rPr>
          <w:rFonts w:ascii="Times New Roman" w:cs="Times New Roman" w:eastAsia="Times New Roman" w:hAnsi="Times New Roman"/>
          <w:sz w:val="17"/>
          <w:szCs w:val="17"/>
          <w:color w:val="auto"/>
        </w:rPr>
        <w:t>Sunrun</w:t>
      </w:r>
    </w:p>
    <w:p>
      <w:pPr>
        <w:spacing w:after="0" w:line="117" w:lineRule="exact"/>
        <w:rPr>
          <w:sz w:val="20"/>
          <w:szCs w:val="20"/>
          <w:color w:val="auto"/>
        </w:rPr>
      </w:pPr>
    </w:p>
    <w:p>
      <w:pPr>
        <w:ind w:left="120"/>
        <w:spacing w:after="0"/>
        <w:tabs>
          <w:tab w:leader="none" w:pos="5840" w:val="left"/>
        </w:tabs>
        <w:rPr>
          <w:sz w:val="20"/>
          <w:szCs w:val="20"/>
          <w:color w:val="auto"/>
        </w:rPr>
      </w:pPr>
      <w:r>
        <w:rPr>
          <w:rFonts w:ascii="Times New Roman" w:cs="Times New Roman" w:eastAsia="Times New Roman" w:hAnsi="Times New Roman"/>
          <w:sz w:val="18"/>
          <w:szCs w:val="18"/>
          <w:color w:val="auto"/>
        </w:rPr>
        <w:t>First Solar</w:t>
      </w:r>
      <w:r>
        <w:rPr>
          <w:sz w:val="20"/>
          <w:szCs w:val="20"/>
          <w:color w:val="auto"/>
        </w:rPr>
        <w:tab/>
      </w:r>
      <w:r>
        <w:rPr>
          <w:rFonts w:ascii="Times New Roman" w:cs="Times New Roman" w:eastAsia="Times New Roman" w:hAnsi="Times New Roman"/>
          <w:sz w:val="17"/>
          <w:szCs w:val="17"/>
          <w:color w:val="auto"/>
        </w:rPr>
        <w:t>Teradyne</w:t>
      </w:r>
    </w:p>
    <w:p>
      <w:pPr>
        <w:spacing w:after="0" w:line="117" w:lineRule="exact"/>
        <w:rPr>
          <w:sz w:val="20"/>
          <w:szCs w:val="20"/>
          <w:color w:val="auto"/>
        </w:rPr>
      </w:pPr>
    </w:p>
    <w:p>
      <w:pPr>
        <w:ind w:left="120"/>
        <w:spacing w:after="0"/>
        <w:tabs>
          <w:tab w:leader="none" w:pos="5840" w:val="left"/>
        </w:tabs>
        <w:rPr>
          <w:sz w:val="20"/>
          <w:szCs w:val="20"/>
          <w:color w:val="auto"/>
        </w:rPr>
      </w:pPr>
      <w:r>
        <w:rPr>
          <w:rFonts w:ascii="Times New Roman" w:cs="Times New Roman" w:eastAsia="Times New Roman" w:hAnsi="Times New Roman"/>
          <w:sz w:val="18"/>
          <w:szCs w:val="18"/>
          <w:color w:val="auto"/>
        </w:rPr>
        <w:t>Keysight Technologies</w:t>
      </w:r>
      <w:r>
        <w:rPr>
          <w:sz w:val="20"/>
          <w:szCs w:val="20"/>
          <w:color w:val="auto"/>
        </w:rPr>
        <w:tab/>
      </w:r>
      <w:r>
        <w:rPr>
          <w:rFonts w:ascii="Times New Roman" w:cs="Times New Roman" w:eastAsia="Times New Roman" w:hAnsi="Times New Roman"/>
          <w:sz w:val="17"/>
          <w:szCs w:val="17"/>
          <w:color w:val="auto"/>
        </w:rPr>
        <w:t>Thor Industries</w:t>
      </w:r>
    </w:p>
    <w:p>
      <w:pPr>
        <w:spacing w:after="0" w:line="117" w:lineRule="exact"/>
        <w:rPr>
          <w:sz w:val="20"/>
          <w:szCs w:val="20"/>
          <w:color w:val="auto"/>
        </w:rPr>
      </w:pPr>
    </w:p>
    <w:p>
      <w:pPr>
        <w:ind w:left="120"/>
        <w:spacing w:after="0"/>
        <w:tabs>
          <w:tab w:leader="none" w:pos="5840" w:val="left"/>
        </w:tabs>
        <w:rPr>
          <w:sz w:val="20"/>
          <w:szCs w:val="20"/>
          <w:color w:val="auto"/>
        </w:rPr>
      </w:pPr>
      <w:r>
        <w:rPr>
          <w:rFonts w:ascii="Times New Roman" w:cs="Times New Roman" w:eastAsia="Times New Roman" w:hAnsi="Times New Roman"/>
          <w:sz w:val="18"/>
          <w:szCs w:val="18"/>
          <w:color w:val="auto"/>
        </w:rPr>
        <w:t>Lear</w:t>
      </w:r>
      <w:r>
        <w:rPr>
          <w:sz w:val="20"/>
          <w:szCs w:val="20"/>
          <w:color w:val="auto"/>
        </w:rPr>
        <w:tab/>
      </w:r>
      <w:r>
        <w:rPr>
          <w:rFonts w:ascii="Times New Roman" w:cs="Times New Roman" w:eastAsia="Times New Roman" w:hAnsi="Times New Roman"/>
          <w:sz w:val="18"/>
          <w:szCs w:val="18"/>
          <w:color w:val="auto"/>
        </w:rPr>
        <w:t>Trimble</w:t>
      </w:r>
    </w:p>
    <w:p>
      <w:pPr>
        <w:spacing w:after="0" w:line="117" w:lineRule="exact"/>
        <w:rPr>
          <w:sz w:val="20"/>
          <w:szCs w:val="20"/>
          <w:color w:val="auto"/>
        </w:rPr>
      </w:pPr>
    </w:p>
    <w:p>
      <w:pPr>
        <w:ind w:left="120"/>
        <w:spacing w:after="0"/>
        <w:tabs>
          <w:tab w:leader="none" w:pos="5840" w:val="left"/>
        </w:tabs>
        <w:rPr>
          <w:sz w:val="20"/>
          <w:szCs w:val="20"/>
          <w:color w:val="auto"/>
        </w:rPr>
      </w:pPr>
      <w:r>
        <w:rPr>
          <w:rFonts w:ascii="Times New Roman" w:cs="Times New Roman" w:eastAsia="Times New Roman" w:hAnsi="Times New Roman"/>
          <w:sz w:val="18"/>
          <w:szCs w:val="18"/>
          <w:color w:val="auto"/>
        </w:rPr>
        <w:t>Lumentum Holdings</w:t>
      </w:r>
      <w:r>
        <w:rPr>
          <w:sz w:val="20"/>
          <w:szCs w:val="20"/>
          <w:color w:val="auto"/>
        </w:rPr>
        <w:tab/>
      </w:r>
      <w:r>
        <w:rPr>
          <w:rFonts w:ascii="Times New Roman" w:cs="Times New Roman" w:eastAsia="Times New Roman" w:hAnsi="Times New Roman"/>
          <w:sz w:val="17"/>
          <w:szCs w:val="17"/>
          <w:color w:val="auto"/>
        </w:rPr>
        <w:t>Virgin Galactic Holdings</w:t>
      </w:r>
    </w:p>
    <w:p>
      <w:pPr>
        <w:spacing w:after="0" w:line="225"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companies that comprise the compensation peer group are our competitors in the labor and capital markets and have similar growth and performance potential.</w:t>
      </w:r>
    </w:p>
    <w:p>
      <w:pPr>
        <w:spacing w:after="0" w:line="162" w:lineRule="exact"/>
        <w:rPr>
          <w:sz w:val="20"/>
          <w:szCs w:val="20"/>
          <w:color w:val="auto"/>
        </w:rPr>
      </w:pPr>
    </w:p>
    <w:p>
      <w:pPr>
        <w:ind w:left="120" w:firstLine="440"/>
        <w:spacing w:after="0" w:line="234" w:lineRule="auto"/>
        <w:rPr>
          <w:sz w:val="20"/>
          <w:szCs w:val="20"/>
          <w:color w:val="auto"/>
        </w:rPr>
      </w:pPr>
      <w:r>
        <w:rPr>
          <w:rFonts w:ascii="Times New Roman" w:cs="Times New Roman" w:eastAsia="Times New Roman" w:hAnsi="Times New Roman"/>
          <w:sz w:val="18"/>
          <w:szCs w:val="18"/>
          <w:color w:val="auto"/>
        </w:rPr>
        <w:t>This competitive market data derived from the compensation peer group (supplemented with relevant data from the Radford Global Technology Survey when the peer group data did not provide sufficient data points) was used as a reference in the course of our compensation committee’s review and evaluation of our executive compensation program and decisions regarding executive compensation in 2021. The competitive market data is useful to understand market practice and to provide a general context for its decisions. Our compensation committee determines the nature and the extent of the use of market data, which varies by executive. Actual compensation is based on individual performance, experience, responsibilities and other criteria selected by our compensation committee. While our compensation committee does not benchmark the compensation for our executives, including our named executive officers, using competitive market data, when making its executive compensation decisions our compensation committee generally intends that our executive compensation program gradually transition over a two-year period to fall near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 for target total cash compensation and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 for equity compensation. The competitive market data was not used to benchmark the compensation for our executives, including our named executive officers.</w:t>
      </w:r>
    </w:p>
    <w:p>
      <w:pPr>
        <w:sectPr>
          <w:pgSz w:w="11900" w:h="16838" w:orient="portrait"/>
          <w:cols w:equalWidth="0" w:num="1">
            <w:col w:w="11120"/>
          </w:cols>
          <w:pgMar w:left="320" w:top="482" w:right="459" w:bottom="1440" w:gutter="0" w:footer="0" w:header="0"/>
        </w:sectPr>
      </w:pPr>
    </w:p>
    <w:p>
      <w:pPr>
        <w:spacing w:after="0" w:line="1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Overview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executive compensation program for 2021 consisted of the following principal compensation elements:</w:t>
      </w:r>
    </w:p>
    <w:p>
      <w:pPr>
        <w:spacing w:after="0" w:line="131" w:lineRule="exact"/>
        <w:rPr>
          <w:sz w:val="20"/>
          <w:szCs w:val="20"/>
          <w:color w:val="auto"/>
        </w:rPr>
      </w:pPr>
    </w:p>
    <w:p>
      <w:pPr>
        <w:ind w:left="1540" w:hanging="331"/>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compensation paid in the form of cash bonuses;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compensation in the form of performance option grants under our EPA Program.</w:t>
      </w:r>
    </w:p>
    <w:p>
      <w:pPr>
        <w:spacing w:after="0" w:line="225"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We are committed to providing appropriate cash and equity incentives to compensate our named executive officers in a manner that our compensation committee determines is reasonable and appropriate to motivate and retain key talent.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Base salary is a customary, fixed element of compensation intended to attract and retain our executives, including our named executive officers, and compensate them for their day-to-day efforts. Our compensation committee reviews base salary every year, as well as at the time of a promotion or other change in responsibilities, and considers each executive’s performance, prior base salary level, competitive market data, breadth of role, and the other factors described in the “Compensation Setting Process—Role of Compensation Committee” section above.</w:t>
      </w:r>
    </w:p>
    <w:p>
      <w:pPr>
        <w:spacing w:after="0" w:line="180" w:lineRule="exact"/>
        <w:rPr>
          <w:sz w:val="20"/>
          <w:szCs w:val="20"/>
          <w:color w:val="auto"/>
        </w:rPr>
      </w:pPr>
    </w:p>
    <w:p>
      <w:pPr>
        <w:ind w:left="120" w:right="20" w:firstLine="440"/>
        <w:spacing w:after="0" w:line="236" w:lineRule="auto"/>
        <w:rPr>
          <w:sz w:val="20"/>
          <w:szCs w:val="20"/>
          <w:color w:val="auto"/>
        </w:rPr>
      </w:pPr>
      <w:r>
        <w:rPr>
          <w:rFonts w:ascii="Times New Roman" w:cs="Times New Roman" w:eastAsia="Times New Roman" w:hAnsi="Times New Roman"/>
          <w:sz w:val="18"/>
          <w:szCs w:val="18"/>
          <w:color w:val="auto"/>
        </w:rPr>
        <w:t>In January and February 2021, our compensation committee reviewed the base salary of our executives, including our named executive officers. Our compensation committee increased base salaries in 2021, effective January 1, 2021, in light of the competitive market for executive talent, and in line with its general intention that executive total target cash compensation gradually transition over a two-year period to fall near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 of the competitive market. At this time, the actual base salaries paid to our named executive officers during 2021 fall closer to the 25th percentile of the competitive market data in a number of cases and are set forth in the “2021 Summary Compensation Table” below.</w:t>
      </w:r>
    </w:p>
    <w:p>
      <w:pPr>
        <w:spacing w:after="0" w:line="1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2021 annual base salary for each of our named executive officers.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2021 Base Salary</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62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Jagdeep Singh</w:t>
            </w:r>
          </w:p>
        </w:tc>
        <w:tc>
          <w:tcPr>
            <w:tcW w:w="2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95"/>
              </w:rPr>
              <w:t>375,000</w:t>
            </w:r>
          </w:p>
        </w:tc>
        <w:tc>
          <w:tcPr>
            <w:tcW w:w="200" w:type="dxa"/>
            <w:vAlign w:val="bottom"/>
            <w:shd w:val="clear" w:color="auto" w:fill="CCEEFF"/>
          </w:tcPr>
          <w:p>
            <w:pPr>
              <w:spacing w:after="0"/>
              <w:rPr>
                <w:sz w:val="17"/>
                <w:szCs w:val="17"/>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Hettrich</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375,000</w:t>
            </w: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Tim Holme</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375,000</w:t>
            </w: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Celina Mikolajczak(1)</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200"/>
              <w:spacing w:after="0" w:line="216" w:lineRule="exact"/>
              <w:rPr>
                <w:sz w:val="20"/>
                <w:szCs w:val="20"/>
                <w:color w:val="auto"/>
              </w:rPr>
            </w:pPr>
            <w:r>
              <w:rPr>
                <w:rFonts w:ascii="Times New Roman" w:cs="Times New Roman" w:eastAsia="Times New Roman" w:hAnsi="Times New Roman"/>
                <w:sz w:val="18"/>
                <w:szCs w:val="18"/>
                <w:color w:val="auto"/>
                <w:w w:val="97"/>
              </w:rPr>
              <w:t>350,000</w:t>
            </w:r>
            <w:r>
              <w:rPr>
                <w:rFonts w:ascii="Times New Roman" w:cs="Times New Roman" w:eastAsia="Times New Roman" w:hAnsi="Times New Roman"/>
                <w:sz w:val="25"/>
                <w:szCs w:val="25"/>
                <w:color w:val="auto"/>
                <w:w w:val="97"/>
                <w:vertAlign w:val="superscript"/>
              </w:rPr>
              <w:t>(1)</w:t>
            </w: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Mohit Singh</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375,000</w:t>
            </w:r>
          </w:p>
        </w:tc>
      </w:tr>
    </w:tbl>
    <w:p>
      <w:pPr>
        <w:spacing w:after="0" w:line="225" w:lineRule="exact"/>
        <w:rPr>
          <w:sz w:val="20"/>
          <w:szCs w:val="20"/>
          <w:color w:val="auto"/>
        </w:rPr>
      </w:pPr>
    </w:p>
    <w:p>
      <w:pPr>
        <w:ind w:left="540" w:right="20" w:hanging="424"/>
        <w:spacing w:after="0" w:line="266"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Mikolajczak joined as Vice President of Manufacturing Engineering in July 2021 and her actual base salary for 2021 was pro-rated for her actual period of employment. She was promoted to our Chief Manufacturing Officer in November 2021. Ms. Mikolajczak previously served as a member of our board of directors from April 2021 until resigning in May 2021 to accept her offer of employment.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Compensation</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compensation committee establishes annual incentive compensation opportunities under our bonus plan. Bonuses for 2021 under the bonus plan, or 2021 Bonus Plan, were designed to motivate and reward our executives, including our named executive officers, to perform to the best of their abilities and to achieve our corporate financial, operational, and strategic objectives.</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320" w:top="482" w:right="5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Target Annual Incentive Opportunities</w:t>
      </w:r>
    </w:p>
    <w:p>
      <w:pPr>
        <w:spacing w:after="0" w:line="121" w:lineRule="exact"/>
        <w:rPr>
          <w:sz w:val="20"/>
          <w:szCs w:val="20"/>
          <w:color w:val="auto"/>
        </w:rPr>
      </w:pPr>
    </w:p>
    <w:p>
      <w:pPr>
        <w:ind w:left="120" w:right="40" w:firstLine="440"/>
        <w:spacing w:after="0"/>
        <w:rPr>
          <w:sz w:val="20"/>
          <w:szCs w:val="20"/>
          <w:color w:val="auto"/>
        </w:rPr>
      </w:pPr>
      <w:r>
        <w:rPr>
          <w:rFonts w:ascii="Times New Roman" w:cs="Times New Roman" w:eastAsia="Times New Roman" w:hAnsi="Times New Roman"/>
          <w:sz w:val="18"/>
          <w:szCs w:val="18"/>
          <w:color w:val="auto"/>
        </w:rPr>
        <w:t>Prior to 2021, our executives did not have formal target annual incentive opportunities. In February 2021, our compensation committee established target annual incentive opportunities for each of our executives, including each of our named executive officers, taking into consideration each executive’s total target annual incentive compensation opportunity, and consistent with its general intention that our executives’ total target cash compensation gradually transition over a two-year period to fall generally near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 of the competitive market data, the breadth of his or her responsibilities and the other factors described in the “Compensation Setting Process—Role of Compensation Committee” section above. The target annual incentive opportunities for our executives, including our named executive officers, for 2021 was 33.33% of each of their respective eligible earnings for 2021.</w:t>
      </w:r>
    </w:p>
    <w:p>
      <w:pPr>
        <w:spacing w:after="0" w:line="1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target annual incentive opportunities of our named executive officers for 2021 were:</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2021 Target Annual Incentive</w:t>
            </w:r>
          </w:p>
        </w:tc>
        <w:tc>
          <w:tcPr>
            <w:tcW w:w="0" w:type="dxa"/>
            <w:vAlign w:val="bottom"/>
          </w:tcPr>
          <w:p>
            <w:pPr>
              <w:spacing w:after="0"/>
              <w:rPr>
                <w:sz w:val="1"/>
                <w:szCs w:val="1"/>
                <w:color w:val="auto"/>
              </w:rPr>
            </w:pPr>
          </w:p>
        </w:tc>
      </w:tr>
      <w:tr>
        <w:trPr>
          <w:trHeight w:val="160"/>
        </w:trPr>
        <w:tc>
          <w:tcPr>
            <w:tcW w:w="56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Jagdeep Singh</w:t>
            </w:r>
          </w:p>
        </w:tc>
        <w:tc>
          <w:tcPr>
            <w:tcW w:w="3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920"/>
              <w:spacing w:after="0" w:line="203" w:lineRule="exact"/>
              <w:rPr>
                <w:sz w:val="20"/>
                <w:szCs w:val="20"/>
                <w:color w:val="auto"/>
              </w:rPr>
            </w:pPr>
            <w:r>
              <w:rPr>
                <w:rFonts w:ascii="Times New Roman" w:cs="Times New Roman" w:eastAsia="Times New Roman" w:hAnsi="Times New Roman"/>
                <w:sz w:val="18"/>
                <w:szCs w:val="18"/>
                <w:color w:val="auto"/>
                <w:w w:val="95"/>
              </w:rPr>
              <w:t>125,000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Hettrich</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Tim Holme</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Celina Mikolajczak</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117,000</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Mohit Singh</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2021 Bonus Plan Design and Achievement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2021 Bonus Plan, there were four quarterly performance periods, ending on March 31, June 30, September 30,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each with accompanying quarterly goals established by our compensation committee for each of the following functional areas: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product and process development, (ii) production planning and purchasing, (iii) customer, and (iv) finance.</w:t>
      </w:r>
    </w:p>
    <w:p>
      <w:pPr>
        <w:spacing w:after="0" w:line="20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target annual incentive opportunities for our executives, including our named executive officers, for 2021 was 33.33% of each of their respective base salary, distributed evenly over the four quarters of the year. For the allocated bonus for a quarter to have been earned at 100%, all goals for the applicable that quarter must have been achieved within such quarter. If the applicable goals were not achieved in such quarter but achieved in the immediately following quarter, 50% of the bonus amount for that quarter would be earned. If the applicable goals were not achieved within such quarter or the immediately following quarter, then 0% of the bonus amount for that quarter would be earned.</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achieved our first, second and fourth quarter goals in the applicable quarter. We did not achieve certain third quarter goals, but achieved all such third quarter goals in the immediately following quarter. As a result of our 2021 results, our compensation committee approved funding our 2021 Bonus Plan at approximately 87.5% of the target fiscal 2021 bonus for each participant. Bonuses were paid in a lump sum in the first quarter of 2022. The aggregate dollar values of the bonuses earned by our named executive officers in 2021 under the 2021 Bonus Plan are listed in the “Non-equity Incentive Plan Compensation” column of the “2021 Summary Compensation Table” above.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Extraordinary Performance Award Program</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2021, our compensation committee designed, in consultation with Compensia, and our board and shareholders approved, the EPA Program. Our compensation committee developed the EPA Program because it recognized that achieving our mission requires that our leadership and key contributors remain dedicated to the Company throughout the decade and that the organization be inspired to “think big” about achieving large scale deployment of the technology as rapidly as possible.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EPA Program provides stock option grants to our executives, including our named executive officers, and other key selected service providers, that vest over five equal tranches, each covering 20% of the shares subject to the grants. Each of the five tranches vest only if the Company first achieves a new business milestone from one of 11 identified business milestones, and then achieves the next applicable stock price target ($60, $120, $180, $240 and $300), within 10 years of the initial grants. Relative to the closing stock price of $24.91 for our Class A Common Stock on October 21, 2021 (the date that our board of directors approved the final EPA Program), these prices represent price increases of 141%, 382%, 623%, 863%, and 1,104%, respectively.</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Tranche</w:t>
            </w:r>
          </w:p>
        </w:tc>
        <w:tc>
          <w:tcPr>
            <w:tcW w:w="60" w:type="dxa"/>
            <w:vAlign w:val="bottom"/>
          </w:tcPr>
          <w:p>
            <w:pPr>
              <w:spacing w:after="0"/>
              <w:rPr>
                <w:sz w:val="16"/>
                <w:szCs w:val="16"/>
                <w:color w:val="auto"/>
              </w:rPr>
            </w:pPr>
          </w:p>
        </w:tc>
        <w:tc>
          <w:tcPr>
            <w:tcW w:w="650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Business Milestone Requirement</w:t>
            </w:r>
          </w:p>
        </w:tc>
        <w:tc>
          <w:tcPr>
            <w:tcW w:w="8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 Price Target</w:t>
            </w:r>
          </w:p>
        </w:tc>
      </w:tr>
      <w:tr>
        <w:trPr>
          <w:trHeight w:val="203"/>
        </w:trPr>
        <w:tc>
          <w:tcPr>
            <w:tcW w:w="5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CCEEFF"/>
            </w:tcBorders>
            <w:shd w:val="clear" w:color="auto" w:fill="CCEEFF"/>
          </w:tcPr>
          <w:p>
            <w:pPr>
              <w:spacing w:after="0"/>
              <w:rPr>
                <w:sz w:val="17"/>
                <w:szCs w:val="17"/>
                <w:color w:val="auto"/>
              </w:rPr>
            </w:pPr>
          </w:p>
        </w:tc>
        <w:tc>
          <w:tcPr>
            <w:tcW w:w="6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Achievement of 1 business milestone</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w:t>
            </w:r>
          </w:p>
        </w:tc>
        <w:tc>
          <w:tcPr>
            <w:tcW w:w="40" w:type="dxa"/>
            <w:vAlign w:val="bottom"/>
            <w:tcBorders>
              <w:top w:val="single" w:sz="8" w:color="CCEEFF"/>
            </w:tcBorders>
            <w:shd w:val="clear" w:color="auto" w:fill="CCEEFF"/>
          </w:tcPr>
          <w:p>
            <w:pPr>
              <w:spacing w:after="0"/>
              <w:rPr>
                <w:sz w:val="17"/>
                <w:szCs w:val="17"/>
                <w:color w:val="auto"/>
              </w:rPr>
            </w:pPr>
          </w:p>
        </w:tc>
      </w:tr>
      <w:tr>
        <w:trPr>
          <w:trHeight w:val="198"/>
        </w:trPr>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w:t>
            </w:r>
          </w:p>
        </w:tc>
        <w:tc>
          <w:tcPr>
            <w:tcW w:w="656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Achievement of 2 business milestones (inclusive of the business milestone applicable to</w:t>
            </w:r>
          </w:p>
        </w:tc>
        <w:tc>
          <w:tcPr>
            <w:tcW w:w="58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120</w:t>
            </w:r>
          </w:p>
        </w:tc>
      </w:tr>
      <w:tr>
        <w:trPr>
          <w:trHeight w:val="234"/>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Tranche 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w:t>
            </w:r>
          </w:p>
        </w:tc>
        <w:tc>
          <w:tcPr>
            <w:tcW w:w="656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Achievement of 3 business milestones (inclusive of the business milestones applicable to</w:t>
            </w:r>
          </w:p>
        </w:tc>
        <w:tc>
          <w:tcPr>
            <w:tcW w:w="58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180</w:t>
            </w:r>
          </w:p>
        </w:tc>
      </w:tr>
      <w:tr>
        <w:trPr>
          <w:trHeight w:val="234"/>
        </w:trPr>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Tranche 2)</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198"/>
        </w:trPr>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w:t>
            </w:r>
          </w:p>
        </w:tc>
        <w:tc>
          <w:tcPr>
            <w:tcW w:w="656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Achievement of 4 business milestones (inclusive of the business milestones applicable to</w:t>
            </w:r>
          </w:p>
        </w:tc>
        <w:tc>
          <w:tcPr>
            <w:tcW w:w="58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240</w:t>
            </w:r>
          </w:p>
        </w:tc>
      </w:tr>
      <w:tr>
        <w:trPr>
          <w:trHeight w:val="234"/>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Tranche 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5</w:t>
            </w:r>
          </w:p>
        </w:tc>
        <w:tc>
          <w:tcPr>
            <w:tcW w:w="656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Achievement of 5 business milestones (inclusive of the business milestones applicable to</w:t>
            </w:r>
          </w:p>
        </w:tc>
        <w:tc>
          <w:tcPr>
            <w:tcW w:w="58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300</w:t>
            </w:r>
          </w:p>
        </w:tc>
      </w:tr>
      <w:tr>
        <w:trPr>
          <w:trHeight w:val="234"/>
        </w:trPr>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Tranche 4)</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EPA Program design ensures that actual business accomplishments are driving sustained stock price performance, rather than market conditions or short-term stock exuberance. Generally, the stock price for the purposes of assessing the stock price target will be the 120-day trailing average closing price (based on trading days), but a stock price target will not be achieved unless the trailing average closing price of the last 30 trading days of such 120-trading day period also meets or exceeds the applicable stock price target. For a stock price target for any given tranche to be achieved, the last day of the 120-day measurement period must occur on or after the date that the requisite number of business milestones have been achieved for such tranche. Furthermore, in order to vest in any tranche, the participant generally must continue to provide service through the date of vesting in the same position, or a similar or higher role, as when the options under the EPA Program are granted.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11 business milestones are as follows: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xml:space="preserve">Business Milestones </w:t>
      </w:r>
      <w:r>
        <w:rPr>
          <w:rFonts w:ascii="Times New Roman" w:cs="Times New Roman" w:eastAsia="Times New Roman" w:hAnsi="Times New Roman"/>
          <w:sz w:val="25"/>
          <w:szCs w:val="25"/>
          <w:b w:val="1"/>
          <w:bCs w:val="1"/>
          <w:color w:val="auto"/>
          <w:vertAlign w:val="superscript"/>
        </w:rPr>
        <w:t>(1)</w:t>
      </w:r>
    </w:p>
    <w:p>
      <w:pPr>
        <w:spacing w:after="0" w:line="176" w:lineRule="exact"/>
        <w:rPr>
          <w:sz w:val="20"/>
          <w:szCs w:val="20"/>
          <w:color w:val="auto"/>
        </w:rPr>
      </w:pPr>
    </w:p>
    <w:p>
      <w:pPr>
        <w:ind w:left="540" w:hanging="316"/>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A-sample battery cell that meets specifications agreed upon with an automaker</w:t>
      </w:r>
    </w:p>
    <w:p>
      <w:pPr>
        <w:spacing w:after="0" w:line="130" w:lineRule="exact"/>
        <w:rPr>
          <w:rFonts w:ascii="Times New Roman" w:cs="Times New Roman" w:eastAsia="Times New Roman" w:hAnsi="Times New Roman"/>
          <w:sz w:val="18"/>
          <w:szCs w:val="18"/>
          <w:color w:val="auto"/>
        </w:rPr>
      </w:pPr>
    </w:p>
    <w:p>
      <w:pPr>
        <w:ind w:left="540" w:right="360" w:hanging="316"/>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validation by an auto maker of a completed B-sample battery cell (a B-sample battery cell is a functional, complete battery cell prototype produced from our pre-pilot or sample production line)</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at least 1-gigawatt hour (GWh) of battery cells to a single customer</w:t>
      </w:r>
    </w:p>
    <w:p>
      <w:pPr>
        <w:spacing w:after="0" w:line="130" w:lineRule="exact"/>
        <w:rPr>
          <w:rFonts w:ascii="Times New Roman" w:cs="Times New Roman" w:eastAsia="Times New Roman" w:hAnsi="Times New Roman"/>
          <w:sz w:val="18"/>
          <w:szCs w:val="18"/>
          <w:color w:val="auto"/>
        </w:rPr>
      </w:pPr>
    </w:p>
    <w:p>
      <w:pPr>
        <w:ind w:left="540" w:right="220" w:hanging="316"/>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at least 3-gigawatt hour (GWh) of battery cells to each of three or more customers, with at least one of such customer being an auto maker</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billion in GAAP revenue over a period of trailing four quarters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billion in GAAP revenue over a period of trailing four quarters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cumulative battery cell production of 500 GWh</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cumulative battery cell production of 1,000 GWh</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of at least 25% over four consecutive quarters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worldwide market share in automotive battery cells (excluding China)</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worldwide market share in automotive battery cells (excluding China)</w:t>
      </w:r>
    </w:p>
    <w:p>
      <w:pPr>
        <w:spacing w:after="0" w:line="252" w:lineRule="exact"/>
        <w:rPr>
          <w:sz w:val="20"/>
          <w:szCs w:val="20"/>
          <w:color w:val="auto"/>
        </w:rPr>
      </w:pPr>
    </w:p>
    <w:p>
      <w:pPr>
        <w:jc w:val="both"/>
        <w:ind w:left="540" w:right="280" w:hanging="424"/>
        <w:spacing w:after="0" w:line="312" w:lineRule="auto"/>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permit flexibility in how the business develops, the production and market share targets include cells manufactured by the Company and its subsidiaries, joint ventures and licensees, and by cell makers who incorporate separators manufactured by or under license from the Company.</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698" w:right="4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As part of the EPA Program design process, our compensation committee and board of directors sought to balance a variety of important objectives, including:</w:t>
      </w:r>
    </w:p>
    <w:p>
      <w:pPr>
        <w:spacing w:after="0" w:line="67" w:lineRule="exact"/>
        <w:rPr>
          <w:sz w:val="20"/>
          <w:szCs w:val="20"/>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our key service providers’ interests with those of the Company and our other stockholders;</w:t>
      </w:r>
    </w:p>
    <w:p>
      <w:pPr>
        <w:spacing w:after="0" w:line="130"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Motivating our key service providers to deliver sustainable and significant stockholder value through the achievement of ambitious performance milestones;</w:t>
      </w:r>
    </w:p>
    <w:p>
      <w:pPr>
        <w:spacing w:after="0" w:line="67"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the EPA Program is linked to performance and will not vest (and therefore not be of any value to recipient) unless all of our stockholders benefit from significant value creation;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Incentivizing our CEO and our other key service providers to continue to contribute to the Company over the long-term.</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recognized, and the board of directors agreed, that to retain the world-class team that the Company had assembled, it must continue to provide attractive near-term compensation and equity grants. However, to provide additional focus on the company’s long-term stockholder and business objectives, it believes the addition of the EPA Program is in the best interest of the stockholders. With those objectives in mind, the EPA Program was designed as a program for extraordinary performance that only pays out for each tranche if there has been achievement of both significant operational goals and significant value created for stockholders.</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Our compensation committee approved the EPA Program because it represents pay-for-performance, requires a long-term commitment by the CEO and other selected key service providers, aligns the compensation of our CEO and other selected key service providers with value creation for all stakeholders, including employees, customers and stockholders, and provides substantial challenges required to motivate high-ranking executives to produce maximum growth.</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Among other factors supporting the adoption of the EPA Program is that we believe that having the continuing active and engaged services of Jagdeep Singh and our other selected key service providers as required to vest in options under the EPA Program is important to our continued growth and long-term interests. While we recognize that the Company has many valuable employees who have been a critical part of our success, we believe that Mr. Singh’s leadership as our founder and in guiding the Company through a number of recent financial and operational accomplishments, and our selected key service providers’ contributions to those accomplishments, have been instrumental in our development.</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light of these significant developments for the Company under Mr. Singh’s leadership, with the contributions of our other key service providers, and considering the potential for our continued growth, we believe that it is critical to keep each of Mr. Singh and our other selected key service providers incentivized to continue his or her efforts and, in the case of Mr. Singh, to lead the Company during this critical point in its history, and to ensure that Mr. Singh remains motivated to achieve his visionary goal of our technology enabling and accelerating mass market adoption of electric vehicles.</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Participants in our EPA Program will be potentially eligible to receive additional equity awards consistent with standard practice, but we currently expect that any such awards would cover fewer number of shares than our ordinary course refresh grants.</w:t>
      </w:r>
    </w:p>
    <w:p>
      <w:pPr>
        <w:spacing w:after="0" w:line="16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current expectation of the compensation committee and the board of directors is that Mr. Singh will not receive additional annual equity awards for at least seven years, but the compensation committee and the board of directors have the flexibility to approve additional equity awards if circumstances warranted.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lists the option awards under the EPA Program that our named executive officers received in 2021:</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82"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Options Awarded under EPA</w:t>
            </w:r>
          </w:p>
        </w:tc>
        <w:tc>
          <w:tcPr>
            <w:tcW w:w="0" w:type="dxa"/>
            <w:vAlign w:val="bottom"/>
          </w:tcPr>
          <w:p>
            <w:pPr>
              <w:spacing w:after="0"/>
              <w:rPr>
                <w:sz w:val="1"/>
                <w:szCs w:val="1"/>
                <w:color w:val="auto"/>
              </w:rPr>
            </w:pPr>
          </w:p>
        </w:tc>
      </w:tr>
      <w:tr>
        <w:trPr>
          <w:trHeight w:val="160"/>
        </w:trPr>
        <w:tc>
          <w:tcPr>
            <w:tcW w:w="5640" w:type="dxa"/>
            <w:vAlign w:val="bottom"/>
            <w:gridSpan w:val="2"/>
            <w:vMerge w:val="continue"/>
          </w:tcPr>
          <w:p>
            <w:pPr>
              <w:spacing w:after="0"/>
              <w:rPr>
                <w:sz w:val="13"/>
                <w:szCs w:val="13"/>
                <w:color w:val="auto"/>
              </w:rPr>
            </w:pPr>
          </w:p>
        </w:tc>
        <w:tc>
          <w:tcPr>
            <w:tcW w:w="1840" w:type="dxa"/>
            <w:vAlign w:val="bottom"/>
            <w:gridSpan w:val="2"/>
          </w:tcPr>
          <w:p>
            <w:pPr>
              <w:jc w:val="right"/>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Jagdeep Singh</w:t>
            </w:r>
          </w:p>
        </w:tc>
        <w:tc>
          <w:tcPr>
            <w:tcW w:w="1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8,399,133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Hettrich</w:t>
            </w: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419,956</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Tim Holme</w:t>
            </w:r>
          </w:p>
        </w:tc>
        <w:tc>
          <w:tcPr>
            <w:tcW w:w="1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839,913</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Celina Mikolajczak</w:t>
            </w: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839,913</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Mohit Singh</w:t>
            </w:r>
          </w:p>
        </w:tc>
        <w:tc>
          <w:tcPr>
            <w:tcW w:w="1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839,913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grant date fair values of the options granted to our named executive officers under the EPA are listed in the “Option Awards” column of the 2021 Summary Compensation Table and in the 2021 Grants of Plan-Based Awards Table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New Hire and Refresh Equity Awards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use equity awards to incentivize and reward our executives (including our named executive officers) for long-term corporate performance based on the value of our Class A common stock and, thereby, to align the interests of our executives with those of our stockholders. We grant stock options covering shares of our common stock and full value awards for shares of our common stock, or awards without a purchase price, such as restricted stock unit (“RSU”) awards.</w:t>
      </w:r>
    </w:p>
    <w:p>
      <w:pPr>
        <w:spacing w:after="0" w:line="180"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New hire equity awards for our executives are established through arm’s-length negotiations at the time the individual executive is hired. In making these awards, we consider, among other things, the prospective role and responsibility of the individual executive, competitive factors, the expectations concerning the size of the equity award, the cash compensation to be received by the executive, and the need to create a meaningful opportunity for reward predicated on the creation of long-term stockholder value.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we may grant equity awards to our executives when our compensation committee determines that such awards are necessary or appropriate to recognize corporate and individual performance, in recognition of a promotion, or to achieve our retention objectives. We currently plan to use RSU awards to deliver long-term incentive compensation opportunities to our executives. Consistent with our compensation objectives, we believe this approach helps to ensure that the interests of the members of executive team are aligned with those of our stockholders and that we are able to attract and reward our top talent.</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However, in 2021, our compensation committee elected to forego equity refresh grants for our named executive officers in light of the grants awarded in 2020 and awards being considered under the EPA Program that were eventually made in December 2021. As discussed above, the current expectation of the compensation committee and the board of directors is that Mr. Singh will not receive additional annual equity awards for at least seven years.</w:t>
      </w:r>
    </w:p>
    <w:p>
      <w:pPr>
        <w:spacing w:after="0" w:line="180" w:lineRule="exact"/>
        <w:rPr>
          <w:sz w:val="20"/>
          <w:szCs w:val="20"/>
          <w:color w:val="auto"/>
        </w:rPr>
      </w:pPr>
    </w:p>
    <w:p>
      <w:pPr>
        <w:jc w:val="both"/>
        <w:ind w:left="120" w:right="280" w:firstLine="440"/>
        <w:spacing w:after="0" w:line="227" w:lineRule="auto"/>
        <w:rPr>
          <w:sz w:val="20"/>
          <w:szCs w:val="20"/>
          <w:color w:val="auto"/>
        </w:rPr>
      </w:pPr>
      <w:r>
        <w:rPr>
          <w:rFonts w:ascii="Times New Roman" w:cs="Times New Roman" w:eastAsia="Times New Roman" w:hAnsi="Times New Roman"/>
          <w:sz w:val="18"/>
          <w:szCs w:val="18"/>
          <w:color w:val="auto"/>
        </w:rPr>
        <w:t>The compensation committee does not benchmark equity compensation at any particular level versus the competitive market data, although it intends to maintain an equity program that gradually transitions over a two-year period to fall generally near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 as a reference point during the course of its deliberations. RSU awards serve as a retention tool as they vest based on continued service over time.</w:t>
      </w:r>
    </w:p>
    <w:p>
      <w:pPr>
        <w:spacing w:after="0" w:line="20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grant date fair values of the equity awards granted to our named executive officers are listed in the “Stock Awards” column of the 2021 Summary Compensation Table and in the 2021 Grants of Plan-Based Awards Table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Welfare and Other Employee Benefits</w:t>
      </w:r>
    </w:p>
    <w:p>
      <w:pPr>
        <w:spacing w:after="0" w:line="121"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We provide benefits to our executives, including our named executive officers, on the same basis as provided to all of our employees, including health, dental and vision insurance; life insurance; accidental death and dismemberment insurance; critical illness insurance; short-and long-term disability insurance; a health savings account; a wellness incentive; and a tax-qualified Section 401(k) plan for which no match by us is provided.</w:t>
      </w:r>
    </w:p>
    <w:p>
      <w:pPr>
        <w:spacing w:after="0" w:line="15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provide a tax-qualified Section 401(k) plan for all employees, including the named executive officers. We do not provide a match for participants’ elective contributions to the 401(k) plan, nor do we provide to employees, including our named executive officers, any other retirement benefits, including but not limited to tax-qualified defined benefit plans, supplemental executive retirement plans, nonqualified deferred compensation plans, and nonqualified defined contribution plans.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320" w:top="482" w:right="5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Perquisites</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Our executives, including our named executive officers, are eligible to participate in the same benefit and perquisite programs as our other employees, except that our named executive officers and certain other senior employees are eligible for a financial consulting and planning service sponsored by the Company.</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Mr. Singh and Dr. Holme were required to file under the Hart-Scott Rodino Antitrust Improvements Act of 1976, or the HSR Act, in connection with the sale of shares to satisfy the tax obligations related to the vesting of their RSUs. In 2021, we paid for the costs of these filings, $125,000 for each of Mr. Singh and Dr. Holme, and provided each with an additional payment of $127,235 and $127,259, respectively, such that the transaction was tax neutral to each, as set forth in the “All Other Compensation” column of the 2021 Summary Compensation Table.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Letter Agreements</w:t>
      </w:r>
    </w:p>
    <w:p>
      <w:pPr>
        <w:spacing w:after="0" w:line="121"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other than Jagdeep Singh have entered into employee agreements with us. Details of these current agreements are summarized below.</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Agreement with Kevin Hettrich</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October 14, 2011, Kevin Hettrich entered into an offer letter with no specific term that provides that Mr. Hettrich is an at-will employee. The offer letter contains customary confidentiality, non-solicitation and intellectual property assignment provisions.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Agreement with Timothy Holme</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On January 11, 2011, Timothy Holme entered into an offer letter with no specific term that provides that Mr. Holme is an at-will employee. The offer letter contains customary confidentiality, non-solicitation and intellectual property assignment provisions.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Agreement with Celina Mikolajczak</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May 20, 2021, Celina Mikolajczak entered into an offer letter with no specific term that provides that Ms. Mikolajczak is an at-will employee.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offer letter contains customary confidentiality, non-solicitation and intellectual property assignment provisions.</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her offer letter, Ms. Mikolajczak was eligible to receive an award of RSUs with an intended value of $2,000,000. 25% of the RSUs are scheduled to vest on our first quarterly vesting date following the one (1) year anniversary of the date vesting begins, and 6.25% of the RSUs are scheduled to vest each quarter thereafter, subject to Ms. Mikolajczak’s continuous service through each such date.</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Agreement with Mohit Singh</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On April 3, 2013, Mohit Singh entered into an offer letter with no specific term that provides that Mr. Singh is an at-will employee. The offer letter contains customary confidentiality, non-solicitation and intellectual property assignment provisions.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82" w:right="4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Severance Arrangements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Change in Control and Severance Agreements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Prior to 2021, we did not have a formal plan with respect to severance benefits payable to our executives and other key employees. In late 2020, our compensation committee determined it was appropriate to design a program that provides for certain payments and benefits in the event of a qualifying termination of employment, including a termination of employment in connection with a change in control of the Company. Our compensation committee believes that such a program enables selected employees, including our named executive officers, to maintain their focus and dedication to their responsibilities to help maximize stockholder value by minimizing distractions due to the possibility of an involuntary termination of employment or a termination of employment in connection with a potential change in control of the Company. We also believe that these arrangements further our interest in encouraging retention among our named executive officers.</w:t>
      </w:r>
    </w:p>
    <w:p>
      <w:pPr>
        <w:spacing w:after="0" w:line="18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late 2020, our compensation committee began to design, in consultation with Compensia, and in March 2021 our board approved, a change in control and severance program. We have entered into change in control and severance agreements, or CIC Agreement, with each of our executive officers, including our named executive officers.</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CIC Agreements require us to make specific payments and benefits in connection with the termination of an executive officer’s employment under certain circumstances. These change in control agreements superseded any other agreement or arrangement relating to severance benefits with these executive officers or any terms of their option agreements related to vesting acceleration or other similar severance-related terms.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CIC Agreements will remain in effect for an initial term of three years. At the end of the initial term, each CIC Agreement will automatically renew for an additional one-year period unless either party provides notice of nonrenewal within 90 days prior to the date of the automatic renewal. The CIC Agreements also acknowledge that each of these named executive officers is an at-will employee, whose employment can be terminated at any time. In order to receive the severance benefits described below, each of these named executive officers is obligated to execute a release of claims against us.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EPA Program</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There is no automatic vesting of any part of award under the EPA Program upon a change in control of the Company. This treatment supersedes any conflicting treatment pursuant to any other agreement between the Company and a participant.</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 change in control situation, the business milestone requirement will not be applicable and our stock price for the purposes of the stock price targets will be the price per share paid in such change in control. In the event that our stock price by this measure falls between two stock price targets, linear interpolation between the two applicable stock price targets will be used to determine an additional portion of the awards under our EPA Program that will become vested. Any portion of an EPA that is not vested upon a change in control will terminate. Our compensation committee believes that this treatment enables EPA Program Participants, including our named executive officers, to maintain their focus and dedication to their responsibilities to help maximize stockholder value by minimizing distractions due to the possibility of a potential change in control of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Policies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Recovery Policy</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Currently, we have not implemented an overall policy regarding retroactive adjustments to any cash or equity-based incentive compensation paid to our named executive officers and other employees where the payments were predicated upon the achievement of financial results that were subsequently the subject of a financial restatement.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With respect to options granted under the EPA Program, we are entitled to recover the option and any compensation previously paid to or profits realized by a participant with respect to the participant’s option, in the event that we determine that there was (i) any willful, material violation by the participant of any law or regulation applicable to the business of any company group member, (ii) the participant’s conviction for, or plea of guilty or no contest to, a felony or a crime involving moral turpitude, (iii) any willful perpetration by the participant of a common law fraud or (iv) any other misconduct by the participant which is materially injurious to the business reputation of, or is otherwise materially injurious to, any company group member.</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82" w:right="51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Additionally, our 2020 Equity Incentive Plan and Employee Incentive Compensation Plan permit us to implement compensation recoupment provisions.</w:t>
      </w:r>
    </w:p>
    <w:p>
      <w:pPr>
        <w:spacing w:after="0" w:line="16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We intend to adopt a general compensation recovery, or clawback, policy covering our annual and long-term incentive award plans and arrangements once the SEC adopts final rules implementing the requirement of Section 954 of the Dodd-Frank Wall Street Reform and Consumer Protection Act.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Derivatives Trading, Hedging and Pledging Policy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our insider trading policy, our employees, including the members of our executive team and the members of our board of directors, are prohibited from engaging in transactions involving derivative securities or otherwise that would hedge the risk of ownership of our equity securities and from pledging our equity securities as collateral for any loan or as part of any other pledging transaction, or holding our common stock in margin accounts.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and Accounting Considerations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have not provided any of our named executive officers with a gross-up or other reimbursement for tax amounts the individual might pay pursuant to Code Sections 280G, 4999 or 409A. Code Sections 280G and 4999 provide that named executive officers, directors who hold significant stockholder interests and certain other service providers could be subject to significant additional taxes if they receive payments or benefits in connection with a change in control of our Company that exceeds certain limits, and that we or our successor could lose a deduction on the amounts subject to the additional tax. Code Section 409A also imposes significant taxes on the individual in the event that an executive officer, director or other service provider receives “deferred compensation” that does not meet the requirements of Code Section 409A.</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Under Code Section 162(m), we are subject to limits on the deductibility of executive compensation. Deductible compensation is limited to</w:t>
      </w:r>
    </w:p>
    <w:p>
      <w:pPr>
        <w:spacing w:after="0" w:line="27"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$1 million per year for our CEO and certain of our current and former highly compensated executive officers that are “covered employees” under Code Section 162(m) (collectively “covered employees”). While we cannot predict how the deductibility limit may impact our compensation program in future years, we intend to maintain an approach to executive compensation that strongly links pay to performance. We have not adopted a formal policy regarding tax deductibility of compensation paid to our named executive officers. The compensation committee may consider tax deductibility under Code Section 162(m) as a factor in its compensation decisions, and retains the flexibility to provide compensation for the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Accounting Considerations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take financial reporting implications into consideration in designing compensation plans and arrangements for the members of our executive team, other employees and the non-employee members of our board of directors. These accounting considerations include Financial Accounting Standards Board Accounting Standards Codification Topic 718 (“ASC Topic 718”), the standard which governs the accounting treatment of stock-based compensation awards.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Compensation-Related Risk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is responsible for the oversight of our risk profile, including compensation-related risks. Our compensation committee monitors our compensation policies and practices as applied to our employees to ensure that these policies and practices do not encourage excessive and unnecessary risk-taking. In cooperation with management, our compensation committee reviewed our 2021 compensation programs. Our compensation committee believes the mix and design of the elements of such programs do not encourage our employees to assume excessive risks and accordingly are not reasonably likely to have a material adverse effect on our Company. We have designed our compensation programs to be balanced so that our employees are focused on both short-term and long-term financial and operational performance. In particular, the weighting towards long-term incentive compensation discourages short-term risk taking. Goals are appropriately set with targets that encourage growth in the business.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82" w:right="4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w:t>
      </w:r>
    </w:p>
    <w:p>
      <w:pPr>
        <w:spacing w:after="0" w:line="119"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report of the compensation committee shall not be deemed to be “soliciting material” and should not be deemed “filed” and shall not be deemed to be incorporated by reference in future filings with the SEC, except to the extent that the Company specifically incorporates it by reference into a document filed under the Securities Act or the Exchange Act.</w:t>
      </w:r>
    </w:p>
    <w:p>
      <w:pPr>
        <w:spacing w:after="0" w:line="17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compensation committee has reviewed and discussed with management the Compensation Discussion and Analysis provided above. Based on its review and discussions, our compensation committee recommended to our board of directors that the Compensation Discussion and Analysis be included in this Amendment.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Respectfully submitted by the members of the compensation committee of the board of directors:</w:t>
      </w:r>
    </w:p>
    <w:p>
      <w:pPr>
        <w:spacing w:after="0" w:line="196" w:lineRule="exact"/>
        <w:rPr>
          <w:sz w:val="20"/>
          <w:szCs w:val="20"/>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Prof. Dr. J</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rgen Leohold (Chair)</w:t>
      </w:r>
    </w:p>
    <w:p>
      <w:pPr>
        <w:spacing w:after="0" w:line="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Brad Buss</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JB Straubel*</w:t>
      </w:r>
    </w:p>
    <w:p>
      <w:pPr>
        <w:spacing w:after="0" w:line="234" w:lineRule="exact"/>
        <w:rPr>
          <w:sz w:val="20"/>
          <w:szCs w:val="20"/>
          <w:color w:val="auto"/>
        </w:rPr>
      </w:pPr>
    </w:p>
    <w:p>
      <w:pPr>
        <w:ind w:left="340" w:right="120" w:hanging="224"/>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Straubel was a member, and participated in the deliberations, of our compensation committee through 2021 and until February 16, 2022, but did not participate in the review and discussion with management of the Compensation Discussion and Analysis provided above.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p>
      <w:pPr>
        <w:spacing w:after="0" w:line="121"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reportable for our named executive officers for the years ended December 31, 2021, December 31, 2020 and December 31, 2019.</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2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Stock Awards ($)</w:t>
            </w:r>
          </w:p>
        </w:tc>
        <w:tc>
          <w:tcPr>
            <w:tcW w:w="132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Option Awards ($)</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2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00" w:type="dxa"/>
            <w:vAlign w:val="bottom"/>
          </w:tcPr>
          <w:p>
            <w:pPr>
              <w:spacing w:after="0"/>
              <w:rPr>
                <w:sz w:val="12"/>
                <w:szCs w:val="12"/>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144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2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44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(1)</w:t>
            </w:r>
          </w:p>
        </w:tc>
        <w:tc>
          <w:tcPr>
            <w:tcW w:w="13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(3)</w:t>
            </w: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Jagdeep Singh</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373,462</w:t>
            </w: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68,368,938</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107,650</w:t>
            </w:r>
          </w:p>
        </w:tc>
        <w:tc>
          <w:tcPr>
            <w:tcW w:w="13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252,235(4)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69,102,285</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277,116</w:t>
            </w: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16,719,999</w:t>
            </w:r>
          </w:p>
        </w:tc>
        <w:tc>
          <w:tcPr>
            <w:tcW w:w="1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55,000(5)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17,052,115</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Director</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275,334</w:t>
            </w: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275,334</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Kevin Hettrich</w:t>
            </w:r>
          </w:p>
        </w:tc>
        <w:tc>
          <w:tcPr>
            <w:tcW w:w="66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2021</w:t>
            </w: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373,506</w:t>
            </w:r>
          </w:p>
        </w:tc>
        <w:tc>
          <w:tcPr>
            <w:tcW w:w="80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rPr>
              <w:t>3,418,434</w:t>
            </w:r>
          </w:p>
        </w:tc>
        <w:tc>
          <w:tcPr>
            <w:tcW w:w="1080" w:type="dxa"/>
            <w:vAlign w:val="bottom"/>
          </w:tcPr>
          <w:p>
            <w:pPr>
              <w:jc w:val="right"/>
              <w:ind w:right="14"/>
              <w:spacing w:after="0" w:line="198" w:lineRule="exact"/>
              <w:rPr>
                <w:sz w:val="20"/>
                <w:szCs w:val="20"/>
                <w:color w:val="auto"/>
              </w:rPr>
            </w:pPr>
            <w:r>
              <w:rPr>
                <w:rFonts w:ascii="Times New Roman" w:cs="Times New Roman" w:eastAsia="Times New Roman" w:hAnsi="Times New Roman"/>
                <w:sz w:val="18"/>
                <w:szCs w:val="18"/>
                <w:color w:val="auto"/>
              </w:rPr>
              <w:t>107,596</w:t>
            </w:r>
          </w:p>
        </w:tc>
        <w:tc>
          <w:tcPr>
            <w:tcW w:w="1320" w:type="dxa"/>
            <w:vAlign w:val="bottom"/>
          </w:tcPr>
          <w:p>
            <w:pPr>
              <w:jc w:val="right"/>
              <w:ind w:right="33"/>
              <w:spacing w:after="0" w:line="198" w:lineRule="exact"/>
              <w:rPr>
                <w:sz w:val="20"/>
                <w:szCs w:val="20"/>
                <w:color w:val="auto"/>
              </w:rPr>
            </w:pPr>
            <w:r>
              <w:rPr>
                <w:rFonts w:ascii="Times New Roman" w:cs="Times New Roman" w:eastAsia="Times New Roman" w:hAnsi="Times New Roman"/>
                <w:sz w:val="18"/>
                <w:szCs w:val="18"/>
                <w:color w:val="auto"/>
              </w:rPr>
              <w:t>21,120(6)</w:t>
            </w:r>
          </w:p>
        </w:tc>
        <w:tc>
          <w:tcPr>
            <w:tcW w:w="9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3,920,656</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310,096</w:t>
            </w:r>
          </w:p>
        </w:tc>
        <w:tc>
          <w:tcPr>
            <w:tcW w:w="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3,344,000</w:t>
            </w: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63,000(5)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3,717,096</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2019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287,783</w:t>
            </w:r>
          </w:p>
        </w:tc>
        <w:tc>
          <w:tcPr>
            <w:tcW w:w="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601,167</w:t>
            </w: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888,950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Celina Mikolajczak</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154,808</w:t>
            </w: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2,129,546(8)</w:t>
            </w:r>
          </w:p>
        </w:tc>
        <w:tc>
          <w:tcPr>
            <w:tcW w:w="1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6,836,887</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39,259</w:t>
            </w:r>
          </w:p>
        </w:tc>
        <w:tc>
          <w:tcPr>
            <w:tcW w:w="13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8,444(9)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9,160,500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Manufacturing Officer (7)</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2020</w:t>
            </w: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Dr. Tim Holme,</w:t>
            </w:r>
          </w:p>
        </w:tc>
        <w:tc>
          <w:tcPr>
            <w:tcW w:w="200" w:type="dxa"/>
            <w:vAlign w:val="bottom"/>
          </w:tcPr>
          <w:p>
            <w:pPr>
              <w:spacing w:after="0"/>
              <w:rPr>
                <w:sz w:val="17"/>
                <w:szCs w:val="17"/>
                <w:color w:val="auto"/>
              </w:rPr>
            </w:pPr>
          </w:p>
        </w:tc>
        <w:tc>
          <w:tcPr>
            <w:tcW w:w="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2021</w:t>
            </w: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373,716</w:t>
            </w:r>
          </w:p>
        </w:tc>
        <w:tc>
          <w:tcPr>
            <w:tcW w:w="80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rPr>
              <w:t>6,836,887</w:t>
            </w:r>
          </w:p>
        </w:tc>
        <w:tc>
          <w:tcPr>
            <w:tcW w:w="1080" w:type="dxa"/>
            <w:vAlign w:val="bottom"/>
          </w:tcPr>
          <w:p>
            <w:pPr>
              <w:jc w:val="right"/>
              <w:ind w:right="14"/>
              <w:spacing w:after="0" w:line="198" w:lineRule="exact"/>
              <w:rPr>
                <w:sz w:val="20"/>
                <w:szCs w:val="20"/>
                <w:color w:val="auto"/>
              </w:rPr>
            </w:pPr>
            <w:r>
              <w:rPr>
                <w:rFonts w:ascii="Times New Roman" w:cs="Times New Roman" w:eastAsia="Times New Roman" w:hAnsi="Times New Roman"/>
                <w:sz w:val="18"/>
                <w:szCs w:val="18"/>
                <w:color w:val="auto"/>
              </w:rPr>
              <w:t>107,734</w:t>
            </w:r>
          </w:p>
        </w:tc>
        <w:tc>
          <w:tcPr>
            <w:tcW w:w="1320" w:type="dxa"/>
            <w:vAlign w:val="bottom"/>
          </w:tcPr>
          <w:p>
            <w:pPr>
              <w:jc w:val="right"/>
              <w:ind w:right="33"/>
              <w:spacing w:after="0" w:line="198" w:lineRule="exact"/>
              <w:rPr>
                <w:sz w:val="20"/>
                <w:szCs w:val="20"/>
                <w:color w:val="auto"/>
              </w:rPr>
            </w:pPr>
            <w:r>
              <w:rPr>
                <w:rFonts w:ascii="Times New Roman" w:cs="Times New Roman" w:eastAsia="Times New Roman" w:hAnsi="Times New Roman"/>
                <w:sz w:val="18"/>
                <w:szCs w:val="18"/>
                <w:color w:val="auto"/>
              </w:rPr>
              <w:t>252,259(4)</w:t>
            </w:r>
          </w:p>
        </w:tc>
        <w:tc>
          <w:tcPr>
            <w:tcW w:w="9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7,570,596</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285,683</w:t>
            </w:r>
          </w:p>
        </w:tc>
        <w:tc>
          <w:tcPr>
            <w:tcW w:w="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1,672,000</w:t>
            </w: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58,300(5)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2,015,983</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2019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275,131</w:t>
            </w:r>
          </w:p>
        </w:tc>
        <w:tc>
          <w:tcPr>
            <w:tcW w:w="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275,131</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Mohit Singh,</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382,096</w:t>
            </w: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6,836,887</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109,326</w:t>
            </w:r>
          </w:p>
        </w:tc>
        <w:tc>
          <w:tcPr>
            <w:tcW w:w="13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7,328,309</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Development Officer</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361,779</w:t>
            </w: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1,672,000</w:t>
            </w:r>
          </w:p>
        </w:tc>
        <w:tc>
          <w:tcPr>
            <w:tcW w:w="1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73,500(5)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2,107,279</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350,136</w:t>
            </w: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905,627</w:t>
            </w:r>
          </w:p>
        </w:tc>
        <w:tc>
          <w:tcPr>
            <w:tcW w:w="10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1,255,763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20" w:hanging="424"/>
        <w:spacing w:after="0" w:line="255"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grant-date fair value of awards granted to each named executive officer, computed in accordance with the Financial Accounting Standards Board’s (“FASB”) Accounting Standards Codification (“ASC”) Topic 718. See Notes 2 and 10 to the audited consolidated financial statements in the Original Filing for a discussion of the assumptions made by us in determining the grant-date fair value of our equity awards.</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the aggregate grant date fair value of the option awards granted to each named executive officer computed in accordance with FASB ASC Topic 718. For 2021, the amounts reported relate to options under the EPA Program payable upon the five tranches described in the section titled “Equity Compensation—Extraordinary Performance Award Program” and are based upon the tranches currently probable to vest as of the grant date. These amounts do not correspond to the actual value that will be recognized by our named executive officers. The assumptions used in the valuation of these awards are consistent with the valuation methodologies specified in Notes 2 and 10 to the audited consolidated financial statements in the Original Filing. The grant date fair value of the options assuming achievement of the maximum level of performance (achievement of all five tranches) are, for Mr. Singh, $172,854,157; for Mr. Hettrich, $8,642,695; for Ms. Mikolajczak, $17,285,409; for Mr. Holme, $17,285,409; and for Dr. Singh, $17,285,409.</w:t>
      </w:r>
    </w:p>
    <w:p>
      <w:pPr>
        <w:spacing w:after="0" w:line="3" w:lineRule="exact"/>
        <w:rPr>
          <w:rFonts w:ascii="Times New Roman" w:cs="Times New Roman" w:eastAsia="Times New Roman" w:hAnsi="Times New Roman"/>
          <w:sz w:val="18"/>
          <w:szCs w:val="18"/>
          <w:color w:val="auto"/>
        </w:rPr>
      </w:pPr>
    </w:p>
    <w:p>
      <w:pPr>
        <w:ind w:left="540" w:right="42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reflect payments to these named executive officers pursuant to our 2021 Bonus Plan as described above in the section entitled “Compensation Discussion and Analysis—2021 Bonus Plan Design and Achievement.</w:t>
      </w:r>
    </w:p>
    <w:p>
      <w:pPr>
        <w:jc w:val="both"/>
        <w:ind w:left="540" w:right="2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reflect HSR Act related payments made on behalf of Mr. Singh and Dr. Holme (and related tax gross ups) as described above in the section titled “Compensation Discussion and Analysis—Perquisites”. The amounts shown are $125,000 for each of Mr. Singh and Dr. Holme, and an additional payment of $127,235 and $127,259, respectively.</w:t>
      </w:r>
    </w:p>
    <w:p>
      <w:pPr>
        <w:spacing w:after="0" w:line="1" w:lineRule="exact"/>
        <w:rPr>
          <w:rFonts w:ascii="Times New Roman" w:cs="Times New Roman" w:eastAsia="Times New Roman" w:hAnsi="Times New Roman"/>
          <w:sz w:val="18"/>
          <w:szCs w:val="18"/>
          <w:color w:val="auto"/>
        </w:rPr>
      </w:pPr>
    </w:p>
    <w:p>
      <w:pPr>
        <w:ind w:left="540" w:right="78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reflect payments made in order to secure such named executive officer’s execution of an employee lock-up agreement in connection with the Company’s entry into the Business Combination Agreement.</w:t>
      </w: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the fair value of certain financial planning fringe benefit payment services provided to Mr. Hettrich.</w:t>
      </w:r>
    </w:p>
    <w:p>
      <w:pPr>
        <w:spacing w:after="0" w:line="9"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Mikolajczak joined as our Vice President of Manufacturing Engineering in July 2021 and was promoted to Chief Manufacturing Officer in November 2021. Ms. Mikolajczak previously served as a member of our board of directors from April 2021 until resigning in May 2021 to accept her offer of employment.</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an award of restricted stock units granted on April 13, 2021, with a grant-date fair value of $261,697. Upon Ms. Mikolajczak’s resignation from our board of directors, this award was automatically terminated and forfeited in full as no shares underlying this award had vested as of her resignation date.</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outside director fees paid to Ms. Mikolajczak for her service as an outside director prior to her resignation.</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82"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Grants of Plan-Based Awards in Fiscal Year 2021 Table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each grant of a plan-based award made to a named executive officer in fiscal year 2021 under any plan.</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9"/>
        </w:trPr>
        <w:tc>
          <w:tcPr>
            <w:tcW w:w="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Estimated Future Payments Under Equity</w:t>
            </w:r>
          </w:p>
        </w:tc>
        <w:tc>
          <w:tcPr>
            <w:tcW w:w="2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 Plan Awards</w:t>
            </w:r>
          </w:p>
        </w:tc>
        <w:tc>
          <w:tcPr>
            <w:tcW w:w="20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9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Exercise or</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Date Fair</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vMerge w:val="restart"/>
          </w:tcPr>
          <w:p>
            <w:pPr>
              <w:jc w:val="center"/>
              <w:ind w:right="240"/>
              <w:spacing w:after="0" w:line="110" w:lineRule="exact"/>
              <w:rPr>
                <w:sz w:val="20"/>
                <w:szCs w:val="20"/>
                <w:color w:val="auto"/>
              </w:rPr>
            </w:pPr>
            <w:r>
              <w:rPr>
                <w:rFonts w:ascii="Times New Roman" w:cs="Times New Roman" w:eastAsia="Times New Roman" w:hAnsi="Times New Roman"/>
                <w:sz w:val="12"/>
                <w:szCs w:val="12"/>
                <w:b w:val="1"/>
                <w:bCs w:val="1"/>
                <w:color w:val="auto"/>
              </w:rPr>
              <w:t>Awards:</w:t>
            </w:r>
          </w:p>
        </w:tc>
        <w:tc>
          <w:tcPr>
            <w:tcW w:w="900" w:type="dxa"/>
            <w:vAlign w:val="bottom"/>
            <w:gridSpan w:val="2"/>
            <w:vMerge w:val="restart"/>
          </w:tcPr>
          <w:p>
            <w:pPr>
              <w:jc w:val="center"/>
              <w:ind w:right="100"/>
              <w:spacing w:after="0" w:line="110" w:lineRule="exact"/>
              <w:rPr>
                <w:sz w:val="20"/>
                <w:szCs w:val="20"/>
                <w:color w:val="auto"/>
              </w:rPr>
            </w:pPr>
            <w:r>
              <w:rPr>
                <w:rFonts w:ascii="Times New Roman" w:cs="Times New Roman" w:eastAsia="Times New Roman" w:hAnsi="Times New Roman"/>
                <w:sz w:val="12"/>
                <w:szCs w:val="12"/>
                <w:b w:val="1"/>
                <w:bCs w:val="1"/>
                <w:color w:val="auto"/>
              </w:rPr>
              <w:t>Awards:</w:t>
            </w:r>
          </w:p>
        </w:tc>
        <w:tc>
          <w:tcPr>
            <w:tcW w:w="960" w:type="dxa"/>
            <w:vAlign w:val="bottom"/>
            <w:gridSpan w:val="3"/>
            <w:vMerge w:val="continue"/>
          </w:tcPr>
          <w:p>
            <w:pPr>
              <w:spacing w:after="0"/>
              <w:rPr>
                <w:sz w:val="2"/>
                <w:szCs w:val="2"/>
                <w:color w:val="auto"/>
              </w:rPr>
            </w:pPr>
          </w:p>
        </w:tc>
        <w:tc>
          <w:tcPr>
            <w:tcW w:w="1020" w:type="dxa"/>
            <w:vAlign w:val="bottom"/>
            <w:gridSpan w:val="2"/>
            <w:vMerge w:val="restart"/>
          </w:tcPr>
          <w:p>
            <w:pPr>
              <w:jc w:val="center"/>
              <w:ind w:right="60"/>
              <w:spacing w:after="0" w:line="110" w:lineRule="exact"/>
              <w:rPr>
                <w:sz w:val="20"/>
                <w:szCs w:val="20"/>
                <w:color w:val="auto"/>
              </w:rPr>
            </w:pPr>
            <w:r>
              <w:rPr>
                <w:rFonts w:ascii="Times New Roman" w:cs="Times New Roman" w:eastAsia="Times New Roman" w:hAnsi="Times New Roman"/>
                <w:sz w:val="12"/>
                <w:szCs w:val="12"/>
                <w:b w:val="1"/>
                <w:bCs w:val="1"/>
                <w:color w:val="auto"/>
              </w:rPr>
              <w:t>Value of</w:t>
            </w:r>
          </w:p>
        </w:tc>
        <w:tc>
          <w:tcPr>
            <w:tcW w:w="0" w:type="dxa"/>
            <w:vAlign w:val="bottom"/>
          </w:tcPr>
          <w:p>
            <w:pPr>
              <w:spacing w:after="0"/>
              <w:rPr>
                <w:sz w:val="1"/>
                <w:szCs w:val="1"/>
                <w:color w:val="auto"/>
              </w:rPr>
            </w:pPr>
          </w:p>
        </w:tc>
      </w:tr>
      <w:tr>
        <w:trPr>
          <w:trHeight w:val="63"/>
        </w:trPr>
        <w:tc>
          <w:tcPr>
            <w:tcW w:w="3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Base Price</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Stock and</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Committee</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 Option</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149"/>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1720" w:type="dxa"/>
            <w:vAlign w:val="bottom"/>
            <w:vMerge w:val="restart"/>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Approval</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8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20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Stock or</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Subject to</w:t>
            </w: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80"/>
        </w:trPr>
        <w:tc>
          <w:tcPr>
            <w:tcW w:w="340" w:type="dxa"/>
            <w:vAlign w:val="bottom"/>
            <w:tcBorders>
              <w:bottom w:val="single" w:sz="8" w:color="auto"/>
            </w:tcBorders>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Date</w:t>
            </w:r>
          </w:p>
        </w:tc>
        <w:tc>
          <w:tcPr>
            <w:tcW w:w="760" w:type="dxa"/>
            <w:vAlign w:val="bottom"/>
          </w:tcPr>
          <w:p>
            <w:pPr>
              <w:jc w:val="right"/>
              <w:ind w:right="219"/>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8"/>
              </w:rPr>
              <w:t>Units(2) (#)</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100" w:type="dxa"/>
            <w:vAlign w:val="bottom"/>
          </w:tcPr>
          <w:p>
            <w:pPr>
              <w:spacing w:after="0"/>
              <w:rPr>
                <w:sz w:val="15"/>
                <w:szCs w:val="15"/>
                <w:color w:val="auto"/>
              </w:rPr>
            </w:pPr>
          </w:p>
        </w:tc>
        <w:tc>
          <w:tcPr>
            <w:tcW w:w="86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($/Sh)</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(3)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Jagdeep Singh</w:t>
            </w:r>
          </w:p>
        </w:tc>
        <w:tc>
          <w:tcPr>
            <w:tcW w:w="8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77"/>
              </w:rPr>
              <w:t>12/16/2021(1)</w:t>
            </w: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77"/>
              </w:rPr>
              <w:t>10/08/2021(1)</w:t>
            </w: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8,399,133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23.04</w:t>
            </w: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172,854,157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Hettrich</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12/16/2021(1)</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10/08/2021(1)</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419,956</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23.04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8,642,695</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Celina Mikolajczak</w:t>
            </w:r>
          </w:p>
        </w:tc>
        <w:tc>
          <w:tcPr>
            <w:tcW w:w="1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08/05/2021</w:t>
            </w:r>
          </w:p>
        </w:tc>
        <w:tc>
          <w:tcPr>
            <w:tcW w:w="1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08/05/2021</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85,251</w:t>
            </w:r>
          </w:p>
        </w:tc>
        <w:tc>
          <w:tcPr>
            <w:tcW w:w="9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21.91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1,867,849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12/16/2021(1)</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10/08/2021(1)</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839,913</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23.04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17,285,409</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Timothy Holme</w:t>
            </w:r>
          </w:p>
        </w:tc>
        <w:tc>
          <w:tcPr>
            <w:tcW w:w="1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12/16/2021(1)</w:t>
            </w:r>
          </w:p>
        </w:tc>
        <w:tc>
          <w:tcPr>
            <w:tcW w:w="1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10/08/2021(1)</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839,913</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23.04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17,285,409</w:t>
            </w:r>
          </w:p>
        </w:tc>
        <w:tc>
          <w:tcPr>
            <w:tcW w:w="0" w:type="dxa"/>
            <w:vAlign w:val="bottom"/>
          </w:tcPr>
          <w:p>
            <w:pPr>
              <w:spacing w:after="0"/>
              <w:rPr>
                <w:sz w:val="1"/>
                <w:szCs w:val="1"/>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Mohit Singh</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12/16/2021(1)</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10/08/2021(1)</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839,913</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23.04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17,285,409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right="20" w:hanging="424"/>
        <w:spacing w:after="0" w:line="251"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relate to the number of shares underlying the EPA Program stock option awards payable upon the achievement of the five tranches described in the section titled “—Equity Compensation—Extraordinary Performance Award Program” and based on the aggregate grant-date fair value of the awards computed in accordance with the FASB ASC Topic 718. Each of the five tranches vest only if we first achieve one of eleven specified business milestones, and then achieve the next applicable stock price target (i.e., $60, $120, $180, $240 and $300), within 10 years of the initial grants. In order to vest in any tranche, the participant generally must continue to provide service through the date of vesting in the same position, or a similar or higher role, as when the options under the EPA Program are granted. The EPA Program was designed to incentivize the achievement of ambitious long-term financial and operational objectives leading to large scale deployment of our battery technology, some of which would take many years, if at all, to be achieved. If any options have not vested by the end of the term of the option award, they will be forfeited and its recipients will not realize the value of such options. As of the date of this filing, none of the business milestones or stock price targets have been achieved, and consequently, no shares have vested under the EPA Program. Following vesting, the actual receipt of any shares by award recipients will further be subject to their payment of the exercise price of $23.04 per share. After our compensation committee approved the EPA Program awards on October 8, 2021, they were granted on December 16, 2021 following stockholder approval. Each named executive officer on this table received one EPA Program award grant in fiscal year 2021. See “—Equity Compensation—Extraordinary Performance Award Program” and “—Executive Compensation—Potential Payments upon Termination or Change in Control” for a further description of certain terms relating to these awards.</w:t>
      </w:r>
    </w:p>
    <w:p>
      <w:pPr>
        <w:spacing w:after="0" w:line="11"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awards of RSUs granted under the 2020 Equity Incentive Plan to Ms. Mikolajczak. 25% of the RSUs are scheduled to vest on our first quarterly vesting date following the one-year anniversary of August 15, 2021, and 6.25% of the RSUs are scheduled to vest each quarter thereafter, subject to Ms. Mikolajczak’s continuous service through each such date. See “—Executive Compensation—Potential Payments upon Termination or Change in Control” for a further description of certain terms relating to these awards.</w:t>
      </w:r>
    </w:p>
    <w:p>
      <w:pPr>
        <w:spacing w:after="0" w:line="1"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grant-date fair value of the award computed in accordance with the FASB ASC Topic 718. See Notes 2 and 10 to the audited consolidated financial statements in the Original Filing for a discussion of the assumptions made by us in determining the grant-date fair value of our equity awards.</w:t>
      </w:r>
    </w:p>
    <w:p>
      <w:pPr>
        <w:spacing w:after="0" w:line="1" w:lineRule="exact"/>
        <w:rPr>
          <w:rFonts w:ascii="Times New Roman" w:cs="Times New Roman" w:eastAsia="Times New Roman" w:hAnsi="Times New Roman"/>
          <w:sz w:val="18"/>
          <w:szCs w:val="18"/>
          <w:color w:val="auto"/>
        </w:rPr>
      </w:pPr>
    </w:p>
    <w:p>
      <w:pPr>
        <w:ind w:left="540" w:right="400" w:hanging="424"/>
        <w:spacing w:after="0" w:line="26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award of restricted stock units granted on April 13, 2021. Upon Ms. Mikolajczak’s resignation from our board of directors, this award was automatically terminated and forfeited in full as no shares underlying this award had vested as of her resignation date.</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82"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2021 Year End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our named executive officers as of December 31, 2021.</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20" w:type="dxa"/>
            <w:vAlign w:val="bottom"/>
            <w:gridSpan w:val="2"/>
            <w:vMerge w:val="continue"/>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30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2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11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(#)(1)(2)</w:t>
            </w:r>
          </w:p>
        </w:tc>
        <w:tc>
          <w:tcPr>
            <w:tcW w:w="40" w:type="dxa"/>
            <w:vAlign w:val="bottom"/>
          </w:tcPr>
          <w:p>
            <w:pPr>
              <w:spacing w:after="0"/>
              <w:rPr>
                <w:sz w:val="15"/>
                <w:szCs w:val="15"/>
                <w:color w:val="auto"/>
              </w:rPr>
            </w:pPr>
          </w:p>
        </w:tc>
        <w:tc>
          <w:tcPr>
            <w:tcW w:w="1080" w:type="dxa"/>
            <w:vAlign w:val="bottom"/>
            <w:gridSpan w:val="2"/>
          </w:tcPr>
          <w:p>
            <w:pPr>
              <w:jc w:val="center"/>
              <w:ind w:left="114"/>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5"/>
                <w:szCs w:val="15"/>
                <w:color w:val="auto"/>
              </w:rPr>
            </w:pPr>
          </w:p>
        </w:tc>
        <w:tc>
          <w:tcPr>
            <w:tcW w:w="5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11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1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98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Vested ($)(3)</w:t>
            </w:r>
          </w:p>
        </w:tc>
        <w:tc>
          <w:tcPr>
            <w:tcW w:w="0" w:type="dxa"/>
            <w:vAlign w:val="bottom"/>
          </w:tcPr>
          <w:p>
            <w:pPr>
              <w:spacing w:after="0"/>
              <w:rPr>
                <w:sz w:val="1"/>
                <w:szCs w:val="1"/>
                <w:color w:val="auto"/>
              </w:rPr>
            </w:pPr>
          </w:p>
        </w:tc>
      </w:tr>
      <w:tr>
        <w:trPr>
          <w:trHeight w:val="203"/>
        </w:trPr>
        <w:tc>
          <w:tcPr>
            <w:tcW w:w="3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Jagdeep Singh(4)(6)</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04/08/2013</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2,010,874</w:t>
            </w: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0.64</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7"/>
              </w:rPr>
              <w:t>04/08/2023</w:t>
            </w: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6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Jagdeep Singh(5)(6)</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08/19/2016</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2,499,520</w:t>
            </w:r>
          </w:p>
        </w:tc>
        <w:tc>
          <w:tcPr>
            <w:tcW w:w="2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08/19/2026</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Jagdeep Singh(6)(7)</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03/15/2017</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6,498,753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w:t>
            </w: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03/15/2027</w:t>
            </w:r>
          </w:p>
        </w:tc>
        <w:tc>
          <w:tcPr>
            <w:tcW w:w="1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Jagdeep Singh(6)(8)</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08/07/2020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2,764,950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61,354,241</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Jagdeep Singh(9)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12/16/2021</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8,399,133</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23.04</w:t>
            </w: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12/16/2031</w:t>
            </w:r>
          </w:p>
        </w:tc>
        <w:tc>
          <w:tcPr>
            <w:tcW w:w="1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Hettrich(6)(10)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05/03/2016</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265,680</w:t>
            </w:r>
          </w:p>
        </w:tc>
        <w:tc>
          <w:tcPr>
            <w:tcW w:w="2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05/03/2026</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Hettrich(6)(7)</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03/15/2017</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467,551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w:t>
            </w: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03/15/2027</w:t>
            </w:r>
          </w:p>
        </w:tc>
        <w:tc>
          <w:tcPr>
            <w:tcW w:w="1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Hettrich(6)(11)</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06/05/2019</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251,360</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150,814</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2.38</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06/05/2029</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Hettrich(6)(12)</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08/07/2020</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469,206</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10,411,681</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Hettrich(9)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12/16/2021</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419,956</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23.04</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12/16/2031</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Celina Mikolajczak(9)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12/16/2021</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839,913</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23.04</w:t>
            </w: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12/16/2031</w:t>
            </w:r>
          </w:p>
        </w:tc>
        <w:tc>
          <w:tcPr>
            <w:tcW w:w="1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Celina Mikolajczak(9)(13)</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08/05/2021</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85,251</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1,891,720</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Timothy Holme(4)(6)</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04/08/2013</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333,804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0.64</w:t>
            </w: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04/08/2023</w:t>
            </w:r>
          </w:p>
        </w:tc>
        <w:tc>
          <w:tcPr>
            <w:tcW w:w="1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Timothy Holme(14)</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02/27/2015</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333,804</w:t>
            </w:r>
          </w:p>
        </w:tc>
        <w:tc>
          <w:tcPr>
            <w:tcW w:w="2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02/27/2025</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Timothy Holme(6)(7)</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03/15/2017</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667,610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w:t>
            </w: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03/15/2027</w:t>
            </w:r>
          </w:p>
        </w:tc>
        <w:tc>
          <w:tcPr>
            <w:tcW w:w="1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Timothy Holme(6)(12)</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08/07/2020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234,599</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5,205,752</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Timothy Holme(9)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12/16/2021</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839,913</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23.04</w:t>
            </w: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12/16/2031</w:t>
            </w:r>
          </w:p>
        </w:tc>
        <w:tc>
          <w:tcPr>
            <w:tcW w:w="1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Mohit Singh(6)(15)</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06/17/2015</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709,926</w:t>
            </w:r>
          </w:p>
        </w:tc>
        <w:tc>
          <w:tcPr>
            <w:tcW w:w="2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06/17/2025</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Mohit Singh(6)(7)</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03/15/2017</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1,335,220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w:t>
            </w: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03/15/2027</w:t>
            </w:r>
          </w:p>
        </w:tc>
        <w:tc>
          <w:tcPr>
            <w:tcW w:w="1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Mohit Singh(6)(11)</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06/05/2019</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377,040</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226,222</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2.38</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06/05/2029</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Mohit Singh(6)(12)</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08/07/2020</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234,599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5,205,752</w:t>
            </w: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Mohit Singh(9)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12/16/2021</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839,913</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23.04</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12/16/2031</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that were granted prior to 2021 were granted pursuant to the 2010 Equity Incentive Plan.</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granted in 2021 were EPA Program awards and granted pursuant to the 2020 Equity Incentive Plan.</w:t>
      </w:r>
    </w:p>
    <w:p>
      <w:pPr>
        <w:spacing w:after="0" w:line="9"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unvested shares is calculated by multiplying the number of unvested shares held by the applicable named executive officer by the closing market price of our Class A Common Stock on the NYSE on December 31, 2021, which was $22.19 per share.</w:t>
      </w: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3/4th of these option shares vested on February 13, 2016, and the remainder were vested by February 13, 2017.</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 shares vested by December 10, 2018.</w:t>
      </w:r>
    </w:p>
    <w:p>
      <w:pPr>
        <w:spacing w:after="0" w:line="9" w:lineRule="exact"/>
        <w:rPr>
          <w:rFonts w:ascii="Times New Roman" w:cs="Times New Roman" w:eastAsia="Times New Roman" w:hAnsi="Times New Roman"/>
          <w:sz w:val="18"/>
          <w:szCs w:val="18"/>
          <w:color w:val="auto"/>
        </w:rPr>
      </w:pPr>
    </w:p>
    <w:p>
      <w:pPr>
        <w:ind w:left="540" w:right="54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is eligible for accelerated vesting in the event the named executive officer’s employment is terminated in a qualifying termination in connection with a change in control. The acceleration rights are described below under “Executive Compensation—Potential Payments upon Termination or Change in Control.”</w:t>
      </w:r>
    </w:p>
    <w:p>
      <w:pPr>
        <w:spacing w:after="0" w:line="1"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 shares vested as to 1/48th of the total shares subject to the option on May 1, 2017, and the remainder vested and will vest on each monthly anniversary thereafter, subject to the optionee’s continued service through each vesting date.</w:t>
      </w:r>
    </w:p>
    <w:p>
      <w:pPr>
        <w:ind w:left="540" w:right="10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1/8th of the RSUs vested on February 15, 2021 and 1/16th vest quarterly thereafter, subject to the holder’s continued service through each vesting date.</w:t>
      </w:r>
    </w:p>
    <w:p>
      <w:pPr>
        <w:ind w:left="540" w:right="38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EPA Program award vests based on attainment of certain performance conditions described in “Compensation Discussion and Analysis - Extraordinary Performance Award Program.”</w:t>
      </w: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 shares vested on April 27, 2019.</w:t>
      </w:r>
    </w:p>
    <w:p>
      <w:pPr>
        <w:spacing w:after="0" w:line="9"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 shares vested as to 1/48th of the total shares subject to the option on July 5, 2019, and the remainder vested and will vest on each monthly anniversary thereafter, subject to the optionee’s continued service through each vesting date.</w:t>
      </w:r>
    </w:p>
    <w:p>
      <w:pPr>
        <w:ind w:left="540" w:right="32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1/6th of the RSUs vested on February 15, 2021 and 1/12th vest quarterly thereafter, subject to the holder’s continued service as of each vesting date.</w:t>
      </w:r>
    </w:p>
    <w:p>
      <w:pPr>
        <w:ind w:left="540" w:right="8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1/4th of the RSUs will vest on August 15, 2022 and 1/16th vest quarterly thereafter, subject to the holder’s continued service through each vesting date.</w:t>
      </w: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 shares vested on February 27, 2018.</w:t>
      </w:r>
    </w:p>
    <w:p>
      <w:pPr>
        <w:spacing w:after="0" w:line="9" w:lineRule="exact"/>
        <w:rPr>
          <w:sz w:val="20"/>
          <w:szCs w:val="20"/>
          <w:color w:val="auto"/>
        </w:rPr>
      </w:pPr>
    </w:p>
    <w:p>
      <w:pPr>
        <w:ind w:left="5540" w:right="3220" w:hanging="5424"/>
        <w:spacing w:after="0" w:line="433" w:lineRule="auto"/>
        <w:tabs>
          <w:tab w:leader="none" w:pos="5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1/4th of these option shares vested on June 17, 2016, and the remainder were vested by June 17, 2019. 28</w:t>
      </w:r>
    </w:p>
    <w:p>
      <w:pPr>
        <w:sectPr>
          <w:pgSz w:w="11900" w:h="16838" w:orient="portrait"/>
          <w:cols w:equalWidth="0" w:num="1">
            <w:col w:w="11140"/>
          </w:cols>
          <w:pgMar w:left="320" w:top="482" w:right="4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Fiscal Year 2021</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the aggregate number of shares of our Class A Common Stock for which stock options were exercised and which were acquired upon the vesting of RSU awards during fiscal year 2021 by each of our named executive officers.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18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10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2040" w:type="dxa"/>
            <w:vAlign w:val="bottom"/>
            <w:tcBorders>
              <w:bottom w:val="single" w:sz="8" w:color="auto"/>
            </w:tcBorders>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80" w:type="dxa"/>
            <w:vAlign w:val="bottom"/>
            <w:gridSpan w:val="2"/>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1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 on</w:t>
            </w:r>
          </w:p>
        </w:tc>
        <w:tc>
          <w:tcPr>
            <w:tcW w:w="600" w:type="dxa"/>
            <w:vAlign w:val="bottom"/>
          </w:tcPr>
          <w:p>
            <w:pPr>
              <w:spacing w:after="0"/>
              <w:rPr>
                <w:sz w:val="10"/>
                <w:szCs w:val="10"/>
                <w:color w:val="auto"/>
              </w:rPr>
            </w:pPr>
          </w:p>
        </w:tc>
        <w:tc>
          <w:tcPr>
            <w:tcW w:w="2040" w:type="dxa"/>
            <w:vAlign w:val="bottom"/>
            <w:gridSpan w:val="2"/>
          </w:tcPr>
          <w:p>
            <w:pPr>
              <w:jc w:val="center"/>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 on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040" w:type="dxa"/>
            <w:vAlign w:val="bottom"/>
            <w:gridSpan w:val="2"/>
            <w:vMerge w:val="continue"/>
          </w:tcPr>
          <w:p>
            <w:pPr>
              <w:spacing w:after="0"/>
              <w:rPr>
                <w:sz w:val="13"/>
                <w:szCs w:val="13"/>
                <w:color w:val="auto"/>
              </w:rPr>
            </w:pPr>
          </w:p>
        </w:tc>
        <w:tc>
          <w:tcPr>
            <w:tcW w:w="2180" w:type="dxa"/>
            <w:vAlign w:val="bottom"/>
            <w:gridSpan w:val="2"/>
          </w:tcPr>
          <w:p>
            <w:pPr>
              <w:jc w:val="right"/>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Acquired on Exercises (#)</w:t>
            </w:r>
          </w:p>
        </w:tc>
        <w:tc>
          <w:tcPr>
            <w:tcW w:w="170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Exercise ($)</w:t>
            </w:r>
          </w:p>
        </w:tc>
        <w:tc>
          <w:tcPr>
            <w:tcW w:w="204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Acquired on Vesting (#)</w:t>
            </w:r>
          </w:p>
        </w:tc>
        <w:tc>
          <w:tcPr>
            <w:tcW w:w="116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Vesting ($)</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Jagdeep Singh</w:t>
            </w:r>
          </w:p>
        </w:tc>
        <w:tc>
          <w:tcPr>
            <w:tcW w:w="1580" w:type="dxa"/>
            <w:vAlign w:val="bottom"/>
            <w:shd w:val="clear" w:color="auto" w:fill="CCEEFF"/>
          </w:tcPr>
          <w:p>
            <w:pPr>
              <w:ind w:left="13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ind w:left="8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1,256,800</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47,896,648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Hettrich</w:t>
            </w:r>
          </w:p>
        </w:tc>
        <w:tc>
          <w:tcPr>
            <w:tcW w:w="21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335,144</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13,478,733</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Celina Mikolajczak</w:t>
            </w:r>
          </w:p>
        </w:tc>
        <w:tc>
          <w:tcPr>
            <w:tcW w:w="21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Timothy Holme</w:t>
            </w:r>
          </w:p>
        </w:tc>
        <w:tc>
          <w:tcPr>
            <w:tcW w:w="21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167,576</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6,386,401</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Mohit Singh</w:t>
            </w:r>
          </w:p>
        </w:tc>
        <w:tc>
          <w:tcPr>
            <w:tcW w:w="2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1,642,794</w:t>
            </w:r>
          </w:p>
        </w:tc>
        <w:tc>
          <w:tcPr>
            <w:tcW w:w="17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42,333,207</w:t>
            </w:r>
          </w:p>
        </w:tc>
        <w:tc>
          <w:tcPr>
            <w:tcW w:w="2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167,576</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6,739,660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Benefits and Perquisites</w:t>
      </w:r>
    </w:p>
    <w:p>
      <w:pPr>
        <w:spacing w:after="0" w:line="119"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We provide benefits to our named executive officers on the same basis as provided to all of our employees, including health, dental and vision insurance; life insurance; accidental death and dismemberment insurance; critical illness insurance; short-and long-term disability insurance; a health savings account; a wellness incentive; and a tax-qualified Section 401(k) plan for which no match by us is provided. We provide certain limited perquisites and other personal benefits to our named executive officers and certain senior employees, as described above in the section titled “Perquisites.”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Retirement Benefits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provide a tax-qualified Section 401(k) plan for all employees, including the named executive officers. We do not provide a match for participants’ elective contributions to the 401(k) plan, nor do we provide to employees, including our named executive officers, any other retirement benefits, including but not limited to tax-qualified defined benefit plans, supplemental executive retirement plans and nonqualified defined contribution plans.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Prior to 2021, we did not have a formal plan with respect to severance benefits payable to our named executive officers and other key employees. From time to time, we granted equity awards to, or entered into offer letters with, certain key employees, including our named executive officers, that provide for accelerated vesting of equity awards in the event such key employee’s employment was involuntarily terminated under certain circumstances related to a change in control.</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March 2021, our board of directors approved, and we entered into change in control and severance agreements (each, a “CIC Agreement”) with each of our named executive officers, which require us to make specific payments and benefits in connection with the termination of such named executive officers’ employment under certain circumstances. These CIC Agreements superseded any other agreement or arrangement relating to severance payments and benefits with these named executive officers or any terms of their option agreements related to vesting acceleration or other similar severance-related terms.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CIC Agreements will remain in effect for an initial term of three years. At the end of the initial term, each CIC Agreement will automatically renew for an additional one-year period unless either party provides notice of nonrenewal within 90 days prior to the date of the automatic renewal. The CIC Agreements also acknowledge that each of these named executive officers is an at-will employee, whose employment can be terminated at any time. In order to receive the severance payments and benefits described below, each of these named executive officers is obligated to execute a release of claims against us.</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 the event of a termination of employment without “cause” (as defined in the CIC Agreement) outside of the “change in control period” (as generally defined below), such named executive officer will receive the following:</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base salary for 6 months, or 12 months for our CEO;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 of each named executive officer’s potential bonus, in the discretion of our compensation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COBRA benefits for up to 6 months, or 12 months for our CEO;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acceleration of equity awards.</w:t>
      </w:r>
    </w:p>
    <w:p>
      <w:pPr>
        <w:sectPr>
          <w:pgSz w:w="11900" w:h="16838" w:orient="portrait"/>
          <w:cols w:equalWidth="0" w:num="1">
            <w:col w:w="11140"/>
          </w:cols>
          <w:pgMar w:left="320" w:top="482" w:right="439" w:bottom="1440" w:gutter="0" w:footer="0" w:header="0"/>
        </w:sectPr>
      </w:pP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82" w:right="4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the event of a termination of employment without “cause” or a resignation for “good reason” (as defined in the CIC Agreement) during the “change in control period,” such named executive officer will receive the following:</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of 12 months of base salary;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100% of the potential bonus;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COBRA benefits for up to 12 months;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acceleration of equity awards.</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the event any payment to one of these named executive officers is subject to the excise tax imposed by Section 4999 of the Code (as a result of a payment being classified as a “parachute payment” under Section 280G of the Code), such named executive officer will be entitled to receive such payment as would entitle him or her to receive the greatest after-tax benefit of either the full payment or a lesser payment which would result in no portion of such severance benefits being subject to excise tax.</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the purpose of the change in control agreements, “change in control period” means generally the period beginning three months prior to, and ending 12 months following, a change in control of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Outside Director Compensation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2021, we had no formal arrangements under which outside directors received compensation for their service on our board of directors or its committees. Our policy was to reimburse outside directors for reasonable and necessary out-of-pocket expenses incurred in connection with attending board and committee meetings or performing other services in their capacities as outside directors, and occasionally grant stock options to our outside directors upon their respective appointments as directors.</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March 2021, our board of directors adopted a new outside director compensation policy (the “Director Compensation Policy”) for our outside directors that became effective retroactively to February 1, 2021. The Director Compensation Policy was developed with input from Compensia regarding practices and compensation levels at comparable companies. The Director Compensation Policy is designed to attract, retain, and reward outside directors.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the Director Compensation Policy, each outside director will receive the cash and equity compensation for board services described below. We also will reimburse our outside directors for reasonable, customary, and documented travel expenses to meetings of our board of directors or its committees and other expenses. Directors who are also our employees receive no additional compensation for their service as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Maximum Annual Compensation Limit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Director Compensation Policy includes a maximum annual limit of $750,000 of cash compensation and equity compensation awards that may be paid, issued, or granted to an outside director in any fiscal year (increased to $1,000,000 in the outside director’s initial year of service as an outside director). For purposes of this limitation, the grant date fair value is determined in accordance with GAAP. Any cash compensation or equity awards granted under the 2020 Plan to an outside director for his or her services as an employee, or for his or her services as a consultant (other than as an outside director), will not count for purposes of the limitation. The maximum limit does not reflect the intended size of any potential compensation or equity awards to our outside directors.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Outside directors are entitled to receive the following cash compensation for their service under the Director Compensation Policy:</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 per year for service as a board member;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$22,000 per year for service as lead independent director of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per year for service as chair of the audit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 per year for service as member of the audit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 per year for service as chair of the compensation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 per year for service as member of the compensation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$13,000 per year for service as chair of the nominating and corporate governance committee;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$6,500 per year for service as member of the nominating and corporate governance committee.</w:t>
      </w:r>
    </w:p>
    <w:p>
      <w:pPr>
        <w:spacing w:after="0" w:line="225" w:lineRule="exact"/>
        <w:rPr>
          <w:sz w:val="20"/>
          <w:szCs w:val="20"/>
          <w:color w:val="auto"/>
        </w:rPr>
      </w:pPr>
    </w:p>
    <w:p>
      <w:pPr>
        <w:jc w:val="both"/>
        <w:ind w:left="120" w:right="480" w:firstLine="440"/>
        <w:spacing w:after="0" w:line="312" w:lineRule="auto"/>
        <w:rPr>
          <w:sz w:val="20"/>
          <w:szCs w:val="20"/>
          <w:color w:val="auto"/>
        </w:rPr>
      </w:pPr>
      <w:r>
        <w:rPr>
          <w:rFonts w:ascii="Times New Roman" w:cs="Times New Roman" w:eastAsia="Times New Roman" w:hAnsi="Times New Roman"/>
          <w:sz w:val="17"/>
          <w:szCs w:val="17"/>
          <w:color w:val="auto"/>
        </w:rPr>
        <w:t>Each outside director who serves as the chair of a committee will receive only the annual cash fee as the chair of the committee, and not the additional annual cash fee as a member of the committee. All cash payments to outside directors are paid quarterly in arrears on a pro-rated basis.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the event of a “change in control” (as defined in the 2020 Plan), each outside director’s outstanding awards will fully vest, provided that the outside director continues to be an outside director through the date of the change in control.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Initial Awards</w:t>
      </w:r>
    </w:p>
    <w:p>
      <w:pPr>
        <w:spacing w:after="0" w:line="121" w:lineRule="exact"/>
        <w:rPr>
          <w:sz w:val="20"/>
          <w:szCs w:val="20"/>
          <w:color w:val="auto"/>
        </w:rPr>
      </w:pPr>
    </w:p>
    <w:p>
      <w:pPr>
        <w:ind w:left="120" w:firstLine="440"/>
        <w:spacing w:after="0"/>
        <w:rPr>
          <w:sz w:val="20"/>
          <w:szCs w:val="20"/>
          <w:color w:val="auto"/>
        </w:rPr>
      </w:pPr>
      <w:r>
        <w:rPr>
          <w:rFonts w:ascii="Times New Roman" w:cs="Times New Roman" w:eastAsia="Times New Roman" w:hAnsi="Times New Roman"/>
          <w:sz w:val="18"/>
          <w:szCs w:val="18"/>
          <w:color w:val="auto"/>
        </w:rPr>
        <w:t>Each person who first becomes an outside director following the effective date of the Director Compensation Policy will automatically receive an initial award of RSUs (the “Initial Award”). The Initial Award will cover a number of shares of our Class A Common Stock equal to $320,000 divided by the twenty (20) trading day volume weighted average stock price for the twenty (20) trading days prior to the applicable grant date. The Initial Award will vest in equal monthly installments as to 1/12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quarterly over three years on our quarterly vesting dates, which are February 15, May 15, August 15 and November 15, beginning with the first quarterly vesting date to occur more than 3 months after such individual first becomes an outside director, subject to the outside director continuing to be a service provider through the applicable vesting date. If the person was a member of our board of directors and also an employee, becoming an outside director due to termination of employment will not entitle them to an Initial Award.</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Award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outside director will automatically receive, on the date of each annual meeting of our stockholders following the effective date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 Compensation Policy, an annual award of RSUs (an “Annual Award”) covering a number of shares of our Class A Common Stock equal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$160,000 divided by the twenty (20) trading day volume weighted average stock price for the twenty (20) trading days prior to the applicable grant date.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Annual Award will vest on the first quarterly vesting date to occur following the one-year anniversary of the date the Annual Award was granted.</w:t>
      </w:r>
    </w:p>
    <w:p>
      <w:pPr>
        <w:spacing w:after="0" w:line="20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person who first becomes an outside director following the effective date of the Director Compensation Policy and on any date other than the date of an annual meeting of our stockholders will automatically receive the Annual Award, with such Annual Award prorated to reflect a partial year of service. Messrs. Blome and Wiese have not received any compensation pursuant to the Director Compensation Policy and have each waived their right to any compensation under the Director Compensation Policy.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82" w:right="4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Outside Director Compensation for Fiscal Year 2021</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the total compensation awarded to, earned by or paid to our outside directors for their service on our board of directors, for the fiscal year ended December 31, 2021. Ms. Mikolajczak served as an outside director on our board of directors from April 2021 until resigning in May 2021 to accept her offer of employment with us. Accordingly, only her compensation relating to her service as an outside director is reflected in the tables below. See “Executive Compensation” for information regarding Ms. Mikolajczak’s compensation as a named executive officer.</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4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Name(1)</w:t>
            </w:r>
          </w:p>
        </w:tc>
        <w:tc>
          <w:tcPr>
            <w:tcW w:w="5120" w:type="dxa"/>
            <w:vAlign w:val="bottom"/>
            <w:vMerge w:val="restart"/>
          </w:tcPr>
          <w:p>
            <w:pPr>
              <w:spacing w:after="0"/>
              <w:rPr>
                <w:sz w:val="12"/>
                <w:szCs w:val="12"/>
                <w:color w:val="auto"/>
              </w:rPr>
            </w:pPr>
          </w:p>
        </w:tc>
        <w:tc>
          <w:tcPr>
            <w:tcW w:w="14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or Paid in Cash</w:t>
            </w:r>
          </w:p>
        </w:tc>
        <w:tc>
          <w:tcPr>
            <w:tcW w:w="116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40" w:type="dxa"/>
            <w:vAlign w:val="bottom"/>
            <w:tcBorders>
              <w:bottom w:val="single" w:sz="8" w:color="auto"/>
            </w:tcBorders>
            <w:vMerge w:val="continue"/>
          </w:tcPr>
          <w:p>
            <w:pPr>
              <w:spacing w:after="0"/>
              <w:rPr>
                <w:sz w:val="15"/>
                <w:szCs w:val="15"/>
                <w:color w:val="auto"/>
              </w:rPr>
            </w:pPr>
          </w:p>
        </w:tc>
        <w:tc>
          <w:tcPr>
            <w:tcW w:w="5120" w:type="dxa"/>
            <w:vAlign w:val="bottom"/>
            <w:vMerge w:val="continue"/>
          </w:tcPr>
          <w:p>
            <w:pPr>
              <w:spacing w:after="0"/>
              <w:rPr>
                <w:sz w:val="15"/>
                <w:szCs w:val="15"/>
                <w:color w:val="auto"/>
              </w:rPr>
            </w:pP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520" w:type="dxa"/>
            <w:vAlign w:val="bottom"/>
          </w:tcPr>
          <w:p>
            <w:pPr>
              <w:spacing w:after="0"/>
              <w:rPr>
                <w:sz w:val="15"/>
                <w:szCs w:val="15"/>
                <w:color w:val="auto"/>
              </w:rPr>
            </w:pPr>
          </w:p>
        </w:tc>
        <w:tc>
          <w:tcPr>
            <w:tcW w:w="640" w:type="dxa"/>
            <w:vAlign w:val="bottom"/>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520" w:type="dxa"/>
            <w:vAlign w:val="bottom"/>
          </w:tcPr>
          <w:p>
            <w:pPr>
              <w:spacing w:after="0"/>
              <w:rPr>
                <w:sz w:val="15"/>
                <w:szCs w:val="15"/>
                <w:color w:val="auto"/>
              </w:rPr>
            </w:pPr>
          </w:p>
        </w:tc>
        <w:tc>
          <w:tcPr>
            <w:tcW w:w="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5"/>
                <w:szCs w:val="15"/>
                <w:color w:val="auto"/>
              </w:rPr>
            </w:pPr>
          </w:p>
        </w:tc>
        <w:tc>
          <w:tcPr>
            <w:tcW w:w="660" w:type="dxa"/>
            <w:vAlign w:val="bottom"/>
          </w:tcPr>
          <w:p>
            <w:pPr>
              <w:jc w:val="right"/>
              <w:ind w:right="15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Frank Blome(4)</w:t>
            </w:r>
          </w:p>
        </w:tc>
        <w:tc>
          <w:tcPr>
            <w:tcW w:w="960" w:type="dxa"/>
            <w:vAlign w:val="bottom"/>
            <w:tcBorders>
              <w:top w:val="single" w:sz="8" w:color="auto"/>
            </w:tcBorders>
            <w:shd w:val="clear" w:color="auto" w:fill="CCEEFF"/>
          </w:tcPr>
          <w:p>
            <w:pPr>
              <w:ind w:left="7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 Buss</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104,500</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126,950</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231,450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Doerr(5)</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85,250</w:t>
            </w:r>
          </w:p>
        </w:tc>
        <w:tc>
          <w:tcPr>
            <w:tcW w:w="1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126,950</w:t>
            </w:r>
          </w:p>
        </w:tc>
        <w:tc>
          <w:tcPr>
            <w:tcW w:w="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212,200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Jeneanne Hanley</w:t>
            </w:r>
          </w:p>
        </w:tc>
        <w:tc>
          <w:tcPr>
            <w:tcW w:w="14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441,471</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441,471</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Prof. Dr. J</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rgen Leohold</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94,000</w:t>
            </w:r>
          </w:p>
        </w:tc>
        <w:tc>
          <w:tcPr>
            <w:tcW w:w="1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126,950</w:t>
            </w:r>
          </w:p>
        </w:tc>
        <w:tc>
          <w:tcPr>
            <w:tcW w:w="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220,950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Celina Mikolajczak</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8,444(6)</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261,697(7)</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270,141</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Mirro</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110,917</w:t>
            </w:r>
          </w:p>
        </w:tc>
        <w:tc>
          <w:tcPr>
            <w:tcW w:w="1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126,950</w:t>
            </w:r>
          </w:p>
        </w:tc>
        <w:tc>
          <w:tcPr>
            <w:tcW w:w="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237,867</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Dipender Saluja</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84,792</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126,950</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211,742</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JB Straubel</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81,583</w:t>
            </w:r>
          </w:p>
        </w:tc>
        <w:tc>
          <w:tcPr>
            <w:tcW w:w="1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126,950</w:t>
            </w:r>
          </w:p>
        </w:tc>
        <w:tc>
          <w:tcPr>
            <w:tcW w:w="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208,533</w:t>
            </w:r>
          </w:p>
        </w:tc>
        <w:tc>
          <w:tcPr>
            <w:tcW w:w="0" w:type="dxa"/>
            <w:vAlign w:val="bottom"/>
          </w:tcPr>
          <w:p>
            <w:pPr>
              <w:spacing w:after="0"/>
              <w:rPr>
                <w:sz w:val="1"/>
                <w:szCs w:val="1"/>
                <w:color w:val="auto"/>
              </w:rPr>
            </w:pPr>
          </w:p>
        </w:tc>
      </w:tr>
      <w:tr>
        <w:trPr>
          <w:trHeight w:val="23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Jens Wiese(4)</w:t>
            </w:r>
          </w:p>
        </w:tc>
        <w:tc>
          <w:tcPr>
            <w:tcW w:w="14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140" w:hanging="424"/>
        <w:spacing w:after="0" w:line="253"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Jagdeep Singh is a co-founder, executive officer and employee of the Company and therefore did not receive compensation in fiscal year 2021 as an outside director and is intentionally omitted from this table and the table below regarding outstanding equity awards. Prof. Dr. Fritz Prinz is a co-founder of the Company and even though he is a non-employee director, he received compensation in fiscal year 2021 in connection with certain technical consulting and advisory services provided to the Company, and therefore did not receive additional compensation as an outside director and is intentionally omitted from this table and the table below regarding outstanding equity awards. Each of Susan Huppertz and Gena Lovett joined our board of directors after December 31, 2021 and thus are intentionally omitted from this table and the table below regarding outstanding equity awards.</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board of directors and committee annual retainers and, if applicable, committee chair retainers.</w:t>
      </w:r>
    </w:p>
    <w:p>
      <w:pPr>
        <w:spacing w:after="0" w:line="9"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grant-date fair value of awards granted to each named executive officer, computed in accordance with the FASB’s ASC Topic 718. See Notes 2 and 10 to the audited consolidated financial statements included in the Original Filing for a discussion of the assumptions made by us in determining the grant-date fair value of our equity awards.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Blome and Wiese each waived their right to any compensation for their service as an outside director.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Doerr retired from our board of directors in February 2022.</w:t>
      </w:r>
    </w:p>
    <w:p>
      <w:pPr>
        <w:spacing w:after="0" w:line="9" w:lineRule="exact"/>
        <w:rPr>
          <w:rFonts w:ascii="Times New Roman" w:cs="Times New Roman" w:eastAsia="Times New Roman" w:hAnsi="Times New Roman"/>
          <w:sz w:val="18"/>
          <w:szCs w:val="18"/>
          <w:color w:val="auto"/>
        </w:rPr>
      </w:pPr>
    </w:p>
    <w:p>
      <w:pPr>
        <w:ind w:left="540" w:right="860" w:hanging="424"/>
        <w:spacing w:after="0" w:line="25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outside director fees paid to Ms. Mikolajczak for her service as an outside director prior to her resignation. Ms. Mikolajczak has retained such payments given they represented a pro rata payment for the period she served as an outside director.</w:t>
      </w:r>
    </w:p>
    <w:p>
      <w:pPr>
        <w:ind w:left="540" w:right="120" w:hanging="424"/>
        <w:spacing w:after="0" w:line="26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Ms. Mikolajczak’s resignation from our board of directors, all such stock awards, none of which had vested, were automatically terminated and forfeited.</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lists all outstanding equity awards held by outside directors as of December 31, 2021:</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2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Aggregate Number of Shares of</w:t>
            </w:r>
          </w:p>
        </w:tc>
        <w:tc>
          <w:tcPr>
            <w:tcW w:w="20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Aggregate Number of Shares</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720" w:type="dxa"/>
            <w:vAlign w:val="bottom"/>
            <w:vMerge w:val="restart"/>
          </w:tcPr>
          <w:p>
            <w:pPr>
              <w:spacing w:after="0"/>
              <w:rPr>
                <w:sz w:val="12"/>
                <w:szCs w:val="12"/>
                <w:color w:val="auto"/>
              </w:rPr>
            </w:pPr>
          </w:p>
        </w:tc>
        <w:tc>
          <w:tcPr>
            <w:tcW w:w="3200" w:type="dxa"/>
            <w:vAlign w:val="bottom"/>
            <w:gridSpan w:val="2"/>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3200" w:type="dxa"/>
            <w:vAlign w:val="bottom"/>
            <w:gridSpan w:val="2"/>
          </w:tcPr>
          <w:p>
            <w:pPr>
              <w:jc w:val="center"/>
              <w:ind w:right="960"/>
              <w:spacing w:after="0" w:line="160" w:lineRule="exact"/>
              <w:rPr>
                <w:sz w:val="20"/>
                <w:szCs w:val="20"/>
                <w:color w:val="auto"/>
              </w:rPr>
            </w:pPr>
            <w:r>
              <w:rPr>
                <w:rFonts w:ascii="Times New Roman" w:cs="Times New Roman" w:eastAsia="Times New Roman" w:hAnsi="Times New Roman"/>
                <w:sz w:val="14"/>
                <w:szCs w:val="14"/>
                <w:b w:val="1"/>
                <w:bCs w:val="1"/>
                <w:color w:val="auto"/>
              </w:rPr>
              <w:t>Subject to Outstanding RSU Awards</w:t>
            </w:r>
          </w:p>
        </w:tc>
        <w:tc>
          <w:tcPr>
            <w:tcW w:w="208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Underlying Outstanding Options</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Frank Blome</w:t>
            </w:r>
          </w:p>
        </w:tc>
        <w:tc>
          <w:tcPr>
            <w:tcW w:w="226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 Buss</w:t>
            </w:r>
          </w:p>
        </w:tc>
        <w:tc>
          <w:tcPr>
            <w:tcW w:w="32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5,294</w:t>
            </w:r>
          </w:p>
        </w:tc>
        <w:tc>
          <w:tcPr>
            <w:tcW w:w="2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1,407,612</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Doerr(1)</w:t>
            </w:r>
          </w:p>
        </w:tc>
        <w:tc>
          <w:tcPr>
            <w:tcW w:w="32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5,294</w:t>
            </w:r>
          </w:p>
        </w:tc>
        <w:tc>
          <w:tcPr>
            <w:tcW w:w="2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Jeneanne Hanley</w:t>
            </w:r>
          </w:p>
        </w:tc>
        <w:tc>
          <w:tcPr>
            <w:tcW w:w="32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19,070</w:t>
            </w:r>
          </w:p>
        </w:tc>
        <w:tc>
          <w:tcPr>
            <w:tcW w:w="2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Prof. Dr. J</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rgen Leohold</w:t>
            </w:r>
          </w:p>
        </w:tc>
        <w:tc>
          <w:tcPr>
            <w:tcW w:w="32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5,294</w:t>
            </w:r>
          </w:p>
        </w:tc>
        <w:tc>
          <w:tcPr>
            <w:tcW w:w="2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394,350</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Celina Mikolajczak(2)</w:t>
            </w:r>
          </w:p>
        </w:tc>
        <w:tc>
          <w:tcPr>
            <w:tcW w:w="320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Mirro</w:t>
            </w:r>
          </w:p>
        </w:tc>
        <w:tc>
          <w:tcPr>
            <w:tcW w:w="32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5,294</w:t>
            </w:r>
          </w:p>
        </w:tc>
        <w:tc>
          <w:tcPr>
            <w:tcW w:w="2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Dipender Saluja</w:t>
            </w:r>
          </w:p>
        </w:tc>
        <w:tc>
          <w:tcPr>
            <w:tcW w:w="32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5,294</w:t>
            </w:r>
          </w:p>
        </w:tc>
        <w:tc>
          <w:tcPr>
            <w:tcW w:w="2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JB Straubel</w:t>
            </w:r>
          </w:p>
        </w:tc>
        <w:tc>
          <w:tcPr>
            <w:tcW w:w="32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5,294</w:t>
            </w:r>
          </w:p>
        </w:tc>
        <w:tc>
          <w:tcPr>
            <w:tcW w:w="2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1,005,437</w:t>
            </w:r>
          </w:p>
        </w:tc>
        <w:tc>
          <w:tcPr>
            <w:tcW w:w="0" w:type="dxa"/>
            <w:vAlign w:val="bottom"/>
          </w:tcPr>
          <w:p>
            <w:pPr>
              <w:spacing w:after="0"/>
              <w:rPr>
                <w:sz w:val="1"/>
                <w:szCs w:val="1"/>
                <w:color w:val="auto"/>
              </w:rPr>
            </w:pP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Jens Wiese</w:t>
            </w:r>
          </w:p>
        </w:tc>
        <w:tc>
          <w:tcPr>
            <w:tcW w:w="320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Doerr retired from our board of directors in February 2022.</w:t>
      </w:r>
    </w:p>
    <w:p>
      <w:pPr>
        <w:spacing w:after="0" w:line="27" w:lineRule="exact"/>
        <w:rPr>
          <w:rFonts w:ascii="Times New Roman" w:cs="Times New Roman" w:eastAsia="Times New Roman" w:hAnsi="Times New Roman"/>
          <w:sz w:val="18"/>
          <w:szCs w:val="18"/>
          <w:color w:val="auto"/>
        </w:rPr>
      </w:pPr>
    </w:p>
    <w:p>
      <w:pPr>
        <w:ind w:left="540" w:right="20" w:hanging="424"/>
        <w:spacing w:after="0" w:line="26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Mikolajczak resigned in May 2021 to accept an employment offer from the Company and forfeited all of the RSUs that were formerly granted to her as an outside director.</w:t>
      </w:r>
    </w:p>
    <w:p>
      <w:pPr>
        <w:sectPr>
          <w:pgSz w:w="11900" w:h="16838" w:orient="portrait"/>
          <w:cols w:equalWidth="0" w:num="1">
            <w:col w:w="11140"/>
          </w:cols>
          <w:pgMar w:left="320" w:top="482" w:right="439" w:bottom="1440" w:gutter="0" w:footer="0" w:header="0"/>
        </w:sectPr>
      </w:pP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82" w:right="43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have ever been an executive officer or employee of our company. None of our executive officers currently serves, or has served during the last completed fiscal year, on the compensation committee or board of directors of any other entity that has one or more executive officers that serve on our board of directors or compensation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Incentive Plans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chart sets forth certain information as of December 31, 2021, with respect to our equity compensation plans, specifically our 2010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Equity Incentive Plan (the “2010 Plan”), 2020 Equity Incentive Plan (the “2020 Plan”), and our 2020 Employee Stock Purchase Plan (the “ESPP”).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of the 2010 Plan, the 2020 Plan, and the ESPP has been approved by our stockholders.</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(b)</w:t>
            </w:r>
          </w:p>
        </w:tc>
        <w:tc>
          <w:tcPr>
            <w:tcW w:w="680" w:type="dxa"/>
            <w:vAlign w:val="bottom"/>
          </w:tcPr>
          <w:p>
            <w:pPr>
              <w:spacing w:after="0"/>
              <w:rPr>
                <w:sz w:val="12"/>
                <w:szCs w:val="12"/>
                <w:color w:val="auto"/>
              </w:rPr>
            </w:pPr>
          </w:p>
        </w:tc>
        <w:tc>
          <w:tcPr>
            <w:tcW w:w="14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Remaining</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160" w:type="dxa"/>
            <w:vAlign w:val="bottom"/>
            <w:gridSpan w:val="3"/>
          </w:tcPr>
          <w:p>
            <w:pPr>
              <w:jc w:val="center"/>
              <w:ind w:left="516"/>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760" w:type="dxa"/>
            <w:vAlign w:val="bottom"/>
            <w:gridSpan w:val="2"/>
          </w:tcPr>
          <w:p>
            <w:pPr>
              <w:jc w:val="center"/>
              <w:ind w:left="316"/>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 Issued</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680" w:type="dxa"/>
            <w:vAlign w:val="bottom"/>
          </w:tcPr>
          <w:p>
            <w:pPr>
              <w:spacing w:after="0"/>
              <w:rPr>
                <w:sz w:val="12"/>
                <w:szCs w:val="12"/>
                <w:color w:val="auto"/>
              </w:rPr>
            </w:pPr>
          </w:p>
        </w:tc>
        <w:tc>
          <w:tcPr>
            <w:tcW w:w="14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2000" w:type="dxa"/>
            <w:vAlign w:val="bottom"/>
            <w:gridSpan w:val="3"/>
          </w:tcPr>
          <w:p>
            <w:pPr>
              <w:jc w:val="center"/>
              <w:ind w:left="576"/>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680" w:type="dxa"/>
            <w:vAlign w:val="bottom"/>
          </w:tcPr>
          <w:p>
            <w:pPr>
              <w:spacing w:after="0"/>
              <w:rPr>
                <w:sz w:val="12"/>
                <w:szCs w:val="12"/>
                <w:color w:val="auto"/>
              </w:rPr>
            </w:pPr>
          </w:p>
        </w:tc>
        <w:tc>
          <w:tcPr>
            <w:tcW w:w="14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44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680" w:type="dxa"/>
            <w:vAlign w:val="bottom"/>
          </w:tcPr>
          <w:p>
            <w:pPr>
              <w:spacing w:after="0"/>
              <w:rPr>
                <w:sz w:val="12"/>
                <w:szCs w:val="12"/>
                <w:color w:val="auto"/>
              </w:rPr>
            </w:pPr>
          </w:p>
        </w:tc>
        <w:tc>
          <w:tcPr>
            <w:tcW w:w="14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center"/>
              <w:ind w:right="21"/>
              <w:spacing w:after="0" w:line="160" w:lineRule="exact"/>
              <w:rPr>
                <w:sz w:val="20"/>
                <w:szCs w:val="20"/>
                <w:color w:val="auto"/>
              </w:rPr>
            </w:pPr>
            <w:r>
              <w:rPr>
                <w:rFonts w:ascii="Times New Roman" w:cs="Times New Roman" w:eastAsia="Times New Roman" w:hAnsi="Times New Roman"/>
                <w:sz w:val="14"/>
                <w:szCs w:val="14"/>
                <w:b w:val="1"/>
                <w:bCs w:val="1"/>
                <w:color w:val="auto"/>
              </w:rPr>
              <w:t>Rights(1)</w:t>
            </w:r>
          </w:p>
        </w:tc>
        <w:tc>
          <w:tcPr>
            <w:tcW w:w="680" w:type="dxa"/>
            <w:vAlign w:val="bottom"/>
          </w:tcPr>
          <w:p>
            <w:pPr>
              <w:spacing w:after="0"/>
              <w:rPr>
                <w:sz w:val="15"/>
                <w:szCs w:val="15"/>
                <w:color w:val="auto"/>
              </w:rPr>
            </w:pPr>
          </w:p>
        </w:tc>
        <w:tc>
          <w:tcPr>
            <w:tcW w:w="14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71"/>
        </w:trPr>
        <w:tc>
          <w:tcPr>
            <w:tcW w:w="334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4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stockholders(2)</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63,633,263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32,114,587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by stockholders</w:t>
            </w:r>
          </w:p>
        </w:tc>
        <w:tc>
          <w:tcPr>
            <w:tcW w:w="400" w:type="dxa"/>
            <w:vAlign w:val="bottom"/>
          </w:tcPr>
          <w:p>
            <w:pPr>
              <w:spacing w:after="0"/>
              <w:rPr>
                <w:sz w:val="20"/>
                <w:szCs w:val="20"/>
                <w:color w:val="auto"/>
              </w:rPr>
            </w:pPr>
          </w:p>
        </w:tc>
        <w:tc>
          <w:tcPr>
            <w:tcW w:w="136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63,633,263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32,114,587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20" w:hanging="424"/>
        <w:spacing w:after="0" w:line="26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is calculated based solely on outstanding stock options. It does not take into account restricted stock units or shares issued under the ESPP, neither of which have any exercise price.</w:t>
      </w:r>
    </w:p>
    <w:p>
      <w:pPr>
        <w:ind w:left="540" w:right="100" w:hanging="424"/>
        <w:spacing w:after="0" w:line="25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plans: the 2010 Plan, the 2020 Plan and the ESPP. Our 2020 Plan provides that on the first day of each fiscal year, the number of shares available for issuance thereunder is automatically increased by a number equal to the least of (i) 41,500,000 shares of Class A Common Stock, (ii) five percent (5%) of the aggregate number of shares of common stock outstanding on December 31st of the preceding fiscal year, or (iii) such other amount as may be determined by our board of directors. Our ESPP provides that on the first day of each fiscal year, the number of shares available for issuance thereunder is automatically increased by a number equal to the least of (i) 7,600,000 shares of Class A Common Stock, (ii) one percent (1%) of the aggregate number of shares of common stock outstanding on such date, or (iii) such other amount as may be determined by our board of directors. On January 1, 2021, the number of shares available for issuance under our 2020 Plan and our ESPP increased by 21,415,959 shares and 4,283,191 shares, respectively, pursuant to these provisions. These increases are not reflected in the table above.</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Chief Executive Officer Pay Ratio</w:t>
      </w:r>
    </w:p>
    <w:p>
      <w:pPr>
        <w:spacing w:after="0" w:line="121"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Under SEC rules, we are required to provide information regarding the relationship between the total compensation of Jagdeep Singh, our CEO, and the total annual compensation of our median employee (other than Mr. Singh). For our last completed fiscal year, which ended December 31, 2021:</w:t>
      </w:r>
    </w:p>
    <w:p>
      <w:pPr>
        <w:spacing w:after="0" w:line="45" w:lineRule="exact"/>
        <w:rPr>
          <w:sz w:val="20"/>
          <w:szCs w:val="20"/>
          <w:color w:val="auto"/>
        </w:rPr>
      </w:pPr>
    </w:p>
    <w:p>
      <w:pPr>
        <w:ind w:left="1080" w:right="2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of the total annual compensation of all employees (including temporary employees and interns and excluding Mr. Singh) of our Company was $145,391.</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Singh’s annual total compensation, as reported in the Summary Compensation Table included in this Amendment, was $69,102,285. As noted in the Summary Compensation Table, the vast majority of Mr. Singh’s 2021 annual total compensation reflects an accounting-driven valuation for his EPA Program stock option award, as to which no shares have vested as of the date of this filing, and which is further subject to the payment of an exercise price of $23.04 per share.</w:t>
      </w:r>
    </w:p>
    <w:p>
      <w:pPr>
        <w:spacing w:after="0" w:line="85"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above, for fiscal year 2021, the ratio of Mr. Singh’s total annual compensation to the median of the total annual compensation of all employees was 475 to 1. Excluding the effects of Mr. Singh’s EPA Program stock option award, none of which have vested, the ratio of Mr. Singh’s total annual compensation to the median of the total annual compensation of all employees was 5 to 1.</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This pay ratio is a reasonable estimate calculated in a manner consistent with Item 402(u) of Regulation S-K under the Securities Act and based upon our reasonable judgment and assumptions. The SEC rules do not specify a single methodology for identification of the median employee or calculation of the pay ratio, and other companies may use assumptions and methodologies that are different from those used by us in calculating their pay ratio. Accordingly, the pay ratio disclosed by other companies may not be comparable to our pay ratio as disclosed above.</w:t>
      </w:r>
    </w:p>
    <w:p>
      <w:pPr>
        <w:spacing w:after="0" w:line="180"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To identify the median of the annual total compensation of all our employees, as well as to determine the annual total compensation of the “median employee,” the methodology and the material assumptions, adjustments and estimates that we used were as follows:</w:t>
      </w:r>
    </w:p>
    <w:p>
      <w:pPr>
        <w:spacing w:after="0" w:line="67"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December 31, 2021, which is the last day of our fiscal year, as the date upon which we would identify the median employee.</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our employee population consisted of 580 individuals (including temporary employees and interns and excluding Mr. Singh).</w:t>
      </w:r>
    </w:p>
    <w:p>
      <w:pPr>
        <w:spacing w:after="0" w:line="67" w:lineRule="exact"/>
        <w:rPr>
          <w:rFonts w:ascii="Times New Roman" w:cs="Times New Roman" w:eastAsia="Times New Roman" w:hAnsi="Times New Roman"/>
          <w:sz w:val="18"/>
          <w:szCs w:val="18"/>
          <w:color w:val="auto"/>
        </w:rPr>
      </w:pPr>
    </w:p>
    <w:p>
      <w:pPr>
        <w:ind w:left="1080" w:right="220" w:hanging="424"/>
        <w:spacing w:after="0" w:line="312" w:lineRule="auto"/>
        <w:tabs>
          <w:tab w:leader="none" w:pos="10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identify the “median employee” from our employee population we used payroll records as of December 31, 2021. The compensation measure included the following: annualized base salary and target bonus that employees were eligible to earn during the year.</w:t>
      </w:r>
    </w:p>
    <w:p>
      <w:pPr>
        <w:spacing w:after="0" w:line="45" w:lineRule="exact"/>
        <w:rPr>
          <w:rFonts w:ascii="Times New Roman" w:cs="Times New Roman" w:eastAsia="Times New Roman" w:hAnsi="Times New Roman"/>
          <w:sz w:val="17"/>
          <w:szCs w:val="17"/>
          <w:color w:val="auto"/>
        </w:rPr>
      </w:pPr>
    </w:p>
    <w:p>
      <w:pPr>
        <w:ind w:left="10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annual total compensation of the “median employee,” we identified and calculated the elements of such employee’s compensation for 2021 in accordance with the requirements of Item 402(c)(2)(x) of Regulation S-K, resulting in annual total compensation of $145,391.</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annual total compensation for Mr. Singh, we used the amount reported in the “Total” column of our Summary Compensation Table included in this Amendment.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82" w:right="4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common stock as of March 1, 2022 by:</w:t>
      </w:r>
    </w:p>
    <w:p>
      <w:pPr>
        <w:spacing w:after="0" w:line="131" w:lineRule="exact"/>
        <w:rPr>
          <w:sz w:val="20"/>
          <w:szCs w:val="20"/>
          <w:color w:val="auto"/>
        </w:rPr>
      </w:pPr>
    </w:p>
    <w:p>
      <w:pPr>
        <w:ind w:left="1540" w:hanging="331"/>
        <w:spacing w:after="0"/>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including options and warrants that are currently exercisable or exercisable within 60 days. Unless otherwise indicated, to our knowledge, the persons or entities identified in the table have sole voting power and sole investment power with respect to all shares shown as beneficially owned by them, subject to community property laws where applicable.</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on 334,793,716 shares of our Class A Common Stock and 95,267,246 shares of Class B Common Stock outstanding as of March 1, 2022. We have deemed shares of our Common Stock subject to stock options that are currently exercisable or exercisable within 60 days of March 1, 2022 or issuable pursuant to RSUs which are subject to vesting and settlement conditions expected to occur within 60 days of March 1, 2022,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person or entity listed in the table is c/o QuantumScape Corporation, 1730 Technology Drive, San Jose, California, 95110.</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040" w:type="dxa"/>
            <w:vAlign w:val="bottom"/>
            <w:gridSpan w:val="2"/>
          </w:tcPr>
          <w:p>
            <w:pPr>
              <w:ind w:left="52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ind w:left="50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All</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540" w:type="dxa"/>
            <w:vAlign w:val="bottom"/>
            <w:vMerge w:val="restart"/>
          </w:tcPr>
          <w:p>
            <w:pPr>
              <w:spacing w:after="0"/>
              <w:rPr>
                <w:sz w:val="10"/>
                <w:szCs w:val="10"/>
                <w:color w:val="auto"/>
              </w:rPr>
            </w:pPr>
          </w:p>
        </w:tc>
        <w:tc>
          <w:tcPr>
            <w:tcW w:w="104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10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0"/>
                <w:szCs w:val="10"/>
                <w:color w:val="auto"/>
              </w:rPr>
            </w:pPr>
          </w:p>
        </w:tc>
        <w:tc>
          <w:tcPr>
            <w:tcW w:w="1020" w:type="dxa"/>
            <w:vAlign w:val="bottom"/>
            <w:tcBorders>
              <w:top w:val="single" w:sz="8" w:color="auto"/>
            </w:tcBorders>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354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Vote+</w:t>
            </w:r>
          </w:p>
        </w:tc>
        <w:tc>
          <w:tcPr>
            <w:tcW w:w="0" w:type="dxa"/>
            <w:vAlign w:val="bottom"/>
          </w:tcPr>
          <w:p>
            <w:pPr>
              <w:spacing w:after="0"/>
              <w:rPr>
                <w:sz w:val="1"/>
                <w:szCs w:val="1"/>
                <w:color w:val="auto"/>
              </w:rPr>
            </w:pPr>
          </w:p>
        </w:tc>
      </w:tr>
      <w:tr>
        <w:trPr>
          <w:trHeight w:val="190"/>
        </w:trPr>
        <w:tc>
          <w:tcPr>
            <w:tcW w:w="51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Volkswagen Group of America Investments, LLC(1)</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68,236,103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20.38</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17,980,436</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18.87</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86,216,539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Khosla Ventures III, LP(2)</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1,286,463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30,609,901</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32.13</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31,896,364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23.88</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Capricorn Libra Investment Group, LP(3)</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17,991,722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5.37</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17,991,722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KPCB Holdings, Inc., as nominee(4)</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5,070,532</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5.32</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5,070,532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Jagdeep Singh(5)</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12,362,265</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16,936,341</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17.41</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29,298,606</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Hettrich(6)</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1,039,209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1,039,209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Timothy Holme(7)</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1,050,949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11,869,295</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12.44</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12,920,244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Celina Mikolajczak</w:t>
            </w: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Mohit Singh(8)</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2,481,068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2,481,068</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Blome(9)</w:t>
            </w: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 Buss(10)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760,168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760,168</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Jeneanne Hanley</w:t>
            </w: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Huppertz</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Prof. Dr. J</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rgen Leohold(11)</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273,541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273,541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Gena Lovett</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Mirro(12)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1,734,056</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1,734,056</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Dr. Fritz Prinz(13)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833,200</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11,484,541</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12.06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12,317,741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Dipender Saluja(14)</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JB Straubel(15)</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871,382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871,382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Jens Wiese(16)</w:t>
            </w: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(17 individuals)(17)</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23,410,050</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40,290,177</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41.34</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63,700,227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32.15</w:t>
            </w:r>
          </w:p>
        </w:tc>
        <w:tc>
          <w:tcPr>
            <w:tcW w:w="0" w:type="dxa"/>
            <w:vAlign w:val="bottom"/>
          </w:tcPr>
          <w:p>
            <w:pPr>
              <w:spacing w:after="0"/>
              <w:rPr>
                <w:sz w:val="1"/>
                <w:szCs w:val="1"/>
                <w:color w:val="auto"/>
              </w:rPr>
            </w:pPr>
          </w:p>
        </w:tc>
      </w:tr>
      <w:tr>
        <w:trPr>
          <w:trHeight w:val="365"/>
        </w:trPr>
        <w:tc>
          <w:tcPr>
            <w:tcW w:w="16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of Class A Common Stock have one vote per share, while shares of Class B Common Stock have 10 votes per share.</w:t>
      </w:r>
    </w:p>
    <w:p>
      <w:pPr>
        <w:spacing w:after="0" w:line="9" w:lineRule="exact"/>
        <w:rPr>
          <w:sz w:val="20"/>
          <w:szCs w:val="20"/>
          <w:color w:val="auto"/>
        </w:rPr>
      </w:pPr>
    </w:p>
    <w:p>
      <w:pPr>
        <w:ind w:left="540" w:right="8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68,236,103 shares of Class A Common Stock and 17,980,436 shares of Class B Common Stock. The business address of Volkswagen Group of America Investments, LLC (“VGA”) is 220 Ferdinand Porsche Dr. Herndon, VA 20171.</w:t>
      </w:r>
    </w:p>
    <w:p>
      <w:pPr>
        <w:ind w:left="540" w:right="54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1,286,463 shares of Class A Common Stock and 30,609,901 shares of Class B Common Stock. The business address of Khosla Ventures III, LP is 2128 Sand Hill Road Menlo Park, CA 94025.</w:t>
      </w:r>
    </w:p>
    <w:p>
      <w:pPr>
        <w:ind w:left="540" w:right="10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1,604,056 shares of Class A Common Stock held by Technology Impact Growth Fund, LP, 2,701,784 shares of Class A Common Stock held by TIGF Direct Strategies LLC – Series 3, 13,560,540 shares of Class A Common Stock held by Capricorn-Libra Investment Group, LP, and 125,342 shares of Class A Common Stock held by TIGF Partners, LLC. TIGF Partners, LLC is the general partner of Technology Impact Growth Fund, LP and the manager of TIGF Direct Strategies LLC - Series 3. TIGF Partners, LLC is owned by Dipender Saluja (40%), Ion Yadigaroglu (40%) and Capricorn Investment Group, LLC (20%). The business address of each of these entities is 250 University Avenue Palo Alto, CA 94301.</w:t>
      </w:r>
    </w:p>
    <w:p>
      <w:pPr>
        <w:spacing w:after="0" w:line="2" w:lineRule="exact"/>
        <w:rPr>
          <w:rFonts w:ascii="Times New Roman" w:cs="Times New Roman" w:eastAsia="Times New Roman" w:hAnsi="Times New Roman"/>
          <w:sz w:val="18"/>
          <w:szCs w:val="18"/>
          <w:color w:val="auto"/>
        </w:rPr>
      </w:pPr>
    </w:p>
    <w:p>
      <w:pPr>
        <w:ind w:left="540" w:right="46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5,070,532 shares of Class B Common Stock. The business address of KPCB Holdings, Inc., as nominee is 2750 Sand Hill Road, Menlo Park, CA 94025.</w:t>
      </w:r>
    </w:p>
    <w:p>
      <w:pPr>
        <w:ind w:left="54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options to purchase 8,998,273 shares of Class A Common Stock that are exercisable within 60 days of March 1, 2022, (b) options to purchase 2,010,874 shares of Class B Common Stock that are exercisable within 60 days of March 1, 2022, (c) 707,529 shares of Class A Common Stock held by Mr. Singh, (d) 1,340,582 shares of Class B Common Stock held by Mr. Singh, (e) 3,517,105 shares of Class B Common Stock held in trust by Jagdeep Singh, Trustee of the Roshni Singh 2020 Annuity Trust A dated September 1, 2020, (f) 3,517,105 shares of Class B Common Stock held in trust by Jagdeep Singh, Trustee of the Jagdeep Singh 2020 Annuity Trust A dated September 1, 2020, (g) 970,877 shares of Class A Common Stock and 6,550,675 shares of Class B Common Stock held in trust by Jagdeep Singh &amp; Roshni Singh, Trustees of the Singh Family Trust UDT dated October 3, 1996, (h) 561,862 shares of Class A Common Stock held in trust by Tejbir Singh Phool, Trustee of the Kismet Diya Singh 2013 Trust dated July 31, 2013, (i) 561,862 shares of Class A Common Stock held in trust by Tejbir Singh Phool, Trustee of the Nageena Singh 2013 Trust dated July 31, 2013, and (j) 561,862 shares of Class A Common Stock held in trust by Tejbir Singh Phool, Trustee of the Noor Deepika Singh 2013 Trust dated July 31, 2013. Mr. Singh shares voting and dispositive power and is the trustee of each of Jagdeep Singh, Trustee of the Roshni Singh 2020 Annuity Trust A dated September 1, 2020, Jagdeep Singh, Trustee of the Jagdeep Singh 2020 Annuity Trust A dated September 1, 2020, Jagdeep Singh &amp; Roshni Singh, Trustees of the Singh Family Trust UDT dated October 3, 1996, Tejbir Singh Phool, Trustee of the Kismet Diya Singh 2013 Trust dated July 31, 2013, Tejbir Singh Phool, Trustee of the Nageena Singh 2013 Trust dated July 31, 2013 and Tejbir Singh Phool, Trustee of the Noor Deepika Singh 2013 Trust dated July 31, 2013.</w:t>
      </w:r>
    </w:p>
    <w:p>
      <w:pPr>
        <w:spacing w:after="0" w:line="5" w:lineRule="exact"/>
        <w:rPr>
          <w:rFonts w:ascii="Times New Roman" w:cs="Times New Roman" w:eastAsia="Times New Roman" w:hAnsi="Times New Roman"/>
          <w:sz w:val="18"/>
          <w:szCs w:val="18"/>
          <w:color w:val="auto"/>
        </w:rPr>
      </w:pPr>
    </w:p>
    <w:p>
      <w:pPr>
        <w:ind w:left="540" w:right="44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options to purchase 1,000,972 shares of Class A Common Stock that are exercisable within 60 days of March 1, 2022 and (b) 38,237 shares of Class A Common Stock held by Mr. Hettrich.</w:t>
      </w:r>
    </w:p>
    <w:p>
      <w:pPr>
        <w:ind w:left="540" w:right="12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options to purchase 1,001,414 shares of Class A Common Stock that are exercisable within 60 days of March 1, 2022, (b) options to purchase 183,292 shares of Class B Common Stock that are exercisable within 60 days of March 1, 2022 and (c) 49,535 shares of Class A Common Stock and 11,686,003 shares of Class B Common Stock held by Dr. Holme.</w:t>
      </w:r>
    </w:p>
    <w:p>
      <w:pPr>
        <w:spacing w:after="0" w:line="1" w:lineRule="exact"/>
        <w:rPr>
          <w:rFonts w:ascii="Times New Roman" w:cs="Times New Roman" w:eastAsia="Times New Roman" w:hAnsi="Times New Roman"/>
          <w:sz w:val="18"/>
          <w:szCs w:val="18"/>
          <w:color w:val="auto"/>
        </w:rPr>
      </w:pPr>
    </w:p>
    <w:p>
      <w:pPr>
        <w:ind w:left="540" w:right="44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options to purchase 2,461,738 shares of Class A Common Stock that are exercisable within 60 days of March 1, 2022 and (b) 19,330 shares of Class A Common Stock held by Dr. Singh.</w:t>
      </w:r>
    </w:p>
    <w:p>
      <w:pPr>
        <w:ind w:left="540" w:right="52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Blome, a member of our board of directors, is Head of Volkswagen AG’s Battery Center of Excellence. Mr. Blome disclaims beneficial ownership of all shares held by VGA referred to in footnote (1) above.</w:t>
      </w:r>
    </w:p>
    <w:p>
      <w:pPr>
        <w:ind w:left="540" w:right="56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options to purchase 445,742 shares of Class A Common Stock that are exercisable within 60 days of March 1, 2022 and (b) 314,426 shares of Class A Common Stock held by Mr. Buss.</w:t>
      </w:r>
    </w:p>
    <w:p>
      <w:pPr>
        <w:ind w:left="540" w:right="56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options to purchase 126,246 shares of Class A Common Stock that are exercisable within 60 days of March 1, 2022 and (b) 147,295 shares of Class A Common Stock held by Prof. Dr. Leohold.</w:t>
      </w:r>
    </w:p>
    <w:p>
      <w:pPr>
        <w:ind w:left="540" w:right="2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1,234,056 shares of Class A Common Stock held by Kensington Capital Partners, LLC, (b) 250,000 shares of Class A Common Stock held by the Justin E. Mirro 2020 Qualified Annuity Trust under agreement dated June 27, 2020, and (c) 250,000 shares of Class A Common Stock held by the Kensington Capital Trust under an agreement dated June 27, 2020. Mr. Mirro is the managing member and sole owner of Kensington Capital Partners, LLC. Mr. Mirro is trustee of the Justin E. Mirro 2020 Qualified Annuity Trust under agreement dated June 27, 2020. Mr. Mirro disclaims any beneficial ownership of the shares held by the Justin E. Mirro 2020 Qualified Annuity Trust under agreement dated June 27, 2020 other than to the extent he may have a pecuniary interest therein, directly or indirectly. Mr. Mirro’s spouse serves as the trustee of the Kensington Capital Trust under agreement dated June 27, 2020. Mr. Mirro disclaims any beneficial ownership of the shares held by the Kensington Capital Trust under agreement dated June 27, 2020 other than to the extent of any pecuniary interest he may have therein, directly or indirectly.</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519,920 shares of Class A Common Stock and 7,193,115 shares of Class B Common Stock held in trust by Friedrich Prinz and Gertrud Prinz, Trustees of The Prinz Family Trust dated September 17, 2018, (b) 156,640 shares of Class A Common Stock and 1,090,582 shares of Class B Common Stock held in trust by The Goldman Sachs Trust Company of Delaware, Trustee of the Marie Helene Prinz 2019 Trust dated June 17, 2019, (c) 156,640 shares of Class A Common Stock and 1,090,582 shares of Class B Common Stock held in trust by The Goldman Sachs Trust Company of Delaware, Trustee of the Benedikt F. Prinz 2019 Trust dated June 17, 2019, (d) 1,055,131 shares of Class B Common Stock held in trust by Friedrich Prinz, Trustee of the Gertrude Prinz Annuity Trust dated August 31, 2020, and (e) 1,055,131 shares of Class B Common Stock held in trust by Friedrich Prinz, Trustee of the Friedrich Prinz Annuity Trust dated August 31, 2020. Prof. Dr. Prinz shares voting and dispositive power and is the trustee of each of Friedrich Prinz and Gertrud Prinz, Trustees of The Prinz Family Trust dated September 17, 2018, Friedrich Prinz, Trustee of the Friedrich Prinz Annuity Trust dated August 31, 2020, Friedrich Prinz, Trustee of the Gertrude Prinz Annuity Trust dated August 31, 2020, The Goldman Sachs Trust Company of Delaware, Trustee of the Benedikt F. Prinz 2019 Trust dated June 17, 2019 and The Goldman Sachs Trust Company of Delaware, Trustee of the Marie Helene Prinz 2019 Trust dated June 17, 2019.</w:t>
      </w:r>
    </w:p>
    <w:p>
      <w:pPr>
        <w:spacing w:after="0" w:line="4"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2,744 shares of Class A Common Stock held by Mr. Saluja. Mr. Saluja, a member of our board of directors, is Managing Director of Capricorn-Libra Investment Group, LP. Mr. Saluja disclaims beneficial ownership of all shares held by Capricorn-Libra Investment Group, LP referred to in footnote (3) above.</w:t>
      </w:r>
    </w:p>
    <w:p>
      <w:pPr>
        <w:spacing w:after="0" w:line="1" w:lineRule="exact"/>
        <w:rPr>
          <w:rFonts w:ascii="Times New Roman" w:cs="Times New Roman" w:eastAsia="Times New Roman" w:hAnsi="Times New Roman"/>
          <w:sz w:val="18"/>
          <w:szCs w:val="18"/>
          <w:color w:val="auto"/>
        </w:rPr>
      </w:pPr>
    </w:p>
    <w:p>
      <w:pPr>
        <w:ind w:left="540" w:right="58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options to purchase 469,208 shares of Class A Common Stock that are exercisable within 60 days of March 1, 2022 and (b) 402,174 shares of Class A Common Stock held by Mr. Straubel.</w:t>
      </w:r>
    </w:p>
    <w:p>
      <w:pPr>
        <w:ind w:left="540" w:right="4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Wiese, a member of our board of directors, is Head of Volkswagen Group M&amp;A, Investment Advisory, and Partnerships. Mr. Wiese disclaims beneficial ownership of all shares held by VGA referred to in footnote (1) above.</w:t>
      </w:r>
    </w:p>
    <w:p>
      <w:pPr>
        <w:ind w:left="540" w:right="40" w:hanging="424"/>
        <w:spacing w:after="0" w:line="255"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options to purchase 16,403,267 shares of Class A Common Stock that are exercisable within 60 days of March 1, 2022, (b) options to purchase 2,194,166 shares of Class B Common Stock that are exercisable within 60 days of March 1, 2022, (c) 7,006,783 shares of Class A Common Stock, and (d) 38,096,011 shares of Class B Common Stock.</w:t>
      </w:r>
    </w:p>
    <w:p>
      <w:pPr>
        <w:sectPr>
          <w:pgSz w:w="11900" w:h="16838" w:orient="portrait"/>
          <w:cols w:equalWidth="0" w:num="1">
            <w:col w:w="11100"/>
          </w:cols>
          <w:pgMar w:left="320" w:top="482" w:right="479" w:bottom="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019"/>
          </w:cols>
          <w:pgMar w:left="1440" w:top="121" w:right="1440"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Review of Related Party Transactions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 written related party transactions policy which provides that officers, directors, holders of more than 5% of any class of our voting securities, and any member of the immediate family of and any entity affiliated with any of the foregoing persons, will not be permitted to enter into a related-party transaction with the Company without the prior consent of our audit committee, or other independent members of our board of directors in the event it is inappropriate for the audit committee to review such transaction due to a conflict of interest. Any request for the Company to enter into a transaction with an executive officer, director, principal stockholder, or any of their immediate family members or affiliates, in which the amount involved exceeds $120,000, must first be presented to the audit committee for review, consideration, and approval. In approving or rejecting the proposed transactions, the audit committee will take into account all of the relevant facts and circumstances available.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each transaction since January 1, 2021, and each currently proposed transaction and certain other transactions, in which:</w:t>
      </w:r>
    </w:p>
    <w:p>
      <w:pPr>
        <w:spacing w:after="0" w:line="67" w:lineRule="exact"/>
        <w:rPr>
          <w:sz w:val="20"/>
          <w:szCs w:val="20"/>
          <w:color w:val="auto"/>
        </w:rPr>
      </w:pPr>
    </w:p>
    <w:p>
      <w:pPr>
        <w:ind w:left="1540" w:hanging="331"/>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130" w:lineRule="exact"/>
        <w:rPr>
          <w:rFonts w:ascii="Times New Roman" w:cs="Times New Roman" w:eastAsia="Times New Roman" w:hAnsi="Times New Roman"/>
          <w:sz w:val="18"/>
          <w:szCs w:val="18"/>
          <w:color w:val="auto"/>
        </w:rPr>
      </w:pPr>
    </w:p>
    <w:p>
      <w:pPr>
        <w:ind w:left="1540" w:right="40" w:hanging="331"/>
        <w:spacing w:after="0" w:line="266"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(including director nominees), executive officers, or beneficial holders of more than 5% of any class of our voting securities, or any immediate family member of, or person sharing the household with, any of these individuals or entities, had or will have a direct or indirect material interest.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September 2, 2020, Kensington, Kensington Capital Sponsor LLC, a Delaware limited liability company (the “Sponsor”) and certain stockholders of Legacy QuantumScape (the “New Holders” and, collectively with the Sponsor, the “Holders”) entered into a Registration Rights and Lock-Up Agreement (the “Registration Rights and Lock-Up Agreement”), which was effective as of the closing of the Business Combination. Pursuant to the terms of the Registration Rights and Lock-Up Agreement, we filed a registration statement to register the resale of certain shares of common stock held by the Holders after the Business Combination and subject to certain conditions, we are separately required at all times to maintain an effective registration statement for the benefit of the 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Registration Rights and Lock-Up Agreement included lock-up restrictions that prohibit the Holders from transferring shares of our company held by them as of the date of that agreement until 180 days after November 25, 2020, subject to customary exceptions. These transfer restrictions were subject to earlier release on (i) the last consecutive trading day where the sale price of the Class A Common Stock equaled or exceeded $12.00 per share (as adjusted for stock splits, stock dividends, reorganizations, recapitalizations and the like) for any 20 trading days within any 30-trading day period commencing at least 150 days after the Business Combination or (ii) such date on which we completed a liquidation, merger, stock exchange or other similar transaction that resulted in all of our stockholders having the right to exchange their shares of Class A Common Stock for cash, securities or other property. These lock-up restrictions expired in 2021.</w:t>
      </w:r>
    </w:p>
    <w:p>
      <w:pPr>
        <w:spacing w:after="0" w:line="18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In connection with the transactions contemplated by the Business Combination Agreement, on November 25, 2020, Legacy QuantumScape and certain stockholders of Legacy QuantumScape entered into a lock-up agreement, pursuant to which they agreed, subject to customary exceptions, not to transfer shares of common stock for a period of 180 days after November 25, 2020. These transfer restrictions were also subject to earlier release on</w:t>
      </w:r>
    </w:p>
    <w:p>
      <w:pPr>
        <w:spacing w:after="0" w:line="1" w:lineRule="exact"/>
        <w:rPr>
          <w:sz w:val="20"/>
          <w:szCs w:val="20"/>
          <w:color w:val="auto"/>
        </w:rPr>
      </w:pPr>
    </w:p>
    <w:p>
      <w:pPr>
        <w:ind w:left="5540" w:right="2000" w:hanging="5424"/>
        <w:spacing w:after="0" w:line="433" w:lineRule="auto"/>
        <w:tabs>
          <w:tab w:leader="none" w:pos="33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consecutive trading day where the sale price of the Class A Common Stock equals or exceeds $12.00 per share (as 37</w:t>
      </w:r>
    </w:p>
    <w:p>
      <w:pPr>
        <w:sectPr>
          <w:pgSz w:w="11900" w:h="16838" w:orient="portrait"/>
          <w:cols w:equalWidth="0" w:num="1">
            <w:col w:w="11120"/>
          </w:cols>
          <w:pgMar w:left="320" w:top="482"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adjusted for stock splits, stock dividends, reorganizations, recapitalizations and the like) for any 20 trading days within any 30-trading day period commencing at least 150 days after the Business Combination or (ii) such date on which we completed a liquidation, merger, stock exchange or other similar transaction that resulted in all of our stockholders having the right to exchange their shares of Class A Common Stock for cash, securities or other property. These lock-up restrictions expired in 2021.</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offering of shares of our Class A Common Stock in March 2021, (i) we agreed that, without the prior written consent of Goldman Sachs &amp; Co. LLC and Morgan Stanley &amp; Co. LLC on behalf of the underwriters and subject to certain exceptions, we would not offer, sell, or agree to sell, directly or indirectly, any shares of our Common Stock for a period of 90 days from the date of the final prospectus relating to such offering, and (ii) each of our directors and executive officers agreed with the underwriters, subject to certain exceptions, not to dispose of or hedge any shares of our Common Stock or securities convertible into or exchangeable for shares of Common Stock during the period from the date of such agreement continuing through May 21, 2021, except with the prior written consent of Goldman Sachs &amp; Co. LLC and Morgan Stanley &amp; Co. LLC. These lock-up restrictions expired in 2021.</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Senior Employee Lock-Up Agreements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transactions contemplated by the Business Combination Agreement, on September 2, 2020, Kensington entered into separate Senior Employee Lock-Up Agreements with certain senior level employees of Legacy QuantumScape (the “Senior Employees”), including Legacy QuantumScape’s executive officers. The Senior Employee Lock-Up Agreements provide that the securities of our company owned of record or beneficially by the Senior Employees (including certain securities that may be granted or issued to a Senior Employee after the Business Combination) (collectively, the “Lock-Up Shares”) may generally not be transferred for at least 180 days after the Business Combination (the “Initial Lock-Up Period”) and up to four years after the Business Combination, subject to certain exceptions. Following the Initial Lock-Up Period, Senior Employees may transfer Lock-Up Shares without restriction as follows: (i) during the first year after the Business Combination, up to 25% of the total number of Lock-Up Shares, (ii) following the first anniversary of the Business Combination until the earlier of four years after the Business Combination or the occurrence of an event described below, up to 50% of the total number of Lock-Up Shares (taking into account any transfers under clause (i) above), and (iii) up to an additional 50% of the total number of Lock-Up Shares following satisfaction of agreed delivery requirements between us and VGA.</w:t>
      </w:r>
    </w:p>
    <w:p>
      <w:pPr>
        <w:spacing w:after="0" w:line="19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These transfer restrictions are subject to earlier release if (i) we complete a liquidation, merger, stock exchange or other similar transaction after the Business Combination that results in all of our stockholders having the right to exchange their shares of common stock for cash, securities or other property; (ii) VGA terminates for any reason the Amended and Restated Joint Venture Agreement, dated as of May 14, 2020, by and among us and VGA; (iii) VGA issues a critical or negative statement regarding us and our technology unless such statement is required to be made by VGA under applicable law and is truthful and accurate; or (iv) VGA transfers certain of our securities in excess of the amounts set forth in the Senior Employee Lock-Up Agreements. Pursuant to the Senior Employee Lock-Up Agreements, upon the consummation of the merger, we paid to each Senior Employee a one-time cash bonus.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Letter Agreements on Board and Committee Representation</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On September 2, 2020, we entered into a letter agreement (the “Original Letter Agreement”) with Legacy QuantumScape, and VGA pursuant to which we would nominate one designee of VGA for election to our board of directors, and from and after the First Closing (as defined under the Series F Preferred Stock Purchase Agreement between Legacy QuantumScape and VGA, dated May 14, 2020), a second designee of VGA. On December 7, 2020, the parties amended and restated the Original Letter Agreement to provide (subject to VGA satisfying certain specified stock ownership thresholds) that (i) in connection with any annual or special meeting of stockholders at which directors will be elected, we will nominate for election to our board of directors two designees of VGA (each, a “VW Director”), and (ii) we shall cause one VW Director to be appointed to the nominating and corporate governance committee of our board of directors, provided that such VW Director fulfills the independence requirements under applicable NYSE rules (as amended, the “VW Director Agreement”). Messrs. Blome and Wiese are the two current VW Directors pursuant to the VW Director Agreement.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VGA Letter Agreement on Earmarked Funds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September 2, 2020, Kensington, Legacy QuantumScape and VGA entered into a letter agreement pursuant to which, subject to the terms of such letter agreement, Kensington and Legacy QuantumScape agreed to reserve a certain portion of the proceeds from our Series F Preferred Stock financing (as described below) and the capital obtained through the Business Combination (including any concurrent “PIPE” financing) in a separate account to fund our future contributions to QSV Operations LLC, the joint venture between us and VGA (“QSV”). The parties agreed that the amount to be held in the separate account was $134 million as of the date of the letter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 Exculpation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limits our directors’ liability for money damages to the fullest extent permitted under the DGCL. The DGCL permits a certificate of incorporation provision to provide that directors of a corporation will not be personally liable for monetary damages for breach of their fiduciary duties as directors, except for liability:</w:t>
      </w:r>
    </w:p>
    <w:p>
      <w:pPr>
        <w:spacing w:after="0" w:line="8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unlawful payments of dividends or redemptions or repurchases of shares;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 The DGCL and our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in advance of the final disposition of the proceeding, subject to an undertaking by or on behalf of such person to repay such amounts if it shall ultimately be determined that the person is not entitled to be indemnified under our Bylaws or the DGCL.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following the Business Combination. These indemnification agreements provide our directors and executive officers with contractual rights to indemnification and advancement for certain expenses, including attorneys’ fees, judgments,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Certificate of Incorporation and our Bylaws may discourage stockholders from bringing a lawsuit against directors for breach of their fiduciary duties. They may also reduce the likelihood of derivative litigation against our directors and officers, even though an action, if successful, might benefit us and our stockholders. A stockholder’s investment may decline in value to the extent we pay the costs of settlement and damage awards against our directors and officers pursuant to these indemnification provisions.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698"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Financings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F Preferred Stock Financing</w:t>
      </w:r>
    </w:p>
    <w:p>
      <w:pPr>
        <w:spacing w:after="0" w:line="121" w:lineRule="exact"/>
        <w:rPr>
          <w:sz w:val="20"/>
          <w:szCs w:val="20"/>
          <w:color w:val="auto"/>
        </w:rPr>
      </w:pPr>
    </w:p>
    <w:p>
      <w:pPr>
        <w:jc w:val="both"/>
        <w:ind w:left="120" w:right="200" w:firstLine="440"/>
        <w:spacing w:after="0" w:line="272" w:lineRule="auto"/>
        <w:rPr>
          <w:sz w:val="20"/>
          <w:szCs w:val="20"/>
          <w:color w:val="auto"/>
        </w:rPr>
      </w:pPr>
      <w:r>
        <w:rPr>
          <w:rFonts w:ascii="Times New Roman" w:cs="Times New Roman" w:eastAsia="Times New Roman" w:hAnsi="Times New Roman"/>
          <w:sz w:val="17"/>
          <w:szCs w:val="17"/>
          <w:color w:val="auto"/>
        </w:rPr>
        <w:t>From May 14, 2020 through September 3, 2020, Legacy QuantumScape entered into several Series F Preferred Stock Purchase Agreements and related agreements and amendments thereto, pursuant to which it agreed to sell, and related persons, entities and their affiliates agreed to purchase, an aggregate of 14,041,437 shares of Legacy QuantumScape Series F Preferred Stock for an aggregate purchase price of $371 million as set forth below.</w:t>
      </w:r>
    </w:p>
    <w:p>
      <w:pPr>
        <w:spacing w:after="0" w:line="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On March 30, 2021, the Company, Legacy QuantumScape, and VGA agreed that the technical milestone under the Series F Preferred Stock Agreement (as amended) was satisfied and entered into an amendment to, among other things, consummate the sale of Class A Common Stock to VGA (the “Series F Closing Agreement”). The sale was consummated on April 28, 2021, representing the second and final closing in the Series F Preferred Stock Financing.</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Legacy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QuantumScape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Series 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4980" w:type="dxa"/>
            <w:vAlign w:val="bottom"/>
            <w:vMerge w:val="restart"/>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80"/>
        </w:trPr>
        <w:tc>
          <w:tcPr>
            <w:tcW w:w="760" w:type="dxa"/>
            <w:vAlign w:val="bottom"/>
            <w:tcBorders>
              <w:bottom w:val="single" w:sz="8" w:color="auto"/>
            </w:tcBorders>
            <w:vMerge w:val="continue"/>
          </w:tcPr>
          <w:p>
            <w:pPr>
              <w:spacing w:after="0"/>
              <w:rPr>
                <w:sz w:val="15"/>
                <w:szCs w:val="15"/>
                <w:color w:val="auto"/>
              </w:rPr>
            </w:pPr>
          </w:p>
        </w:tc>
        <w:tc>
          <w:tcPr>
            <w:tcW w:w="4980" w:type="dxa"/>
            <w:vAlign w:val="bottom"/>
            <w:vMerge w:val="continue"/>
          </w:tcPr>
          <w:p>
            <w:pPr>
              <w:spacing w:after="0"/>
              <w:rPr>
                <w:sz w:val="15"/>
                <w:szCs w:val="15"/>
                <w:color w:val="auto"/>
              </w:rPr>
            </w:pPr>
          </w:p>
        </w:tc>
        <w:tc>
          <w:tcPr>
            <w:tcW w:w="116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Volkswagen Group of America Investments, LLC(1)(2)</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7,569,508</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200,000,026.48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Al-Rayyan Holding LLC(3)</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3,557,668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93,999,992.37</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 Buss Family Trust(3)(4)</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75,695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1,999,998.16</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 Straubel(3)(5)</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54,572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1,441,890.47</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TIGF Direct Strategies LLC – Series 3(3)(6)</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870,493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22,999,991.95</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Impact Growth Fund, L.P.(3)(6)</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264,933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7,000,006.74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Quantum Partners LP(3)(7)</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722,363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19,086,130.72</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Palindrome Master Fund LP(3)(7)</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101,921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2,692,936.28</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JS Capital LLC(3)(7)</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824,284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21,779,067.00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0" w:hanging="424"/>
        <w:spacing w:after="0" w:line="261"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Frank Blome was a member of the board of directors of Legacy QuantumScape and is a member of our board of directors and an affiliate of VGA. Jens Wiese is a member of our board of directors and an affiliate of VGA.</w:t>
      </w:r>
    </w:p>
    <w:p>
      <w:pPr>
        <w:ind w:left="540" w:right="60" w:hanging="424"/>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that were purchased after the Business Combination on December 1, 2020 and shares that were purchased pursuant to the Series F Closing Agreement.</w:t>
      </w: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were purchased on or prior to the Business Combination.</w:t>
      </w:r>
    </w:p>
    <w:p>
      <w:pPr>
        <w:spacing w:after="0" w:line="9"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 Buss was a member of the board of directors of Legacy QuantumScape and is a member of our board of directors and an affiliate of the 2011 Buss Family Trust.</w:t>
      </w: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JB Straubel was a member of the board of directors of Legacy QuantumScape and is a member of our board of directors.</w:t>
      </w:r>
    </w:p>
    <w:p>
      <w:pPr>
        <w:spacing w:after="0" w:line="9"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Dipender Saluja was a member of the board of directors of Legacy QuantumScape and is a member of our board of directors and an affiliate of TIGF Direct Strategies LLC – Series 3 and Technology Impact Growth Fund, L.P.</w:t>
      </w: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of Soros Fund.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Commercial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Volkswagen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Joint Venture Agreement</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June 2018, Legacy QuantumScape and VGA formed a 50-50 joint venture entity, QSV, to facilitate the commercialization of Legacy QuantumScape’s solid-state battery technology and enable Volkswagen AG to be the first automotive OEM to utilize this technology. In 2018, the parties made an initial equity investment to the joint venture of approximately $3 million in total. The joint venture agreements were amended in 2020 in connection with a further $200 million investment commitment by VGA in Legacy QuantumScape Series F Preferred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Limited Liability Company Agreement</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June 2018, in connection with the joint venture, QSV was organized in connection with entry into a Limited Liability Company Agreement (the “LLCA”), with Legacy QuantumScape and VGA designated as the members of QSV. In May 2020, the parties amended and restated the LLCA in connection with the amendment to the joint venture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Phase 1 License Agreement</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May 2020, in connection with the joint venture, Legacy QuantumScape entered into a license agreement with QSV (which amended and restated a license agreement entered into in September 2018) to license its battery technology. The battery technology that is licensed to the joint venture does not include the right to manufacture Legacy QuantumScape’s proprietary solid-state separator.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Common IP License Agreements</w:t>
      </w:r>
    </w:p>
    <w:p>
      <w:pPr>
        <w:spacing w:after="0" w:line="11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May 2020, in connection with the joint venture, Legacy QuantumScape entered into a license agreement with Volkswagen Group of America, Inc. (“VWGoA”) (which amended and restated a license agreement entered into in September 2018) to license certain intellectual property on a royalty free basis in connection with production and manufacturing of solid-state battery cells by the joint venture in the automotive space.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Mutual Non-Disclosure Agreement</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January 2017, Legacy QuantumScape entered into, and in April 2018, amended, a mutual non-disclosure agreement with VWGoA to provide to each other certain proprietary, confidential and trade secret information in connection with discussion and negotiations regarding potential cooperation in connection with the development and production of battery cells and related components, including research and development regarding production process.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fiscal year 2021, we paid Prof. Dr. Fritz Prinz, a member of our board of directors, compensation of approximately $216,000 in exchange for certain technical consulting and advisory services apart from his board service. In addition, Prof. Dr. Fritz Prinz received an option grant pursuant to our EPA Program on December 16, 2021. The applicable tranches for this grant to vest are described in the section titled “Equity Compensation— Extraordinary Performance Award Program.” Based on the aggregate grant date fair value of this grant computed in accordance with FASB ASC Topic 718 and the achievement of the tranches deemed currently probable to vest as of the grant date, the value of this option grant was approximately $1,709,217.</w:t>
      </w:r>
    </w:p>
    <w:p>
      <w:pPr>
        <w:spacing w:after="0" w:line="18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February 14, 2022, we entered into a Material Recycling Agreement with Redwood Materials, Inc. (“Redwood”) to jointly develop methods for Redwood to handle and process our non-hazardous waste materials. JB Straubel, a member of our board of directors, is the Chief Executive Officer and on the board of directors of Redwood Materials, Inc.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Class A Common Stock is listed on the NYSE. As a company listed on the NYSE, we are required under NYSE listing rules to maintain a board comprised of a majority of independent directors as determined affirmatively by our board. Under NYSE listing rules, a director will only qualify as an independent director if that listed company’s board of directors affirmatively determines that the director has no material relationship with such listed company (either directly or as a partner, stockholder or officer of an organization that has a relationship with such listed company). In addition, the NYSE listing rules require that, subject to specified exceptions, each member of our audit, compensation and nominating and corporate governance committees be independent. Our corporate governance guidelines define independence in accordance with the independence definition in the applicable NYSE listing rules.</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Audit committee members must also satisfy the additional independence criteria set forth in Rule 10A-3 under the Exchange Act and NYSE listing rules applicable to audit committee members. Compensation committee members must also satisfy the additional independence criteria set forth in Rule 10C-1 under the Exchange Act and NYSE listing rules applicable to compensation committee members.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0" w:firstLine="440"/>
        <w:spacing w:after="0" w:line="272" w:lineRule="auto"/>
        <w:rPr>
          <w:sz w:val="20"/>
          <w:szCs w:val="20"/>
          <w:color w:val="auto"/>
        </w:rPr>
      </w:pPr>
      <w:r>
        <w:rPr>
          <w:rFonts w:ascii="Times New Roman" w:cs="Times New Roman" w:eastAsia="Times New Roman" w:hAnsi="Times New Roman"/>
          <w:sz w:val="17"/>
          <w:szCs w:val="17"/>
          <w:color w:val="auto"/>
        </w:rPr>
        <w:t>Our board of directors has undertaken a review of the independence of each of our directors. Based on information provided by each director concerning his or her background, employment, affiliations and business and personal activities, our board of directors has determined that Messrs. Blome, Buss, Mirro, Saluja, Straubel and Wiese, Prof. Dr. Leohold, and Mmes. Hanley, Huppertz and Lovett, representing ten (10) of our twelve</w:t>
      </w:r>
    </w:p>
    <w:p>
      <w:pPr>
        <w:spacing w:after="0" w:line="2" w:lineRule="exact"/>
        <w:rPr>
          <w:sz w:val="20"/>
          <w:szCs w:val="20"/>
          <w:color w:val="auto"/>
        </w:rPr>
      </w:pPr>
    </w:p>
    <w:p>
      <w:pPr>
        <w:ind w:left="120" w:right="80" w:hanging="4"/>
        <w:spacing w:after="0" w:line="252" w:lineRule="auto"/>
        <w:tabs>
          <w:tab w:leader="none" w:pos="4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do not have any material relationship with us (either directly or as a partner, stockholder or officer of an organization that has a relationship with us) and that each of these directors is an “independent director” as defined under the listing standards of the NYSE. Jagdeep Singh is not considered an independent director because of his position as our President and CEO. Prof. Dr. Fritz Prinz is not considered an independent director because of his status as a co-founder of the Company and technical consulting and advisory services he provides to the Company apart from his board service. In determining the independence of directors, our board of directors has also considered transactions, relationships and other arrangements between our directors and officers and certain of their affiliates, in their individual capacities and not as representatives of our company, and funds that are not affiliated with our company.</w:t>
      </w:r>
    </w:p>
    <w:p>
      <w:pPr>
        <w:spacing w:after="0" w:line="18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making these determinations, our board of directors considered the current and prior relationships that each outside director has with our company and all other facts and circumstances that our board of directors deemed relevant in determining their independence, including the beneficial ownership of our capital stock by each outside director, and the transactions involving them described in this section.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Leadership Structure and Role of Lead Independent Director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Mr. Singh currently serves as both the chairman of our board of directors and as our President and CEO. As our co-founder, Mr. Singh is best positioned to identify strategic priorities, lead critical discussion, and execute our business plans. Our corporate governance framework provides our board flexibility to determine the appropriate leadership structure for the company, and whether the roles of chairperson, president and chief executive officer should be separated or combined. In making this determination, our board considers many factors, including the needs of the business, our board’s assessment of its leadership needs from time to time and the best interests of our stockholders. Our board of directors has adopted corporate governance guidelines that provide that the board may appoint one of our independent directors to serve as our lead independent director at any time when the chairperson of our board of directors is not independent, including when our president and chief executive officer serves as the chairman of our board of directors. Because Mr. Singh is our chairman and also our President and CEO, our board of directors has appointed Mr. Mirro to serve as our lead independent director. As lead independent director, Mr. Mirro is responsible for calling separate meetings of the independent directors, determining the agenda and presiding over such periodic meetings of our independent directors, serving as a liaison between Mr. Singh and our independent directors, including reporting to Mr. Singh regarding feedback from executive sessions, serving as our spokesperson as requested and performing such additional duties as a majority of our independent directors may otherwise determine or delegate.</w:t>
      </w:r>
    </w:p>
    <w:p>
      <w:pPr>
        <w:spacing w:after="0" w:line="190"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Only independent directors serve on the audit committee, the compensation committee, and the nominating and corporate governance committee of our board of directors. As a result of the board of directors’ committee system and the existence of a majority of independent directors, the board of directors maintains effective oversight of our business operations, including independent oversight of our financial statements, executive compensation, selection of director candidates and corporate governance programs. We believe that the leadership structure of our board of directors, including</w:t>
      </w:r>
    </w:p>
    <w:p>
      <w:pPr>
        <w:spacing w:after="0" w:line="3"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Mr. Mirro’s role as lead independent director, as well as the independent committees of our board of directors is appropriate and enhances our board of directors’ ability to effectively carry out its roles and responsibilities on behalf of our stockholders, while Mr. Singh’s combined role enables strong leadership, creates clear accountability and enhances our ability to communicate our message and strategy clearly and consistently to stockholders.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Paid to the Independent Registered Public Accounting Firm</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and other services rendered to us by Ernst &amp; Young LLP for our fiscal years ended December 31, 2021 and December 31, 2020 (amounts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5"/>
                <w:szCs w:val="15"/>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$2,106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$2,559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Fees(3)</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176</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28"/>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Fees</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$2,282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$2,599</w:t>
            </w:r>
          </w:p>
        </w:tc>
        <w:tc>
          <w:tcPr>
            <w:tcW w:w="40" w:type="dxa"/>
            <w:vAlign w:val="bottom"/>
          </w:tcPr>
          <w:p>
            <w:pPr>
              <w:spacing w:after="0"/>
              <w:rPr>
                <w:sz w:val="19"/>
                <w:szCs w:val="19"/>
                <w:color w:val="auto"/>
              </w:rPr>
            </w:pPr>
          </w:p>
        </w:tc>
      </w:tr>
    </w:tbl>
    <w:p>
      <w:pPr>
        <w:spacing w:after="0" w:line="220" w:lineRule="exact"/>
        <w:rPr>
          <w:sz w:val="20"/>
          <w:szCs w:val="20"/>
          <w:color w:val="auto"/>
        </w:rPr>
      </w:pPr>
    </w:p>
    <w:p>
      <w:pPr>
        <w:jc w:val="both"/>
        <w:ind w:left="540" w:hanging="424"/>
        <w:spacing w:after="0" w:line="255"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rendered in connection with the audit of our consolidated financial statements, reviews of our quarterly consolidated financial statements and related accounting consultations and services that are normally provided by the independent registered public accountants in connection with statutory and regulatory filings or engagements for those fiscal years. This category also includes fees for services incurred in connection with the Business Combination.</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consists of fees for services for an information security assessment (the Trust Information Security Assessment Exchange, or TISAX).</w:t>
      </w:r>
    </w:p>
    <w:p>
      <w:pPr>
        <w:ind w:left="540" w:right="180" w:hanging="424"/>
        <w:spacing w:after="0" w:line="26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consists of fees for tax compliance services, including assistance with the preparation of income tax returns and general tax planning and consulting.</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 each of 2021 and 2020, there were no other professional services provided by Ernst &amp; Young LLP, other than those listed above, that would have required our audit committee to consider their compatibility with maintaining the independence of Ernst &amp; Young LLP.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Policy on Pre-Approval of Audit and Permissible Non-Audit Services of Independent Registered Public Accounting Firm</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Effective upon the consummation of the Business Combination, 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 Since the adoption of this policy, all services provided by Ernst &amp; Young LLP for our fiscal years ended December 31, 2021 and December 31, 2020 were pre-approved by our audit committee.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82"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Documents filed as part of this Amendment are as follows:</w:t>
      </w:r>
    </w:p>
    <w:p>
      <w:pPr>
        <w:spacing w:after="0" w:line="131" w:lineRule="exact"/>
        <w:rPr>
          <w:sz w:val="20"/>
          <w:szCs w:val="20"/>
          <w:color w:val="auto"/>
        </w:rPr>
      </w:pPr>
    </w:p>
    <w:p>
      <w:pPr>
        <w:ind w:left="2080" w:hanging="533"/>
        <w:spacing w:after="0"/>
        <w:tabs>
          <w:tab w:leader="none" w:pos="2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Index to Consolidated Financial Statements appearing on page 50 of the Original Filing.</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spacing w:after="0" w:line="130" w:lineRule="exact"/>
        <w:rPr>
          <w:rFonts w:ascii="Times New Roman" w:cs="Times New Roman" w:eastAsia="Times New Roman" w:hAnsi="Times New Roman"/>
          <w:sz w:val="18"/>
          <w:szCs w:val="18"/>
          <w:color w:val="auto"/>
        </w:rPr>
      </w:pPr>
    </w:p>
    <w:p>
      <w:pPr>
        <w:ind w:left="2080" w:hanging="533"/>
        <w:spacing w:after="0" w:line="282" w:lineRule="auto"/>
        <w:tabs>
          <w:tab w:leader="none" w:pos="2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below are filed as part of this Amendment or are incorporated herein by reference, in each case as indicated below.</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00"/>
          </w:cols>
          <w:pgMar w:left="320" w:top="482" w:right="10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18"/>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515"/>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60" w:type="dxa"/>
            <w:vAlign w:val="bottom"/>
            <w:gridSpan w:val="2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2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23"/>
                <w:szCs w:val="23"/>
                <w:color w:val="auto"/>
              </w:rPr>
            </w:pPr>
          </w:p>
        </w:tc>
        <w:tc>
          <w:tcPr>
            <w:tcW w:w="53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Business Combination Agreement, dated as of September 2, 2020, by and</w:t>
              </w:r>
            </w:hyperlink>
          </w:p>
        </w:tc>
        <w:tc>
          <w:tcPr>
            <w:tcW w:w="520" w:type="dxa"/>
            <w:vAlign w:val="bottom"/>
            <w:gridSpan w:val="11"/>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among Kensington Capital Acquisition Corp., Kensington Capital Merger Sub</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Corp. and Legacy QuantumScape.</w:t>
              </w:r>
            </w:hyperlink>
          </w:p>
        </w:tc>
        <w:tc>
          <w:tcPr>
            <w:tcW w:w="33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24"/>
                <w:szCs w:val="24"/>
                <w:color w:val="auto"/>
              </w:rPr>
            </w:pPr>
          </w:p>
        </w:tc>
        <w:tc>
          <w:tcPr>
            <w:tcW w:w="574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Amendment No. 1 to Business Combination Agreement, dated as of September</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21, 2020, by and among Kensington Capital Acquisition Corp., Kensington</w:t>
              </w:r>
            </w:hyperlink>
          </w:p>
        </w:tc>
        <w:tc>
          <w:tcPr>
            <w:tcW w:w="4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40" w:type="dxa"/>
            <w:vAlign w:val="bottom"/>
            <w:gridSpan w:val="35"/>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Capital Merger Sub Corp. and Legacy QuantumScape.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49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Amended and Restated Certificate of Incorporation of the Company.</w:t>
              </w:r>
            </w:hyperlink>
          </w:p>
        </w:tc>
        <w:tc>
          <w:tcPr>
            <w:tcW w:w="9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35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Amended and Restated Bylaws of the Company.</w:t>
              </w:r>
            </w:hyperlink>
          </w:p>
        </w:tc>
        <w:tc>
          <w:tcPr>
            <w:tcW w:w="23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2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Specimen Common Stock Certificate.</w:t>
              </w:r>
            </w:hyperlink>
          </w:p>
        </w:tc>
        <w:tc>
          <w:tcPr>
            <w:tcW w:w="310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24"/>
                <w:szCs w:val="24"/>
                <w:color w:val="auto"/>
              </w:rPr>
            </w:pPr>
          </w:p>
        </w:tc>
        <w:tc>
          <w:tcPr>
            <w:tcW w:w="5840" w:type="dxa"/>
            <w:vAlign w:val="bottom"/>
            <w:gridSpan w:val="35"/>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Warrant Agreement, dated June 25, 2020, by and between the Registrant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Continental Stock Transfer &amp; Trust Company.</w:t>
              </w:r>
            </w:hyperlink>
          </w:p>
        </w:tc>
        <w:tc>
          <w:tcPr>
            <w:tcW w:w="2180" w:type="dxa"/>
            <w:vAlign w:val="bottom"/>
            <w:tcBorders>
              <w:top w:val="single" w:sz="8" w:color="0000EE"/>
            </w:tcBorders>
            <w:gridSpan w:val="16"/>
          </w:tcPr>
          <w:p>
            <w:pPr>
              <w:spacing w:after="0"/>
              <w:rPr>
                <w:sz w:val="17"/>
                <w:szCs w:val="17"/>
                <w:color w:val="auto"/>
              </w:rPr>
            </w:pPr>
          </w:p>
        </w:tc>
        <w:tc>
          <w:tcPr>
            <w:tcW w:w="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24"/>
                <w:szCs w:val="24"/>
                <w:color w:val="auto"/>
              </w:rPr>
            </w:pPr>
          </w:p>
        </w:tc>
        <w:tc>
          <w:tcPr>
            <w:tcW w:w="54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Amendment No. 1 to Warrant Agreement, dated February 13, 2021, by and</w:t>
              </w:r>
            </w:hyperlink>
          </w:p>
        </w:tc>
        <w:tc>
          <w:tcPr>
            <w:tcW w:w="4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3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between the Registrant and Continental Stock Transfer &amp; Trust Company.</w:t>
              </w:r>
            </w:hyperlink>
          </w:p>
        </w:tc>
        <w:tc>
          <w:tcPr>
            <w:tcW w:w="5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24"/>
                <w:szCs w:val="24"/>
                <w:color w:val="auto"/>
              </w:rPr>
            </w:pPr>
          </w:p>
        </w:tc>
        <w:tc>
          <w:tcPr>
            <w:tcW w:w="5840" w:type="dxa"/>
            <w:vAlign w:val="bottom"/>
            <w:gridSpan w:val="35"/>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Description of Securities.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5840" w:type="dxa"/>
            <w:vAlign w:val="bottom"/>
            <w:gridSpan w:val="35"/>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Registration Rights and Lock-up Agreement, dated as of September 2, 2020,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74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and among Kensington Capital Acquisition Corp. and the persons named</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therein.</w:t>
              </w:r>
            </w:hyperlink>
          </w:p>
        </w:tc>
        <w:tc>
          <w:tcPr>
            <w:tcW w:w="4700" w:type="dxa"/>
            <w:vAlign w:val="bottom"/>
            <w:tcBorders>
              <w:top w:val="single" w:sz="8" w:color="0000EE"/>
            </w:tcBorders>
            <w:gridSpan w:val="20"/>
          </w:tcPr>
          <w:p>
            <w:pPr>
              <w:spacing w:after="0"/>
              <w:rPr>
                <w:sz w:val="17"/>
                <w:szCs w:val="17"/>
                <w:color w:val="auto"/>
              </w:rPr>
            </w:pPr>
          </w:p>
        </w:tc>
        <w:tc>
          <w:tcPr>
            <w:tcW w:w="5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24"/>
                <w:szCs w:val="24"/>
                <w:color w:val="auto"/>
              </w:rPr>
            </w:pPr>
          </w:p>
        </w:tc>
        <w:tc>
          <w:tcPr>
            <w:tcW w:w="5840" w:type="dxa"/>
            <w:vAlign w:val="bottom"/>
            <w:gridSpan w:val="35"/>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Senior Employee Lock-Up Agreement.</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24"/>
                <w:szCs w:val="24"/>
                <w:color w:val="auto"/>
              </w:rPr>
            </w:pPr>
          </w:p>
        </w:tc>
        <w:tc>
          <w:tcPr>
            <w:tcW w:w="218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Form of Lock-Up Agreement.</w:t>
              </w:r>
            </w:hyperlink>
          </w:p>
        </w:tc>
        <w:tc>
          <w:tcPr>
            <w:tcW w:w="1280" w:type="dxa"/>
            <w:vAlign w:val="bottom"/>
            <w:tcBorders>
              <w:top w:val="single" w:sz="8" w:color="0000EE"/>
            </w:tcBorders>
            <w:gridSpan w:val="6"/>
          </w:tcPr>
          <w:p>
            <w:pPr>
              <w:spacing w:after="0"/>
              <w:rPr>
                <w:sz w:val="24"/>
                <w:szCs w:val="24"/>
                <w:color w:val="auto"/>
              </w:rPr>
            </w:pPr>
          </w:p>
        </w:tc>
        <w:tc>
          <w:tcPr>
            <w:tcW w:w="23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24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Form of Subscription Agreement.</w:t>
              </w:r>
            </w:hyperlink>
          </w:p>
        </w:tc>
        <w:tc>
          <w:tcPr>
            <w:tcW w:w="340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Pr>
          <w:p>
            <w:pPr>
              <w:spacing w:after="0"/>
              <w:rPr>
                <w:sz w:val="24"/>
                <w:szCs w:val="24"/>
                <w:color w:val="auto"/>
              </w:rPr>
            </w:pPr>
          </w:p>
        </w:tc>
        <w:tc>
          <w:tcPr>
            <w:tcW w:w="5840" w:type="dxa"/>
            <w:vAlign w:val="bottom"/>
            <w:gridSpan w:val="35"/>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Stockholder Support Agreement, dated as of September 2, 2020, by and between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20" w:type="dxa"/>
            <w:vAlign w:val="bottom"/>
            <w:tcBorders>
              <w:top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Kensington Capital Acquisition Corp. and Volkswagen Group of America</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Investments, LLC.</w:t>
              </w:r>
            </w:hyperlink>
          </w:p>
        </w:tc>
        <w:tc>
          <w:tcPr>
            <w:tcW w:w="3960" w:type="dxa"/>
            <w:vAlign w:val="bottom"/>
            <w:tcBorders>
              <w:top w:val="single" w:sz="8" w:color="0000EE"/>
            </w:tcBorders>
            <w:gridSpan w:val="20"/>
          </w:tcPr>
          <w:p>
            <w:pPr>
              <w:spacing w:after="0"/>
              <w:rPr>
                <w:sz w:val="17"/>
                <w:szCs w:val="17"/>
                <w:color w:val="auto"/>
              </w:rPr>
            </w:pPr>
          </w:p>
        </w:tc>
        <w:tc>
          <w:tcPr>
            <w:tcW w:w="5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24"/>
                <w:szCs w:val="24"/>
                <w:color w:val="auto"/>
              </w:rPr>
            </w:pPr>
          </w:p>
        </w:tc>
        <w:tc>
          <w:tcPr>
            <w:tcW w:w="572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Stockholder Support Agreement, dated as of September 2, 2020, by and among</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Kensington Capital Acquisition Corp. and the persons named therein.</w:t>
              </w:r>
            </w:hyperlink>
          </w:p>
        </w:tc>
        <w:tc>
          <w:tcPr>
            <w:tcW w:w="8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Pr>
          <w:p>
            <w:pPr>
              <w:spacing w:after="0"/>
              <w:rPr>
                <w:sz w:val="24"/>
                <w:szCs w:val="24"/>
                <w:color w:val="auto"/>
              </w:rPr>
            </w:pPr>
          </w:p>
        </w:tc>
        <w:tc>
          <w:tcPr>
            <w:tcW w:w="53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Form of Indemnification Agreement by and between the Registrant and its</w:t>
              </w:r>
            </w:hyperlink>
          </w:p>
        </w:tc>
        <w:tc>
          <w:tcPr>
            <w:tcW w:w="4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directors and officers.</w:t>
              </w:r>
            </w:hyperlink>
          </w:p>
        </w:tc>
        <w:tc>
          <w:tcPr>
            <w:tcW w:w="426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tcPr>
          <w:p>
            <w:pPr>
              <w:spacing w:after="0"/>
              <w:rPr>
                <w:sz w:val="24"/>
                <w:szCs w:val="24"/>
                <w:color w:val="auto"/>
              </w:rPr>
            </w:pPr>
          </w:p>
        </w:tc>
        <w:tc>
          <w:tcPr>
            <w:tcW w:w="5840" w:type="dxa"/>
            <w:vAlign w:val="bottom"/>
            <w:gridSpan w:val="35"/>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The Registrant’s 2020 Equity Incentive Plan.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tcPr>
          <w:p>
            <w:pPr>
              <w:spacing w:after="0"/>
              <w:rPr>
                <w:sz w:val="24"/>
                <w:szCs w:val="24"/>
                <w:color w:val="auto"/>
              </w:rPr>
            </w:pPr>
          </w:p>
        </w:tc>
        <w:tc>
          <w:tcPr>
            <w:tcW w:w="50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The Registrant’s 2020 Equity Incentive Plan — Form of Stock Option</w:t>
              </w:r>
            </w:hyperlink>
          </w:p>
        </w:tc>
        <w:tc>
          <w:tcPr>
            <w:tcW w:w="7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Agreement.</w:t>
              </w:r>
            </w:hyperlink>
          </w:p>
        </w:tc>
        <w:tc>
          <w:tcPr>
            <w:tcW w:w="498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10.10+</w:t>
            </w:r>
          </w:p>
        </w:tc>
        <w:tc>
          <w:tcPr>
            <w:tcW w:w="340" w:type="dxa"/>
            <w:vAlign w:val="bottom"/>
          </w:tcPr>
          <w:p>
            <w:pPr>
              <w:spacing w:after="0"/>
              <w:rPr>
                <w:sz w:val="24"/>
                <w:szCs w:val="24"/>
                <w:color w:val="auto"/>
              </w:rPr>
            </w:pPr>
          </w:p>
        </w:tc>
        <w:tc>
          <w:tcPr>
            <w:tcW w:w="5840" w:type="dxa"/>
            <w:vAlign w:val="bottom"/>
            <w:gridSpan w:val="35"/>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The Registrant’s 2020 Equity Incentive Plan — Form of Restricted Stock Unit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Agreement.</w:t>
              </w:r>
            </w:hyperlink>
          </w:p>
        </w:tc>
        <w:tc>
          <w:tcPr>
            <w:tcW w:w="4780" w:type="dxa"/>
            <w:vAlign w:val="bottom"/>
            <w:tcBorders>
              <w:top w:val="single" w:sz="8" w:color="0000EE"/>
            </w:tcBorders>
            <w:gridSpan w:val="27"/>
          </w:tcPr>
          <w:p>
            <w:pPr>
              <w:spacing w:after="0"/>
              <w:rPr>
                <w:sz w:val="17"/>
                <w:szCs w:val="17"/>
                <w:color w:val="auto"/>
              </w:rPr>
            </w:pPr>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10.11+</w:t>
            </w:r>
          </w:p>
        </w:tc>
        <w:tc>
          <w:tcPr>
            <w:tcW w:w="340" w:type="dxa"/>
            <w:vAlign w:val="bottom"/>
          </w:tcPr>
          <w:p>
            <w:pPr>
              <w:spacing w:after="0"/>
              <w:rPr>
                <w:sz w:val="24"/>
                <w:szCs w:val="24"/>
                <w:color w:val="auto"/>
              </w:rPr>
            </w:pPr>
          </w:p>
        </w:tc>
        <w:tc>
          <w:tcPr>
            <w:tcW w:w="5840" w:type="dxa"/>
            <w:vAlign w:val="bottom"/>
            <w:gridSpan w:val="35"/>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The Registrant’s 2020 Equity Incentive Plan — Form of Restricted Stock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Agreement.</w:t>
              </w:r>
            </w:hyperlink>
          </w:p>
        </w:tc>
        <w:tc>
          <w:tcPr>
            <w:tcW w:w="4420" w:type="dxa"/>
            <w:vAlign w:val="bottom"/>
            <w:tcBorders>
              <w:top w:val="single" w:sz="8" w:color="0000EE"/>
            </w:tcBorders>
            <w:gridSpan w:val="20"/>
          </w:tcPr>
          <w:p>
            <w:pPr>
              <w:spacing w:after="0"/>
              <w:rPr>
                <w:sz w:val="17"/>
                <w:szCs w:val="17"/>
                <w:color w:val="auto"/>
              </w:rPr>
            </w:pPr>
          </w:p>
        </w:tc>
        <w:tc>
          <w:tcPr>
            <w:tcW w:w="5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10.12+</w:t>
            </w:r>
          </w:p>
        </w:tc>
        <w:tc>
          <w:tcPr>
            <w:tcW w:w="340" w:type="dxa"/>
            <w:vAlign w:val="bottom"/>
          </w:tcPr>
          <w:p>
            <w:pPr>
              <w:spacing w:after="0"/>
              <w:rPr>
                <w:sz w:val="24"/>
                <w:szCs w:val="24"/>
                <w:color w:val="auto"/>
              </w:rPr>
            </w:pPr>
          </w:p>
        </w:tc>
        <w:tc>
          <w:tcPr>
            <w:tcW w:w="5840" w:type="dxa"/>
            <w:vAlign w:val="bottom"/>
            <w:gridSpan w:val="35"/>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The Registrant’s 2020 Employee Stock Purchase Plan.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gridSpan w:val="7"/>
            <w:shd w:val="clear" w:color="auto" w:fill="0000EE"/>
          </w:tcPr>
          <w:p>
            <w:pPr>
              <w:spacing w:after="0" w:line="20" w:lineRule="exact"/>
              <w:rPr>
                <w:sz w:val="1"/>
                <w:szCs w:val="1"/>
                <w:color w:val="auto"/>
              </w:rPr>
            </w:pPr>
          </w:p>
        </w:tc>
        <w:tc>
          <w:tcPr>
            <w:tcW w:w="1760" w:type="dxa"/>
            <w:vAlign w:val="bottom"/>
            <w:gridSpan w:val="9"/>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6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10.13+</w:t>
            </w:r>
          </w:p>
        </w:tc>
        <w:tc>
          <w:tcPr>
            <w:tcW w:w="340" w:type="dxa"/>
            <w:vAlign w:val="bottom"/>
          </w:tcPr>
          <w:p>
            <w:pPr>
              <w:spacing w:after="0"/>
              <w:rPr>
                <w:sz w:val="24"/>
                <w:szCs w:val="24"/>
                <w:color w:val="auto"/>
              </w:rPr>
            </w:pPr>
          </w:p>
        </w:tc>
        <w:tc>
          <w:tcPr>
            <w:tcW w:w="5840" w:type="dxa"/>
            <w:vAlign w:val="bottom"/>
            <w:gridSpan w:val="35"/>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The Registrant’s Outside Director Compensation Policy.</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gridSpan w:val="7"/>
            <w:shd w:val="clear" w:color="auto" w:fill="0000EE"/>
          </w:tcPr>
          <w:p>
            <w:pPr>
              <w:spacing w:after="0" w:line="20" w:lineRule="exact"/>
              <w:rPr>
                <w:sz w:val="1"/>
                <w:szCs w:val="1"/>
                <w:color w:val="auto"/>
              </w:rPr>
            </w:pPr>
          </w:p>
        </w:tc>
        <w:tc>
          <w:tcPr>
            <w:tcW w:w="1900" w:type="dxa"/>
            <w:vAlign w:val="bottom"/>
            <w:gridSpan w:val="10"/>
            <w:shd w:val="clear" w:color="auto" w:fill="0000EE"/>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6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4"/>
              </w:rPr>
              <w:t>10.14+</w:t>
            </w:r>
          </w:p>
        </w:tc>
        <w:tc>
          <w:tcPr>
            <w:tcW w:w="340" w:type="dxa"/>
            <w:vAlign w:val="bottom"/>
          </w:tcPr>
          <w:p>
            <w:pPr>
              <w:spacing w:after="0"/>
              <w:rPr>
                <w:sz w:val="24"/>
                <w:szCs w:val="24"/>
                <w:color w:val="auto"/>
              </w:rPr>
            </w:pPr>
          </w:p>
        </w:tc>
        <w:tc>
          <w:tcPr>
            <w:tcW w:w="5840" w:type="dxa"/>
            <w:vAlign w:val="bottom"/>
            <w:gridSpan w:val="35"/>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Performance Stock Option Agreement under the Extraordinary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1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Performance Award Program.</w:t>
              </w:r>
            </w:hyperlink>
          </w:p>
        </w:tc>
        <w:tc>
          <w:tcPr>
            <w:tcW w:w="6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2140" w:type="dxa"/>
            <w:vAlign w:val="bottom"/>
            <w:tcBorders>
              <w:top w:val="single" w:sz="8" w:color="0000EE"/>
            </w:tcBorders>
            <w:gridSpan w:val="6"/>
          </w:tcPr>
          <w:p>
            <w:pPr>
              <w:spacing w:after="0"/>
              <w:rPr>
                <w:sz w:val="24"/>
                <w:szCs w:val="24"/>
                <w:color w:val="auto"/>
              </w:rPr>
            </w:pPr>
          </w:p>
        </w:tc>
        <w:tc>
          <w:tcPr>
            <w:tcW w:w="2780" w:type="dxa"/>
            <w:vAlign w:val="bottom"/>
            <w:gridSpan w:val="11"/>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26828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Pr>
          <w:p>
            <w:pPr>
              <w:spacing w:after="0"/>
              <w:rPr>
                <w:sz w:val="15"/>
                <w:szCs w:val="15"/>
                <w:color w:val="auto"/>
              </w:rPr>
            </w:pPr>
          </w:p>
        </w:tc>
        <w:tc>
          <w:tcPr>
            <w:tcW w:w="9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5"/>
                <w:szCs w:val="15"/>
                <w:color w:val="auto"/>
              </w:rPr>
            </w:pPr>
          </w:p>
        </w:tc>
        <w:tc>
          <w:tcPr>
            <w:tcW w:w="15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736"/>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S-4/A</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333-248930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2020</w:t>
            </w:r>
          </w:p>
        </w:tc>
      </w:tr>
      <w:tr>
        <w:trPr>
          <w:trHeight w:val="756"/>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S-4/A</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333-248930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2020</w:t>
            </w:r>
          </w:p>
        </w:tc>
      </w:tr>
      <w:tr>
        <w:trPr>
          <w:trHeight w:val="324"/>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001-39345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2, 2020</w:t>
            </w:r>
          </w:p>
        </w:tc>
      </w:tr>
      <w:tr>
        <w:trPr>
          <w:trHeight w:val="324"/>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001-39345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2, 2020</w:t>
            </w:r>
          </w:p>
        </w:tc>
      </w:tr>
      <w:tr>
        <w:trPr>
          <w:trHeight w:val="324"/>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001-39345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2, 2020</w:t>
            </w:r>
          </w:p>
        </w:tc>
      </w:tr>
      <w:tr>
        <w:trPr>
          <w:trHeight w:val="540"/>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001-39345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June 30, 2020</w:t>
            </w:r>
          </w:p>
        </w:tc>
      </w:tr>
      <w:tr>
        <w:trPr>
          <w:trHeight w:val="540"/>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001-39345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February 16, 2021</w:t>
            </w:r>
          </w:p>
        </w:tc>
      </w:tr>
      <w:tr>
        <w:trPr>
          <w:trHeight w:val="324"/>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001-39345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2022</w:t>
            </w:r>
          </w:p>
        </w:tc>
      </w:tr>
      <w:tr>
        <w:trPr>
          <w:trHeight w:val="756"/>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001-39345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September 3, 2020</w:t>
            </w:r>
          </w:p>
        </w:tc>
      </w:tr>
      <w:tr>
        <w:trPr>
          <w:trHeight w:val="324"/>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001-39345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September 3, 2020</w:t>
            </w:r>
          </w:p>
        </w:tc>
      </w:tr>
      <w:tr>
        <w:trPr>
          <w:trHeight w:val="324"/>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001-39345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2, 2020</w:t>
            </w:r>
          </w:p>
        </w:tc>
      </w:tr>
      <w:tr>
        <w:trPr>
          <w:trHeight w:val="324"/>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001-39345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September 3, 2020</w:t>
            </w:r>
          </w:p>
        </w:tc>
      </w:tr>
      <w:tr>
        <w:trPr>
          <w:trHeight w:val="756"/>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001-39345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September 3, 2020</w:t>
            </w:r>
          </w:p>
        </w:tc>
      </w:tr>
      <w:tr>
        <w:trPr>
          <w:trHeight w:val="540"/>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001-39345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September 3, 2020</w:t>
            </w:r>
          </w:p>
        </w:tc>
      </w:tr>
      <w:tr>
        <w:trPr>
          <w:trHeight w:val="540"/>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001-39345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2, 2020</w:t>
            </w:r>
          </w:p>
        </w:tc>
      </w:tr>
      <w:tr>
        <w:trPr>
          <w:trHeight w:val="324"/>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001-39345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2, 2020</w:t>
            </w:r>
          </w:p>
        </w:tc>
      </w:tr>
      <w:tr>
        <w:trPr>
          <w:trHeight w:val="540"/>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001-39345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2, 2020</w:t>
            </w:r>
          </w:p>
        </w:tc>
      </w:tr>
      <w:tr>
        <w:trPr>
          <w:trHeight w:val="540"/>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001-39345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10.10</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2, 2020</w:t>
            </w:r>
          </w:p>
        </w:tc>
      </w:tr>
      <w:tr>
        <w:trPr>
          <w:trHeight w:val="540"/>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001-39345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10.11</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2, 2020</w:t>
            </w:r>
          </w:p>
        </w:tc>
      </w:tr>
      <w:tr>
        <w:trPr>
          <w:trHeight w:val="324"/>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001-39345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10.12</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2, 2020</w:t>
            </w:r>
          </w:p>
        </w:tc>
      </w:tr>
      <w:tr>
        <w:trPr>
          <w:trHeight w:val="324"/>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001-39345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10.13</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2022</w:t>
            </w:r>
          </w:p>
        </w:tc>
      </w:tr>
      <w:tr>
        <w:trPr>
          <w:trHeight w:val="306"/>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DEF</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Appendix</w:t>
            </w:r>
          </w:p>
        </w:tc>
        <w:tc>
          <w:tcPr>
            <w:tcW w:w="1520" w:type="dxa"/>
            <w:vAlign w:val="bottom"/>
          </w:tcPr>
          <w:p>
            <w:pPr>
              <w:spacing w:after="0"/>
              <w:rPr>
                <w:sz w:val="24"/>
                <w:szCs w:val="24"/>
                <w:color w:val="auto"/>
              </w:rPr>
            </w:pPr>
          </w:p>
        </w:tc>
      </w:tr>
      <w:tr>
        <w:trPr>
          <w:trHeight w:val="234"/>
        </w:trPr>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14A</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001-39345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2021</w:t>
            </w:r>
          </w:p>
        </w:tc>
      </w:tr>
    </w:tbl>
    <w:p>
      <w:pPr>
        <w:sectPr>
          <w:pgSz w:w="11900" w:h="16838" w:orient="portrait"/>
          <w:cols w:equalWidth="0" w:num="2">
            <w:col w:w="6800" w:space="100"/>
            <w:col w:w="4240"/>
          </w:cols>
          <w:pgMar w:left="320" w:top="482" w:right="439" w:bottom="1440" w:gutter="0" w:footer="0" w:header="0"/>
        </w:sectPr>
      </w:pPr>
    </w:p>
    <w:bookmarkStart w:id="51" w:name="page52"/>
    <w:bookmarkEnd w:id="5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060"/>
          </w:cols>
          <w:pgMar w:left="320" w:top="482" w:right="519" w:bottom="1440" w:gutter="0" w:footer="0" w:header="0"/>
        </w:sectPr>
      </w:pPr>
    </w:p>
    <w:p>
      <w:pPr>
        <w:spacing w:after="0" w:line="321" w:lineRule="exact"/>
        <w:rPr>
          <w:sz w:val="20"/>
          <w:szCs w:val="20"/>
          <w:color w:val="auto"/>
        </w:rPr>
      </w:pPr>
    </w:p>
    <w:p>
      <w:pPr>
        <w:ind w:left="960" w:right="260" w:hanging="849"/>
        <w:spacing w:after="0" w:line="266"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90">
        <w:r>
          <w:rPr>
            <w:rFonts w:ascii="Times New Roman" w:cs="Times New Roman" w:eastAsia="Times New Roman" w:hAnsi="Times New Roman"/>
            <w:sz w:val="18"/>
            <w:szCs w:val="18"/>
            <w:u w:val="single" w:color="auto"/>
            <w:color w:val="0000EE"/>
          </w:rPr>
          <w:t>First Letter Agreement, dated as of September 2, 2020, by and among Kensington</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Capital Acquisition Corp., Legacy QuantumScape, and Volkswagen Group of</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America Investments, LLC.</w:t>
        </w:r>
      </w:hyperlink>
    </w:p>
    <w:p>
      <w:pPr>
        <w:spacing w:after="0" w:line="68" w:lineRule="exact"/>
        <w:rPr>
          <w:rFonts w:ascii="Times New Roman" w:cs="Times New Roman" w:eastAsia="Times New Roman" w:hAnsi="Times New Roman"/>
          <w:sz w:val="18"/>
          <w:szCs w:val="18"/>
          <w:u w:val="single" w:color="auto"/>
          <w:color w:val="0000EE"/>
        </w:rPr>
      </w:pPr>
    </w:p>
    <w:p>
      <w:pPr>
        <w:ind w:left="960" w:right="60" w:hanging="849"/>
        <w:spacing w:after="0" w:line="266"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91">
        <w:r>
          <w:rPr>
            <w:rFonts w:ascii="Times New Roman" w:cs="Times New Roman" w:eastAsia="Times New Roman" w:hAnsi="Times New Roman"/>
            <w:sz w:val="18"/>
            <w:szCs w:val="18"/>
            <w:u w:val="single" w:color="auto"/>
            <w:color w:val="0000EE"/>
          </w:rPr>
          <w:t>Second Letter Agreement, dated as of September 2, 2020, by and among Kensington</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Capital Acquisition Corp., Legacy QuantumScape, and Volkswagen Group of</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America Investments, LLC.</w:t>
        </w:r>
      </w:hyperlink>
    </w:p>
    <w:p>
      <w:pPr>
        <w:spacing w:after="0" w:line="68" w:lineRule="exact"/>
        <w:rPr>
          <w:rFonts w:ascii="Times New Roman" w:cs="Times New Roman" w:eastAsia="Times New Roman" w:hAnsi="Times New Roman"/>
          <w:sz w:val="18"/>
          <w:szCs w:val="18"/>
          <w:u w:val="single" w:color="auto"/>
          <w:color w:val="0000EE"/>
        </w:rPr>
      </w:pPr>
    </w:p>
    <w:p>
      <w:pPr>
        <w:ind w:left="960" w:right="180" w:hanging="849"/>
        <w:spacing w:after="0" w:line="266"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92">
        <w:r>
          <w:rPr>
            <w:rFonts w:ascii="Times New Roman" w:cs="Times New Roman" w:eastAsia="Times New Roman" w:hAnsi="Times New Roman"/>
            <w:sz w:val="18"/>
            <w:szCs w:val="18"/>
            <w:u w:val="single" w:color="auto"/>
            <w:color w:val="0000EE"/>
          </w:rPr>
          <w:t>Third Letter Agreement, dated as of September 2, 2020, by and among Kensington</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Capital Acquisition Corp., Legacy QuantumScape, and Volkswagen Group of</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America Investments, LLC.</w:t>
        </w:r>
      </w:hyperlink>
    </w:p>
    <w:p>
      <w:pPr>
        <w:spacing w:after="0" w:line="68" w:lineRule="exact"/>
        <w:rPr>
          <w:rFonts w:ascii="Times New Roman" w:cs="Times New Roman" w:eastAsia="Times New Roman" w:hAnsi="Times New Roman"/>
          <w:sz w:val="18"/>
          <w:szCs w:val="18"/>
          <w:u w:val="single" w:color="auto"/>
          <w:color w:val="0000EE"/>
        </w:rPr>
      </w:pPr>
    </w:p>
    <w:p>
      <w:pPr>
        <w:ind w:left="960" w:right="340" w:hanging="849"/>
        <w:spacing w:after="0" w:line="282"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93">
        <w:r>
          <w:rPr>
            <w:rFonts w:ascii="Times New Roman" w:cs="Times New Roman" w:eastAsia="Times New Roman" w:hAnsi="Times New Roman"/>
            <w:sz w:val="18"/>
            <w:szCs w:val="18"/>
            <w:u w:val="single" w:color="auto"/>
            <w:color w:val="0000EE"/>
          </w:rPr>
          <w:t>Services Agreement, dated as of September 1, 2020, by and between Kensington</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Capital Acquisition Corp. and DEHC LLC.</w:t>
        </w:r>
      </w:hyperlink>
    </w:p>
    <w:p>
      <w:pPr>
        <w:spacing w:after="0" w:line="54" w:lineRule="exact"/>
        <w:rPr>
          <w:sz w:val="20"/>
          <w:szCs w:val="20"/>
          <w:color w:val="auto"/>
        </w:rPr>
      </w:pPr>
    </w:p>
    <w:p>
      <w:pPr>
        <w:ind w:left="960" w:right="340" w:hanging="849"/>
        <w:spacing w:after="0" w:line="282"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94">
        <w:r>
          <w:rPr>
            <w:rFonts w:ascii="Times New Roman" w:cs="Times New Roman" w:eastAsia="Times New Roman" w:hAnsi="Times New Roman"/>
            <w:sz w:val="18"/>
            <w:szCs w:val="18"/>
            <w:u w:val="single" w:color="auto"/>
            <w:color w:val="0000EE"/>
          </w:rPr>
          <w:t>Services Agreement, dated as of September 1, 2020, by and between Kensington</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Capital Acquisition Corp. and Simon Boag.</w:t>
        </w:r>
      </w:hyperlink>
    </w:p>
    <w:p>
      <w:pPr>
        <w:spacing w:after="0" w:line="54" w:lineRule="exact"/>
        <w:rPr>
          <w:sz w:val="20"/>
          <w:szCs w:val="20"/>
          <w:color w:val="auto"/>
        </w:rPr>
      </w:pPr>
    </w:p>
    <w:p>
      <w:pPr>
        <w:ind w:left="120"/>
        <w:spacing w:after="0"/>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95">
        <w:r>
          <w:rPr>
            <w:rFonts w:ascii="Times New Roman" w:cs="Times New Roman" w:eastAsia="Times New Roman" w:hAnsi="Times New Roman"/>
            <w:sz w:val="17"/>
            <w:szCs w:val="17"/>
            <w:u w:val="single" w:color="auto"/>
            <w:color w:val="0000EE"/>
          </w:rPr>
          <w:t>Offer Letter from Legacy QuantumScape to Timothy Holme, dated January 1, 2011.</w:t>
        </w:r>
      </w:hyperlink>
    </w:p>
    <w:p>
      <w:pPr>
        <w:spacing w:after="0" w:line="117" w:lineRule="exact"/>
        <w:rPr>
          <w:sz w:val="20"/>
          <w:szCs w:val="20"/>
          <w:color w:val="auto"/>
        </w:rPr>
      </w:pPr>
    </w:p>
    <w:p>
      <w:pPr>
        <w:ind w:left="120"/>
        <w:spacing w:after="0"/>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96">
        <w:r>
          <w:rPr>
            <w:rFonts w:ascii="Times New Roman" w:cs="Times New Roman" w:eastAsia="Times New Roman" w:hAnsi="Times New Roman"/>
            <w:sz w:val="17"/>
            <w:szCs w:val="17"/>
            <w:u w:val="single" w:color="auto"/>
            <w:color w:val="0000EE"/>
          </w:rPr>
          <w:t>Offer Letter from Legacy QuantumScape to Kevin Hettrich, dated October 11, 2011.</w:t>
        </w:r>
      </w:hyperlink>
    </w:p>
    <w:p>
      <w:pPr>
        <w:spacing w:after="0" w:line="117" w:lineRule="exact"/>
        <w:rPr>
          <w:sz w:val="20"/>
          <w:szCs w:val="20"/>
          <w:color w:val="auto"/>
        </w:rPr>
      </w:pPr>
    </w:p>
    <w:p>
      <w:pPr>
        <w:ind w:left="120"/>
        <w:spacing w:after="0"/>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97">
        <w:r>
          <w:rPr>
            <w:rFonts w:ascii="Times New Roman" w:cs="Times New Roman" w:eastAsia="Times New Roman" w:hAnsi="Times New Roman"/>
            <w:sz w:val="17"/>
            <w:szCs w:val="17"/>
            <w:u w:val="single" w:color="auto"/>
            <w:color w:val="0000EE"/>
          </w:rPr>
          <w:t>Offer Letter from Legacy QuantumScape to Michael McCarthy, dated December 21,</w:t>
        </w:r>
      </w:hyperlink>
    </w:p>
    <w:p>
      <w:pPr>
        <w:spacing w:after="0" w:line="27" w:lineRule="exact"/>
        <w:rPr>
          <w:sz w:val="20"/>
          <w:szCs w:val="20"/>
          <w:color w:val="auto"/>
        </w:rPr>
      </w:pPr>
    </w:p>
    <w:p>
      <w:pPr>
        <w:ind w:left="960"/>
        <w:spacing w:after="0"/>
        <w:rPr>
          <w:rFonts w:ascii="Times New Roman" w:cs="Times New Roman" w:eastAsia="Times New Roman" w:hAnsi="Times New Roman"/>
          <w:sz w:val="18"/>
          <w:szCs w:val="18"/>
          <w:u w:val="single" w:color="auto"/>
          <w:color w:val="0000EE"/>
        </w:rPr>
      </w:pPr>
      <w:hyperlink r:id="rId97">
        <w:r>
          <w:rPr>
            <w:rFonts w:ascii="Times New Roman" w:cs="Times New Roman" w:eastAsia="Times New Roman" w:hAnsi="Times New Roman"/>
            <w:sz w:val="18"/>
            <w:szCs w:val="18"/>
            <w:u w:val="single" w:color="auto"/>
            <w:color w:val="0000EE"/>
          </w:rPr>
          <w:t>2012.</w:t>
        </w:r>
      </w:hyperlink>
    </w:p>
    <w:p>
      <w:pPr>
        <w:spacing w:after="0" w:line="99" w:lineRule="exact"/>
        <w:rPr>
          <w:sz w:val="20"/>
          <w:szCs w:val="20"/>
          <w:color w:val="auto"/>
        </w:rPr>
      </w:pPr>
    </w:p>
    <w:p>
      <w:pPr>
        <w:ind w:left="120"/>
        <w:spacing w:after="0"/>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98">
        <w:r>
          <w:rPr>
            <w:rFonts w:ascii="Times New Roman" w:cs="Times New Roman" w:eastAsia="Times New Roman" w:hAnsi="Times New Roman"/>
            <w:sz w:val="17"/>
            <w:szCs w:val="17"/>
            <w:u w:val="single" w:color="auto"/>
            <w:color w:val="0000EE"/>
          </w:rPr>
          <w:t>Offer Letter from Legacy QuantumScape to Mohit Singh, dated April 3, 2013.</w:t>
        </w:r>
      </w:hyperlink>
    </w:p>
    <w:p>
      <w:pPr>
        <w:spacing w:after="0" w:line="117" w:lineRule="exact"/>
        <w:rPr>
          <w:sz w:val="20"/>
          <w:szCs w:val="20"/>
          <w:color w:val="auto"/>
        </w:rPr>
      </w:pPr>
    </w:p>
    <w:p>
      <w:pPr>
        <w:ind w:left="120"/>
        <w:spacing w:after="0"/>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99">
        <w:r>
          <w:rPr>
            <w:rFonts w:ascii="Times New Roman" w:cs="Times New Roman" w:eastAsia="Times New Roman" w:hAnsi="Times New Roman"/>
            <w:sz w:val="17"/>
            <w:szCs w:val="17"/>
            <w:u w:val="single" w:color="auto"/>
            <w:color w:val="0000EE"/>
          </w:rPr>
          <w:t>Offer Letter from QuantumScape Battery, Inc. to Celina Mikolajczak, dated May 20,</w:t>
        </w:r>
      </w:hyperlink>
    </w:p>
    <w:p>
      <w:pPr>
        <w:spacing w:after="0" w:line="27" w:lineRule="exact"/>
        <w:rPr>
          <w:sz w:val="20"/>
          <w:szCs w:val="20"/>
          <w:color w:val="auto"/>
        </w:rPr>
      </w:pPr>
    </w:p>
    <w:p>
      <w:pPr>
        <w:ind w:left="960"/>
        <w:spacing w:after="0"/>
        <w:rPr>
          <w:rFonts w:ascii="Times New Roman" w:cs="Times New Roman" w:eastAsia="Times New Roman" w:hAnsi="Times New Roman"/>
          <w:sz w:val="18"/>
          <w:szCs w:val="18"/>
          <w:u w:val="single" w:color="auto"/>
          <w:color w:val="0000EE"/>
        </w:rPr>
      </w:pPr>
      <w:hyperlink r:id="rId99">
        <w:r>
          <w:rPr>
            <w:rFonts w:ascii="Times New Roman" w:cs="Times New Roman" w:eastAsia="Times New Roman" w:hAnsi="Times New Roman"/>
            <w:sz w:val="18"/>
            <w:szCs w:val="18"/>
            <w:u w:val="single" w:color="auto"/>
            <w:color w:val="0000EE"/>
          </w:rPr>
          <w:t>2021.</w:t>
        </w:r>
      </w:hyperlink>
    </w:p>
    <w:p>
      <w:pPr>
        <w:spacing w:after="0" w:line="99" w:lineRule="exact"/>
        <w:rPr>
          <w:sz w:val="20"/>
          <w:szCs w:val="20"/>
          <w:color w:val="auto"/>
        </w:rPr>
      </w:pPr>
    </w:p>
    <w:p>
      <w:pPr>
        <w:ind w:left="120"/>
        <w:spacing w:after="0"/>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00">
        <w:r>
          <w:rPr>
            <w:rFonts w:ascii="Times New Roman" w:cs="Times New Roman" w:eastAsia="Times New Roman" w:hAnsi="Times New Roman"/>
            <w:sz w:val="18"/>
            <w:szCs w:val="18"/>
            <w:u w:val="single" w:color="auto"/>
            <w:color w:val="0000EE"/>
          </w:rPr>
          <w:t>Lease, dated May 31, 2013, by and between SI 55, LLC and Legacy QuantumScape.</w:t>
        </w:r>
      </w:hyperlink>
    </w:p>
    <w:p>
      <w:pPr>
        <w:spacing w:after="0" w:line="117" w:lineRule="exact"/>
        <w:rPr>
          <w:sz w:val="20"/>
          <w:szCs w:val="20"/>
          <w:color w:val="auto"/>
        </w:rPr>
      </w:pPr>
    </w:p>
    <w:p>
      <w:pPr>
        <w:jc w:val="both"/>
        <w:ind w:left="960" w:right="120" w:hanging="849"/>
        <w:spacing w:after="0" w:line="282"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01">
        <w:r>
          <w:rPr>
            <w:rFonts w:ascii="Times New Roman" w:cs="Times New Roman" w:eastAsia="Times New Roman" w:hAnsi="Times New Roman"/>
            <w:sz w:val="18"/>
            <w:szCs w:val="18"/>
            <w:u w:val="single" w:color="auto"/>
            <w:color w:val="0000EE"/>
          </w:rPr>
          <w:t>Amendment to Lease, dated May 19, 2014, by and between SI 55, LLC and Legacy</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QuantumScape.</w:t>
        </w:r>
      </w:hyperlink>
    </w:p>
    <w:p>
      <w:pPr>
        <w:spacing w:after="0" w:line="54" w:lineRule="exact"/>
        <w:rPr>
          <w:sz w:val="20"/>
          <w:szCs w:val="20"/>
          <w:color w:val="auto"/>
        </w:rPr>
      </w:pPr>
    </w:p>
    <w:p>
      <w:pPr>
        <w:jc w:val="both"/>
        <w:ind w:left="960" w:right="120" w:hanging="849"/>
        <w:spacing w:after="0" w:line="266"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02">
        <w:r>
          <w:rPr>
            <w:rFonts w:ascii="Times New Roman" w:cs="Times New Roman" w:eastAsia="Times New Roman" w:hAnsi="Times New Roman"/>
            <w:sz w:val="18"/>
            <w:szCs w:val="18"/>
            <w:u w:val="single" w:color="auto"/>
            <w:color w:val="0000EE"/>
          </w:rPr>
          <w:t>Amended and Restated Limited Liability Company Agreement of QSV Operations</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LLC, dated May 14, 2020, by and between Legacy QuantumScape and Volkswagen</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Group of America Investments, LLC.</w:t>
        </w:r>
      </w:hyperlink>
    </w:p>
    <w:p>
      <w:pPr>
        <w:spacing w:after="0" w:line="68" w:lineRule="exact"/>
        <w:rPr>
          <w:rFonts w:ascii="Times New Roman" w:cs="Times New Roman" w:eastAsia="Times New Roman" w:hAnsi="Times New Roman"/>
          <w:sz w:val="18"/>
          <w:szCs w:val="18"/>
          <w:u w:val="single" w:color="auto"/>
          <w:color w:val="0000EE"/>
        </w:rPr>
      </w:pPr>
    </w:p>
    <w:p>
      <w:pPr>
        <w:ind w:left="960" w:hanging="849"/>
        <w:spacing w:after="0" w:line="282"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03">
        <w:r>
          <w:rPr>
            <w:rFonts w:ascii="Times New Roman" w:cs="Times New Roman" w:eastAsia="Times New Roman" w:hAnsi="Times New Roman"/>
            <w:sz w:val="18"/>
            <w:szCs w:val="18"/>
            <w:u w:val="single" w:color="auto"/>
            <w:color w:val="0000EE"/>
          </w:rPr>
          <w:t>Amended and Restated Joint Venture Agreement, dated May 14, 2020, by and among</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Legacy QuantumScape and the persons named therein.</w:t>
        </w:r>
      </w:hyperlink>
    </w:p>
    <w:p>
      <w:pPr>
        <w:spacing w:after="0" w:line="54" w:lineRule="exact"/>
        <w:rPr>
          <w:sz w:val="20"/>
          <w:szCs w:val="20"/>
          <w:color w:val="auto"/>
        </w:rPr>
      </w:pPr>
    </w:p>
    <w:p>
      <w:pPr>
        <w:ind w:left="960" w:right="200" w:hanging="849"/>
        <w:spacing w:after="0" w:line="266"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04">
        <w:r>
          <w:rPr>
            <w:rFonts w:ascii="Times New Roman" w:cs="Times New Roman" w:eastAsia="Times New Roman" w:hAnsi="Times New Roman"/>
            <w:sz w:val="18"/>
            <w:szCs w:val="18"/>
            <w:u w:val="single" w:color="auto"/>
            <w:color w:val="0000EE"/>
          </w:rPr>
          <w:t>First Amendment to Amended and Restated Joint Venture Agreement, dated</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September 21, 2020, by and among Legacy QuantumScape and the persons named</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therein.</w:t>
        </w:r>
      </w:hyperlink>
    </w:p>
    <w:p>
      <w:pPr>
        <w:spacing w:after="0" w:line="68" w:lineRule="exact"/>
        <w:rPr>
          <w:rFonts w:ascii="Times New Roman" w:cs="Times New Roman" w:eastAsia="Times New Roman" w:hAnsi="Times New Roman"/>
          <w:sz w:val="18"/>
          <w:szCs w:val="18"/>
          <w:u w:val="single" w:color="auto"/>
          <w:color w:val="0000EE"/>
        </w:rPr>
      </w:pPr>
    </w:p>
    <w:p>
      <w:pPr>
        <w:ind w:left="960" w:right="120" w:hanging="849"/>
        <w:spacing w:after="0" w:line="312" w:lineRule="auto"/>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05">
        <w:r>
          <w:rPr>
            <w:rFonts w:ascii="Times New Roman" w:cs="Times New Roman" w:eastAsia="Times New Roman" w:hAnsi="Times New Roman"/>
            <w:sz w:val="17"/>
            <w:szCs w:val="17"/>
            <w:u w:val="single" w:color="auto"/>
            <w:color w:val="0000EE"/>
          </w:rPr>
          <w:t>Series F Preferred Stock Purchase Agreement, dated May 14, 2020, by and between</w:t>
        </w:r>
      </w:hyperlink>
      <w:r>
        <w:rPr>
          <w:rFonts w:ascii="Times New Roman" w:cs="Times New Roman" w:eastAsia="Times New Roman" w:hAnsi="Times New Roman"/>
          <w:sz w:val="17"/>
          <w:szCs w:val="17"/>
          <w:u w:val="single" w:color="auto"/>
          <w:color w:val="0000EE"/>
        </w:rPr>
        <w:t xml:space="preserve"> </w:t>
      </w:r>
      <w:hyperlink r:id="rId105">
        <w:r>
          <w:rPr>
            <w:rFonts w:ascii="Times New Roman" w:cs="Times New Roman" w:eastAsia="Times New Roman" w:hAnsi="Times New Roman"/>
            <w:sz w:val="17"/>
            <w:szCs w:val="17"/>
            <w:u w:val="single" w:color="auto"/>
            <w:color w:val="0000EE"/>
          </w:rPr>
          <w:t>Legacy QuantumScape and Volkswagen Group of America Investments, LLC.</w:t>
        </w:r>
      </w:hyperlink>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September 3, 2020</w:t>
            </w:r>
          </w:p>
        </w:tc>
      </w:tr>
      <w:tr>
        <w:trPr>
          <w:trHeight w:val="756"/>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September 3, 2020</w:t>
            </w:r>
          </w:p>
        </w:tc>
      </w:tr>
      <w:tr>
        <w:trPr>
          <w:trHeight w:val="756"/>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September 3, 2020</w:t>
            </w:r>
          </w:p>
        </w:tc>
      </w:tr>
      <w:tr>
        <w:trPr>
          <w:trHeight w:val="540"/>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September 3, 2020</w:t>
            </w:r>
          </w:p>
        </w:tc>
      </w:tr>
      <w:tr>
        <w:trPr>
          <w:trHeight w:val="540"/>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September 3, 2020</w:t>
            </w:r>
          </w:p>
        </w:tc>
      </w:tr>
      <w:tr>
        <w:trPr>
          <w:trHeight w:val="324"/>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S-4/A</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333-248930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November 12, 2020</w:t>
            </w:r>
          </w:p>
        </w:tc>
      </w:tr>
      <w:tr>
        <w:trPr>
          <w:trHeight w:val="324"/>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S-4/A</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333-248930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November 12, 2020</w:t>
            </w:r>
          </w:p>
        </w:tc>
      </w:tr>
      <w:tr>
        <w:trPr>
          <w:trHeight w:val="540"/>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S-4/A</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333-248930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November 12, 2020</w:t>
            </w:r>
          </w:p>
        </w:tc>
      </w:tr>
      <w:tr>
        <w:trPr>
          <w:trHeight w:val="324"/>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S-4/A</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333-248930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November 12, 2020</w:t>
            </w:r>
          </w:p>
        </w:tc>
      </w:tr>
      <w:tr>
        <w:trPr>
          <w:trHeight w:val="540"/>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28, 2022</w:t>
            </w:r>
          </w:p>
        </w:tc>
      </w:tr>
      <w:tr>
        <w:trPr>
          <w:trHeight w:val="324"/>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S-4/A</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333-248930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November 12, 2020</w:t>
            </w:r>
          </w:p>
        </w:tc>
      </w:tr>
      <w:tr>
        <w:trPr>
          <w:trHeight w:val="540"/>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S-4/A</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333-248930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November 12, 2020</w:t>
            </w:r>
          </w:p>
        </w:tc>
      </w:tr>
      <w:tr>
        <w:trPr>
          <w:trHeight w:val="756"/>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S-4/A</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333-248930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November 12, 2020</w:t>
            </w:r>
          </w:p>
        </w:tc>
      </w:tr>
      <w:tr>
        <w:trPr>
          <w:trHeight w:val="540"/>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S-4/A</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333-248930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November 12, 2020</w:t>
            </w:r>
          </w:p>
        </w:tc>
      </w:tr>
      <w:tr>
        <w:trPr>
          <w:trHeight w:val="756"/>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S-4/A</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333-248930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November 12, 2020</w:t>
            </w:r>
          </w:p>
        </w:tc>
      </w:tr>
      <w:tr>
        <w:trPr>
          <w:trHeight w:val="540"/>
        </w:trPr>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S-4/A</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333-248930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November 12, 2020</w:t>
            </w:r>
          </w:p>
        </w:tc>
      </w:tr>
    </w:tbl>
    <w:p>
      <w:pPr>
        <w:sectPr>
          <w:pgSz w:w="11900" w:h="16838" w:orient="portrait"/>
          <w:cols w:equalWidth="0" w:num="2">
            <w:col w:w="7120" w:space="160"/>
            <w:col w:w="3780"/>
          </w:cols>
          <w:pgMar w:left="320" w:top="482" w:right="519" w:bottom="1440" w:gutter="0" w:footer="0" w:header="0"/>
          <w:type w:val="continuous"/>
        </w:sectPr>
      </w:pPr>
    </w:p>
    <w:bookmarkStart w:id="52" w:name="page53"/>
    <w:bookmarkEnd w:id="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6">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3">
              <w:r>
                <w:rPr>
                  <w:rFonts w:ascii="Times New Roman" w:cs="Times New Roman" w:eastAsia="Times New Roman" w:hAnsi="Times New Roman"/>
                  <w:sz w:val="18"/>
                  <w:szCs w:val="18"/>
                  <w:b w:val="1"/>
                  <w:bCs w:val="1"/>
                  <w:color w:val="0000EE"/>
                  <w:w w:val="97"/>
                </w:rPr>
                <w:t>Table of Contents</w:t>
              </w:r>
            </w:hyperlink>
          </w:p>
        </w:tc>
        <w:tc>
          <w:tcPr>
            <w:tcW w:w="5800" w:type="dxa"/>
            <w:vAlign w:val="bottom"/>
            <w:gridSpan w:val="36"/>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93"/>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10.31</w:t>
            </w:r>
          </w:p>
        </w:tc>
        <w:tc>
          <w:tcPr>
            <w:tcW w:w="53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Amendment No. 1 to Series F Preferred Stock Purchase Agreement, dated</w:t>
              </w:r>
            </w:hyperlink>
          </w:p>
        </w:tc>
        <w:tc>
          <w:tcPr>
            <w:tcW w:w="800" w:type="dxa"/>
            <w:vAlign w:val="bottom"/>
            <w:gridSpan w:val="15"/>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8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September 3, 2020, by and among Kensington Capital Acquisition Corp., Legacy</w:t>
              </w:r>
            </w:hyperlink>
          </w:p>
        </w:tc>
        <w:tc>
          <w:tcPr>
            <w:tcW w:w="26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0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QuantumScape and Volkswagen Group of America Investments, LLC.</w:t>
              </w:r>
            </w:hyperlink>
          </w:p>
        </w:tc>
        <w:tc>
          <w:tcPr>
            <w:tcW w:w="1060" w:type="dxa"/>
            <w:vAlign w:val="bottom"/>
            <w:gridSpan w:val="21"/>
          </w:tcPr>
          <w:p>
            <w:pPr>
              <w:spacing w:after="0"/>
              <w:rPr>
                <w:sz w:val="17"/>
                <w:szCs w:val="17"/>
                <w:color w:val="auto"/>
              </w:rPr>
            </w:pPr>
          </w:p>
        </w:tc>
        <w:tc>
          <w:tcPr>
            <w:tcW w:w="6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1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333-248930</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5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w w:val="98"/>
              </w:rPr>
              <w:t>November 12, 2020</w:t>
            </w: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10.32</w:t>
            </w:r>
          </w:p>
        </w:tc>
        <w:tc>
          <w:tcPr>
            <w:tcW w:w="52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Letter Agreement, dated as of December 7, 2020, by and among Legacy</w:t>
              </w:r>
            </w:hyperlink>
          </w:p>
        </w:tc>
        <w:tc>
          <w:tcPr>
            <w:tcW w:w="940" w:type="dxa"/>
            <w:vAlign w:val="bottom"/>
            <w:gridSpan w:val="18"/>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140" w:type="dxa"/>
            <w:vAlign w:val="bottom"/>
            <w:gridSpan w:val="37"/>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QuantumScape, the Registrant and Volkswagen Group of America Investments,</w:t>
              </w:r>
            </w:hyperlink>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74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LLC.</w:t>
              </w:r>
            </w:hyperlink>
          </w:p>
        </w:tc>
        <w:tc>
          <w:tcPr>
            <w:tcW w:w="400" w:type="dxa"/>
            <w:vAlign w:val="bottom"/>
            <w:gridSpan w:val="9"/>
          </w:tcPr>
          <w:p>
            <w:pPr>
              <w:spacing w:after="0"/>
              <w:rPr>
                <w:sz w:val="17"/>
                <w:szCs w:val="17"/>
                <w:color w:val="auto"/>
              </w:rPr>
            </w:pPr>
          </w:p>
        </w:tc>
        <w:tc>
          <w:tcPr>
            <w:tcW w:w="6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1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333-251433</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15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December 28, 2020</w:t>
            </w:r>
          </w:p>
        </w:tc>
      </w:tr>
      <w:tr>
        <w:trPr>
          <w:trHeight w:val="20"/>
        </w:trPr>
        <w:tc>
          <w:tcPr>
            <w:tcW w:w="10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10.33+</w:t>
            </w:r>
          </w:p>
        </w:tc>
        <w:tc>
          <w:tcPr>
            <w:tcW w:w="29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Employee Incentive Compensation Plan.</w:t>
              </w:r>
            </w:hyperlink>
          </w:p>
        </w:tc>
        <w:tc>
          <w:tcPr>
            <w:tcW w:w="3200" w:type="dxa"/>
            <w:vAlign w:val="bottom"/>
            <w:gridSpan w:val="29"/>
          </w:tcPr>
          <w:p>
            <w:pPr>
              <w:spacing w:after="0"/>
              <w:rPr>
                <w:sz w:val="24"/>
                <w:szCs w:val="24"/>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March 15, 2021</w:t>
            </w: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10.34+</w:t>
            </w:r>
          </w:p>
        </w:tc>
        <w:tc>
          <w:tcPr>
            <w:tcW w:w="6140" w:type="dxa"/>
            <w:vAlign w:val="bottom"/>
            <w:gridSpan w:val="37"/>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Change in Control and Severance Agreement.</w:t>
              </w:r>
            </w:hyperlink>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March 15, 2021</w:t>
            </w:r>
          </w:p>
        </w:tc>
      </w:tr>
      <w:tr>
        <w:trPr>
          <w:trHeight w:val="20"/>
        </w:trPr>
        <w:tc>
          <w:tcPr>
            <w:tcW w:w="10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10.35</w:t>
            </w:r>
          </w:p>
        </w:tc>
        <w:tc>
          <w:tcPr>
            <w:tcW w:w="58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Series F Closing Agreement, dated March 30, 2021, by an among the Registrant,</w:t>
              </w:r>
            </w:hyperlink>
          </w:p>
        </w:tc>
        <w:tc>
          <w:tcPr>
            <w:tcW w:w="320" w:type="dxa"/>
            <w:vAlign w:val="bottom"/>
            <w:gridSpan w:val="8"/>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140" w:type="dxa"/>
            <w:vAlign w:val="bottom"/>
            <w:gridSpan w:val="37"/>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Legacy QuantumScape and Volkswagen Group of America, Inc.</w:t>
              </w:r>
            </w:hyperlink>
          </w:p>
        </w:tc>
        <w:tc>
          <w:tcPr>
            <w:tcW w:w="6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15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April 1, 2021</w:t>
            </w:r>
          </w:p>
        </w:tc>
      </w:tr>
      <w:tr>
        <w:trPr>
          <w:trHeight w:val="20"/>
        </w:trPr>
        <w:tc>
          <w:tcPr>
            <w:tcW w:w="10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10.36</w:t>
            </w:r>
          </w:p>
        </w:tc>
        <w:tc>
          <w:tcPr>
            <w:tcW w:w="6140" w:type="dxa"/>
            <w:vAlign w:val="bottom"/>
            <w:gridSpan w:val="37"/>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Lease Agreement, dated April 2, 2021, between Exeter 1710 Automation, LLC and</w:t>
              </w:r>
            </w:hyperlink>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00" w:type="dxa"/>
            <w:vAlign w:val="bottom"/>
            <w:tcBorders>
              <w:top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Legacy QuantumScape</w:t>
              </w:r>
              <w:r>
                <w:rPr>
                  <w:rFonts w:ascii="Times New Roman" w:cs="Times New Roman" w:eastAsia="Times New Roman" w:hAnsi="Times New Roman"/>
                  <w:sz w:val="18"/>
                  <w:szCs w:val="18"/>
                  <w:color w:val="000000"/>
                </w:rPr>
                <w:t>.</w:t>
              </w:r>
            </w:hyperlink>
          </w:p>
        </w:tc>
        <w:tc>
          <w:tcPr>
            <w:tcW w:w="140" w:type="dxa"/>
            <w:vAlign w:val="bottom"/>
            <w:gridSpan w:val="3"/>
          </w:tcPr>
          <w:p>
            <w:pPr>
              <w:spacing w:after="0"/>
              <w:rPr>
                <w:sz w:val="17"/>
                <w:szCs w:val="17"/>
                <w:color w:val="auto"/>
              </w:rPr>
            </w:pPr>
          </w:p>
        </w:tc>
        <w:tc>
          <w:tcPr>
            <w:tcW w:w="6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1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333-251433</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15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May 10, 2021</w:t>
            </w:r>
          </w:p>
        </w:tc>
      </w:tr>
      <w:tr>
        <w:trPr>
          <w:trHeight w:val="20"/>
        </w:trPr>
        <w:tc>
          <w:tcPr>
            <w:tcW w:w="10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10.37</w:t>
            </w:r>
          </w:p>
        </w:tc>
        <w:tc>
          <w:tcPr>
            <w:tcW w:w="56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Letter Agreement dated May 13, 2021, by and among Legacy QuantumScape,</w:t>
              </w:r>
            </w:hyperlink>
          </w:p>
        </w:tc>
        <w:tc>
          <w:tcPr>
            <w:tcW w:w="500" w:type="dxa"/>
            <w:vAlign w:val="bottom"/>
            <w:gridSpan w:val="11"/>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8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Volkswagen Group of America, Inc, Volkswagen Group of America Investments,</w:t>
              </w:r>
            </w:hyperlink>
          </w:p>
        </w:tc>
        <w:tc>
          <w:tcPr>
            <w:tcW w:w="28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6140" w:type="dxa"/>
            <w:vAlign w:val="bottom"/>
            <w:gridSpan w:val="37"/>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LLC and QSV Operations LLC</w:t>
              </w:r>
              <w:r>
                <w:rPr>
                  <w:rFonts w:ascii="Times New Roman" w:cs="Times New Roman" w:eastAsia="Times New Roman" w:hAnsi="Times New Roman"/>
                  <w:sz w:val="18"/>
                  <w:szCs w:val="18"/>
                  <w:color w:val="000000"/>
                </w:rPr>
                <w:t>.</w:t>
              </w:r>
            </w:hyperlink>
          </w:p>
        </w:tc>
        <w:tc>
          <w:tcPr>
            <w:tcW w:w="6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5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May 17, 2021</w:t>
            </w:r>
          </w:p>
        </w:tc>
      </w:tr>
      <w:tr>
        <w:trPr>
          <w:trHeight w:val="20"/>
        </w:trPr>
        <w:tc>
          <w:tcPr>
            <w:tcW w:w="10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10.38</w:t>
            </w:r>
          </w:p>
        </w:tc>
        <w:tc>
          <w:tcPr>
            <w:tcW w:w="6140" w:type="dxa"/>
            <w:vAlign w:val="bottom"/>
            <w:gridSpan w:val="37"/>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Second Amendment to Lease, dated June 22, 2021, between Legacy</w:t>
              </w:r>
            </w:hyperlink>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9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QuantumScape and SI 55, LLC.</w:t>
              </w:r>
            </w:hyperlink>
          </w:p>
        </w:tc>
        <w:tc>
          <w:tcPr>
            <w:tcW w:w="1240" w:type="dxa"/>
            <w:vAlign w:val="bottom"/>
            <w:gridSpan w:val="24"/>
          </w:tcPr>
          <w:p>
            <w:pPr>
              <w:spacing w:after="0"/>
              <w:rPr>
                <w:sz w:val="17"/>
                <w:szCs w:val="17"/>
                <w:color w:val="auto"/>
              </w:rPr>
            </w:pPr>
          </w:p>
        </w:tc>
        <w:tc>
          <w:tcPr>
            <w:tcW w:w="6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5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June 28, 2021</w:t>
            </w:r>
          </w:p>
        </w:tc>
      </w:tr>
      <w:tr>
        <w:trPr>
          <w:trHeight w:val="20"/>
        </w:trPr>
        <w:tc>
          <w:tcPr>
            <w:tcW w:w="10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10.39</w:t>
            </w:r>
          </w:p>
        </w:tc>
        <w:tc>
          <w:tcPr>
            <w:tcW w:w="6140" w:type="dxa"/>
            <w:vAlign w:val="bottom"/>
            <w:gridSpan w:val="37"/>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Guaranty of Lease, dated June 22, 2021, between Legacy QuantumScape and SI 55,</w:t>
              </w:r>
            </w:hyperlink>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40" w:type="dxa"/>
            <w:vAlign w:val="bottom"/>
            <w:tcBorders>
              <w:top w:val="single" w:sz="8" w:color="0000EE"/>
            </w:tcBorders>
            <w:gridSpan w:val="36"/>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LLC.</w:t>
              </w:r>
            </w:hyperlink>
          </w:p>
        </w:tc>
        <w:tc>
          <w:tcPr>
            <w:tcW w:w="100" w:type="dxa"/>
            <w:vAlign w:val="bottom"/>
          </w:tcPr>
          <w:p>
            <w:pPr>
              <w:spacing w:after="0"/>
              <w:rPr>
                <w:sz w:val="17"/>
                <w:szCs w:val="17"/>
                <w:color w:val="auto"/>
              </w:rPr>
            </w:pPr>
          </w:p>
        </w:tc>
        <w:tc>
          <w:tcPr>
            <w:tcW w:w="6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5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June 28, 2021</w:t>
            </w:r>
          </w:p>
        </w:tc>
      </w:tr>
      <w:tr>
        <w:trPr>
          <w:trHeight w:val="20"/>
        </w:trPr>
        <w:tc>
          <w:tcPr>
            <w:tcW w:w="10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10.40</w:t>
            </w:r>
          </w:p>
        </w:tc>
        <w:tc>
          <w:tcPr>
            <w:tcW w:w="54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Lease, dated November 1, 2021, by and between the 1750 Landlord and the</w:t>
              </w:r>
            </w:hyperlink>
          </w:p>
        </w:tc>
        <w:tc>
          <w:tcPr>
            <w:tcW w:w="680" w:type="dxa"/>
            <w:vAlign w:val="bottom"/>
            <w:gridSpan w:val="13"/>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140" w:type="dxa"/>
            <w:vAlign w:val="bottom"/>
            <w:gridSpan w:val="37"/>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Company</w:t>
              </w:r>
              <w:r>
                <w:rPr>
                  <w:rFonts w:ascii="Times New Roman" w:cs="Times New Roman" w:eastAsia="Times New Roman" w:hAnsi="Times New Roman"/>
                  <w:sz w:val="18"/>
                  <w:szCs w:val="18"/>
                  <w:color w:val="000000"/>
                </w:rPr>
                <w:t>.</w:t>
              </w:r>
            </w:hyperlink>
          </w:p>
        </w:tc>
        <w:tc>
          <w:tcPr>
            <w:tcW w:w="6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5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November 5, 2021</w:t>
            </w:r>
          </w:p>
        </w:tc>
      </w:tr>
      <w:tr>
        <w:trPr>
          <w:trHeight w:val="20"/>
        </w:trPr>
        <w:tc>
          <w:tcPr>
            <w:tcW w:w="10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10.41</w:t>
            </w:r>
          </w:p>
        </w:tc>
        <w:tc>
          <w:tcPr>
            <w:tcW w:w="6140" w:type="dxa"/>
            <w:vAlign w:val="bottom"/>
            <w:gridSpan w:val="37"/>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Lease, dated November 1, 2021, by and between the 1756/62 Landlord and the</w:t>
              </w:r>
            </w:hyperlink>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68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Company</w:t>
              </w:r>
              <w:r>
                <w:rPr>
                  <w:rFonts w:ascii="Times New Roman" w:cs="Times New Roman" w:eastAsia="Times New Roman" w:hAnsi="Times New Roman"/>
                  <w:sz w:val="18"/>
                  <w:szCs w:val="18"/>
                  <w:color w:val="000000"/>
                </w:rPr>
                <w:t>.</w:t>
              </w:r>
            </w:hyperlink>
          </w:p>
        </w:tc>
        <w:tc>
          <w:tcPr>
            <w:tcW w:w="460" w:type="dxa"/>
            <w:vAlign w:val="bottom"/>
            <w:gridSpan w:val="10"/>
          </w:tcPr>
          <w:p>
            <w:pPr>
              <w:spacing w:after="0"/>
              <w:rPr>
                <w:sz w:val="17"/>
                <w:szCs w:val="17"/>
                <w:color w:val="auto"/>
              </w:rPr>
            </w:pPr>
          </w:p>
        </w:tc>
        <w:tc>
          <w:tcPr>
            <w:tcW w:w="6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5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November 5, 2021</w:t>
            </w:r>
          </w:p>
        </w:tc>
      </w:tr>
      <w:tr>
        <w:trPr>
          <w:trHeight w:val="20"/>
        </w:trPr>
        <w:tc>
          <w:tcPr>
            <w:tcW w:w="10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10.42</w:t>
            </w:r>
          </w:p>
        </w:tc>
        <w:tc>
          <w:tcPr>
            <w:tcW w:w="6140" w:type="dxa"/>
            <w:vAlign w:val="bottom"/>
            <w:gridSpan w:val="37"/>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Letter Agreement dated December 17, 2021, by and among QuantumScape Battery,</w:t>
              </w:r>
            </w:hyperlink>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26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118">
              <w:r>
                <w:rPr>
                  <w:rFonts w:ascii="Times New Roman" w:cs="Times New Roman" w:eastAsia="Times New Roman" w:hAnsi="Times New Roman"/>
                  <w:sz w:val="18"/>
                  <w:szCs w:val="18"/>
                  <w:color w:val="0000EE"/>
                  <w:w w:val="98"/>
                </w:rPr>
                <w:t>Inc., Volkswagen Group of America, Inc, Volkswagen Group of America</w:t>
              </w:r>
            </w:hyperlink>
          </w:p>
        </w:tc>
        <w:tc>
          <w:tcPr>
            <w:tcW w:w="760" w:type="dxa"/>
            <w:vAlign w:val="bottom"/>
            <w:tcBorders>
              <w:top w:val="single" w:sz="8" w:color="0000EE"/>
            </w:tcBorders>
            <w:gridSpan w:val="14"/>
          </w:tcPr>
          <w:p>
            <w:pPr>
              <w:spacing w:after="0"/>
              <w:rPr>
                <w:sz w:val="17"/>
                <w:szCs w:val="17"/>
                <w:color w:val="auto"/>
              </w:rPr>
            </w:pPr>
          </w:p>
        </w:tc>
        <w:tc>
          <w:tcPr>
            <w:tcW w:w="12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6140" w:type="dxa"/>
            <w:vAlign w:val="bottom"/>
            <w:gridSpan w:val="37"/>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Investments, LLC and QSV Operations LLC</w:t>
              </w:r>
              <w:r>
                <w:rPr>
                  <w:rFonts w:ascii="Times New Roman" w:cs="Times New Roman" w:eastAsia="Times New Roman" w:hAnsi="Times New Roman"/>
                  <w:sz w:val="18"/>
                  <w:szCs w:val="18"/>
                  <w:color w:val="000000"/>
                </w:rPr>
                <w:t>.</w:t>
              </w:r>
            </w:hyperlink>
          </w:p>
        </w:tc>
        <w:tc>
          <w:tcPr>
            <w:tcW w:w="6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5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December 17, 2021</w:t>
            </w:r>
          </w:p>
        </w:tc>
      </w:tr>
      <w:tr>
        <w:trPr>
          <w:trHeight w:val="20"/>
        </w:trPr>
        <w:tc>
          <w:tcPr>
            <w:tcW w:w="10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16.1</w:t>
            </w:r>
          </w:p>
        </w:tc>
        <w:tc>
          <w:tcPr>
            <w:tcW w:w="56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Letter from Marcum LLP regarding Change in Independent Registered Public</w:t>
              </w:r>
            </w:hyperlink>
          </w:p>
        </w:tc>
        <w:tc>
          <w:tcPr>
            <w:tcW w:w="520" w:type="dxa"/>
            <w:vAlign w:val="bottom"/>
            <w:gridSpan w:val="12"/>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2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Accounting Firm dated December 14, 2020.</w:t>
              </w:r>
            </w:hyperlink>
          </w:p>
        </w:tc>
        <w:tc>
          <w:tcPr>
            <w:tcW w:w="2920" w:type="dxa"/>
            <w:vAlign w:val="bottom"/>
            <w:gridSpan w:val="28"/>
          </w:tcPr>
          <w:p>
            <w:pPr>
              <w:spacing w:after="0"/>
              <w:rPr>
                <w:sz w:val="17"/>
                <w:szCs w:val="17"/>
                <w:color w:val="auto"/>
              </w:rPr>
            </w:pPr>
          </w:p>
        </w:tc>
        <w:tc>
          <w:tcPr>
            <w:tcW w:w="6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15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December 14, 2020</w:t>
            </w: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21.1</w:t>
            </w:r>
          </w:p>
        </w:tc>
        <w:tc>
          <w:tcPr>
            <w:tcW w:w="6140" w:type="dxa"/>
            <w:vAlign w:val="bottom"/>
            <w:gridSpan w:val="37"/>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List of Subsidiaries of the Registrant.</w:t>
              </w:r>
            </w:hyperlink>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28, 2022</w:t>
            </w:r>
          </w:p>
        </w:tc>
      </w:tr>
      <w:tr>
        <w:trPr>
          <w:trHeight w:val="20"/>
        </w:trPr>
        <w:tc>
          <w:tcPr>
            <w:tcW w:w="10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23.1</w:t>
            </w:r>
          </w:p>
        </w:tc>
        <w:tc>
          <w:tcPr>
            <w:tcW w:w="53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8"/>
              </w:rPr>
            </w:pPr>
            <w:hyperlink r:id="rId121">
              <w:r>
                <w:rPr>
                  <w:rFonts w:ascii="Times New Roman" w:cs="Times New Roman" w:eastAsia="Times New Roman" w:hAnsi="Times New Roman"/>
                  <w:sz w:val="18"/>
                  <w:szCs w:val="18"/>
                  <w:color w:val="0000EE"/>
                  <w:w w:val="98"/>
                </w:rPr>
                <w:t>Consent of Independent Registered Accounting Firm, Ernst &amp; Young LLP.</w:t>
              </w:r>
            </w:hyperlink>
          </w:p>
        </w:tc>
        <w:tc>
          <w:tcPr>
            <w:tcW w:w="760" w:type="dxa"/>
            <w:vAlign w:val="bottom"/>
            <w:gridSpan w:val="14"/>
          </w:tcPr>
          <w:p>
            <w:pPr>
              <w:spacing w:after="0"/>
              <w:rPr>
                <w:sz w:val="24"/>
                <w:szCs w:val="24"/>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28, 2022</w:t>
            </w: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24.1</w:t>
            </w:r>
          </w:p>
        </w:tc>
        <w:tc>
          <w:tcPr>
            <w:tcW w:w="6140" w:type="dxa"/>
            <w:vAlign w:val="bottom"/>
            <w:gridSpan w:val="37"/>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Power of Attorney (included in signature page).</w:t>
              </w:r>
            </w:hyperlink>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28, 2022</w:t>
            </w:r>
          </w:p>
        </w:tc>
      </w:tr>
      <w:tr>
        <w:trPr>
          <w:trHeight w:val="20"/>
        </w:trPr>
        <w:tc>
          <w:tcPr>
            <w:tcW w:w="10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740" w:type="dxa"/>
            <w:vAlign w:val="bottom"/>
            <w:gridSpan w:val="7"/>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0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52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Rule 13a-14(a) /15(d)-14(a) Certification of Principal Executive Officer.</w:t>
              </w:r>
            </w:hyperlink>
          </w:p>
        </w:tc>
        <w:tc>
          <w:tcPr>
            <w:tcW w:w="920" w:type="dxa"/>
            <w:vAlign w:val="bottom"/>
            <w:gridSpan w:val="17"/>
          </w:tcPr>
          <w:p>
            <w:pPr>
              <w:spacing w:after="0"/>
              <w:rPr>
                <w:sz w:val="24"/>
                <w:szCs w:val="24"/>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28, 2022</w:t>
            </w: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51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Rule 13a-14(a) /15(d)-14(a) Certification of Principal Financial Officer.</w:t>
              </w:r>
            </w:hyperlink>
          </w:p>
        </w:tc>
        <w:tc>
          <w:tcPr>
            <w:tcW w:w="960" w:type="dxa"/>
            <w:vAlign w:val="bottom"/>
            <w:gridSpan w:val="19"/>
          </w:tcPr>
          <w:p>
            <w:pPr>
              <w:spacing w:after="0"/>
              <w:rPr>
                <w:sz w:val="24"/>
                <w:szCs w:val="24"/>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28, 2022</w:t>
            </w: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31.3*</w:t>
            </w:r>
          </w:p>
        </w:tc>
        <w:tc>
          <w:tcPr>
            <w:tcW w:w="52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Rule 13a-14(a) /15(d)-14(a) Certification of Principal Executive Officer.</w:t>
              </w:r>
            </w:hyperlink>
          </w:p>
        </w:tc>
        <w:tc>
          <w:tcPr>
            <w:tcW w:w="920" w:type="dxa"/>
            <w:vAlign w:val="bottom"/>
            <w:gridSpan w:val="17"/>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31.4*</w:t>
            </w:r>
          </w:p>
        </w:tc>
        <w:tc>
          <w:tcPr>
            <w:tcW w:w="6140" w:type="dxa"/>
            <w:vAlign w:val="bottom"/>
            <w:gridSpan w:val="37"/>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Rule 13a-14(a) /15(d)-14(a) Certification of Principal Financial Officer.</w:t>
              </w:r>
            </w:hyperlink>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280" w:type="dxa"/>
            <w:vAlign w:val="bottom"/>
            <w:gridSpan w:val="11"/>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6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6140" w:type="dxa"/>
            <w:vAlign w:val="bottom"/>
            <w:gridSpan w:val="37"/>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Certification of Principal Executive Officer Pursuant to 18 U.S.C. Section 1350, as</w:t>
              </w:r>
            </w:hyperlink>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Adopted Pursuant to Section 906 of the Sarbanes-Oxley Act of 2002.</w:t>
              </w:r>
            </w:hyperlink>
          </w:p>
        </w:tc>
        <w:tc>
          <w:tcPr>
            <w:tcW w:w="960" w:type="dxa"/>
            <w:vAlign w:val="bottom"/>
            <w:tcBorders>
              <w:top w:val="single" w:sz="8" w:color="0000EE"/>
            </w:tcBorders>
            <w:gridSpan w:val="18"/>
          </w:tcPr>
          <w:p>
            <w:pPr>
              <w:spacing w:after="0"/>
              <w:rPr>
                <w:sz w:val="17"/>
                <w:szCs w:val="17"/>
                <w:color w:val="auto"/>
              </w:rPr>
            </w:pPr>
          </w:p>
        </w:tc>
        <w:tc>
          <w:tcPr>
            <w:tcW w:w="180" w:type="dxa"/>
            <w:vAlign w:val="bottom"/>
            <w:gridSpan w:val="4"/>
          </w:tcPr>
          <w:p>
            <w:pPr>
              <w:spacing w:after="0"/>
              <w:rPr>
                <w:sz w:val="17"/>
                <w:szCs w:val="17"/>
                <w:color w:val="auto"/>
              </w:rPr>
            </w:pPr>
          </w:p>
        </w:tc>
        <w:tc>
          <w:tcPr>
            <w:tcW w:w="6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5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February 28, 2022</w:t>
            </w:r>
          </w:p>
        </w:tc>
      </w:tr>
      <w:tr>
        <w:trPr>
          <w:trHeight w:val="30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592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Certification of Principal Financial Officer Pursuant to 18 U.S.C. Section 1350, as</w:t>
              </w:r>
            </w:hyperlink>
          </w:p>
        </w:tc>
        <w:tc>
          <w:tcPr>
            <w:tcW w:w="22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140" w:type="dxa"/>
            <w:vAlign w:val="bottom"/>
            <w:gridSpan w:val="37"/>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Adopted Pursuant to Section 906 of the Sarbanes-Oxley Act of 2002.</w:t>
              </w:r>
            </w:hyperlink>
          </w:p>
        </w:tc>
        <w:tc>
          <w:tcPr>
            <w:tcW w:w="6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001-39345</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5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February 28, 2022</w:t>
            </w:r>
          </w:p>
        </w:tc>
      </w:tr>
      <w:tr>
        <w:trPr>
          <w:trHeight w:val="20"/>
        </w:trPr>
        <w:tc>
          <w:tcPr>
            <w:tcW w:w="1020" w:type="dxa"/>
            <w:vAlign w:val="bottom"/>
          </w:tcPr>
          <w:p>
            <w:pPr>
              <w:spacing w:after="0" w:line="20" w:lineRule="exact"/>
              <w:rPr>
                <w:sz w:val="1"/>
                <w:szCs w:val="1"/>
                <w:color w:val="auto"/>
              </w:rPr>
            </w:pPr>
          </w:p>
        </w:tc>
        <w:tc>
          <w:tcPr>
            <w:tcW w:w="4980" w:type="dxa"/>
            <w:vAlign w:val="bottom"/>
            <w:gridSpan w:val="14"/>
            <w:shd w:val="clear" w:color="auto" w:fill="0000EE"/>
          </w:tcPr>
          <w:p>
            <w:pPr>
              <w:spacing w:after="0" w:line="20" w:lineRule="exact"/>
              <w:rPr>
                <w:sz w:val="1"/>
                <w:szCs w:val="1"/>
                <w:color w:val="auto"/>
              </w:rPr>
            </w:pPr>
          </w:p>
        </w:tc>
        <w:tc>
          <w:tcPr>
            <w:tcW w:w="5040" w:type="dxa"/>
            <w:vAlign w:val="bottom"/>
            <w:gridSpan w:val="27"/>
          </w:tcPr>
          <w:p>
            <w:pPr>
              <w:spacing w:after="0" w:line="20" w:lineRule="exact"/>
              <w:rPr>
                <w:sz w:val="1"/>
                <w:szCs w:val="1"/>
                <w:color w:val="auto"/>
              </w:rPr>
            </w:pPr>
          </w:p>
        </w:tc>
      </w:tr>
      <w:tr>
        <w:trPr>
          <w:trHeight w:val="326"/>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34"/>
        </w:trPr>
        <w:tc>
          <w:tcPr>
            <w:tcW w:w="1020" w:type="dxa"/>
            <w:vAlign w:val="bottom"/>
          </w:tcPr>
          <w:p>
            <w:pPr>
              <w:spacing w:after="0"/>
              <w:rPr>
                <w:sz w:val="20"/>
                <w:szCs w:val="20"/>
                <w:color w:val="auto"/>
              </w:rPr>
            </w:pPr>
          </w:p>
        </w:tc>
        <w:tc>
          <w:tcPr>
            <w:tcW w:w="614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2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614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65"/>
        </w:trPr>
        <w:tc>
          <w:tcPr>
            <w:tcW w:w="1020" w:type="dxa"/>
            <w:vAlign w:val="bottom"/>
          </w:tcPr>
          <w:p>
            <w:pPr>
              <w:spacing w:after="0"/>
              <w:rPr>
                <w:sz w:val="24"/>
                <w:szCs w:val="24"/>
                <w:color w:val="auto"/>
              </w:rPr>
            </w:pPr>
          </w:p>
        </w:tc>
        <w:tc>
          <w:tcPr>
            <w:tcW w:w="4900" w:type="dxa"/>
            <w:vAlign w:val="bottom"/>
            <w:gridSpan w:val="13"/>
          </w:tcPr>
          <w:p>
            <w:pPr>
              <w:ind w:left="45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040"/>
          </w:cols>
          <w:pgMar w:left="320" w:top="689" w:right="5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20" w:right="3079" w:hanging="4"/>
        <w:spacing w:after="0" w:line="260" w:lineRule="auto"/>
        <w:tabs>
          <w:tab w:leader="none" w:pos="55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in accordance with Item 601 of Regulation S-K. + Indicates a management or compensatory plan.</w:t>
      </w:r>
    </w:p>
    <w:p>
      <w:pPr>
        <w:spacing w:after="0" w:line="1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139"/>
          </w:cols>
          <w:pgMar w:left="320" w:top="482" w:right="1440"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QuantumScape Corporation</w:t>
      </w:r>
    </w:p>
    <w:p>
      <w:pPr>
        <w:spacing w:after="0" w:line="229" w:lineRule="exact"/>
        <w:rPr>
          <w:sz w:val="20"/>
          <w:szCs w:val="20"/>
          <w:color w:val="auto"/>
        </w:rPr>
      </w:pPr>
    </w:p>
    <w:p>
      <w:pPr>
        <w:ind w:left="120"/>
        <w:spacing w:after="0"/>
        <w:tabs>
          <w:tab w:leader="none" w:pos="5720" w:val="left"/>
          <w:tab w:leader="none" w:pos="8000" w:val="left"/>
        </w:tabs>
        <w:rPr>
          <w:sz w:val="20"/>
          <w:szCs w:val="20"/>
          <w:color w:val="auto"/>
        </w:rPr>
      </w:pPr>
      <w:r>
        <w:rPr>
          <w:rFonts w:ascii="Times New Roman" w:cs="Times New Roman" w:eastAsia="Times New Roman" w:hAnsi="Times New Roman"/>
          <w:sz w:val="18"/>
          <w:szCs w:val="18"/>
          <w:color w:val="auto"/>
        </w:rPr>
        <w:t>Date: April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Jagdeep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457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4"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Jagdeep Singh</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Executive Officer (Principal Executive Officer)</w:t>
      </w:r>
    </w:p>
    <w:p>
      <w:pPr>
        <w:spacing w:after="0" w:line="13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700"/>
          </w:cols>
          <w:pgMar w:left="320" w:top="482" w:right="87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 Jagdeep Singh, certify that:</w:t>
      </w:r>
    </w:p>
    <w:p>
      <w:pPr>
        <w:spacing w:after="0" w:line="131" w:lineRule="exact"/>
        <w:rPr>
          <w:sz w:val="20"/>
          <w:szCs w:val="20"/>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QuantumScape Corporation; and</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sz w:val="20"/>
          <w:szCs w:val="20"/>
          <w:color w:val="auto"/>
        </w:rPr>
      </w:pPr>
    </w:p>
    <w:p>
      <w:pPr>
        <w:ind w:left="4"/>
        <w:spacing w:after="0"/>
        <w:tabs>
          <w:tab w:leader="none" w:pos="5604" w:val="left"/>
          <w:tab w:leader="none" w:pos="7904" w:val="left"/>
        </w:tabs>
        <w:rPr>
          <w:sz w:val="20"/>
          <w:szCs w:val="20"/>
          <w:color w:val="auto"/>
        </w:rPr>
      </w:pPr>
      <w:r>
        <w:rPr>
          <w:rFonts w:ascii="Times New Roman" w:cs="Times New Roman" w:eastAsia="Times New Roman" w:hAnsi="Times New Roman"/>
          <w:sz w:val="18"/>
          <w:szCs w:val="18"/>
          <w:color w:val="auto"/>
        </w:rPr>
        <w:t>Date: April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/s/Jagdeep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Jagdeep Singh</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24"/>
          </w:cols>
          <w:pgMar w:left="436" w:top="117" w:right="4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 Kevin Hettrich, certify that:</w:t>
      </w:r>
    </w:p>
    <w:p>
      <w:pPr>
        <w:spacing w:after="0" w:line="131" w:lineRule="exact"/>
        <w:rPr>
          <w:sz w:val="20"/>
          <w:szCs w:val="20"/>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QuantumScape Corporation; and</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sz w:val="20"/>
          <w:szCs w:val="20"/>
          <w:color w:val="auto"/>
        </w:rPr>
      </w:pPr>
    </w:p>
    <w:p>
      <w:pPr>
        <w:ind w:left="4"/>
        <w:spacing w:after="0"/>
        <w:tabs>
          <w:tab w:leader="none" w:pos="5604" w:val="left"/>
          <w:tab w:leader="none" w:pos="7884" w:val="left"/>
        </w:tabs>
        <w:rPr>
          <w:sz w:val="20"/>
          <w:szCs w:val="20"/>
          <w:color w:val="auto"/>
        </w:rPr>
      </w:pPr>
      <w:r>
        <w:rPr>
          <w:rFonts w:ascii="Times New Roman" w:cs="Times New Roman" w:eastAsia="Times New Roman" w:hAnsi="Times New Roman"/>
          <w:sz w:val="18"/>
          <w:szCs w:val="18"/>
          <w:color w:val="auto"/>
        </w:rPr>
        <w:t>Date: April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Hettrich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Kevin Hettrich</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2"/>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lowerRoman"/>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2"/>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106" Type="http://schemas.openxmlformats.org/officeDocument/2006/relationships/image" Target="media/image61.png"/><Relationship Id="rId126" Type="http://schemas.openxmlformats.org/officeDocument/2006/relationships/image" Target="media/image62.png"/><Relationship Id="rId127" Type="http://schemas.openxmlformats.org/officeDocument/2006/relationships/image" Target="media/image63.png"/><Relationship Id="rId128" Type="http://schemas.openxmlformats.org/officeDocument/2006/relationships/image" Target="media/image64.png"/><Relationship Id="rId129" Type="http://schemas.openxmlformats.org/officeDocument/2006/relationships/image" Target="media/image65.png"/><Relationship Id="rId130" Type="http://schemas.openxmlformats.org/officeDocument/2006/relationships/image" Target="media/image66.png"/><Relationship Id="rId131" Type="http://schemas.openxmlformats.org/officeDocument/2006/relationships/image" Target="media/image67.png"/><Relationship Id="rId66" Type="http://schemas.openxmlformats.org/officeDocument/2006/relationships/hyperlink" Target="http://www.sec.gov/Archives/edgar/data/1811414/000119312520290474/d14810ds4a.htm#ii14810_aa" TargetMode="External"/><Relationship Id="rId67" Type="http://schemas.openxmlformats.org/officeDocument/2006/relationships/hyperlink" Target="http://www.sec.gov/Archives/edgar/data/1811414/000119312520290474/d14810ds4a.htm#ii14810_aa1" TargetMode="External"/><Relationship Id="rId68" Type="http://schemas.openxmlformats.org/officeDocument/2006/relationships/hyperlink" Target="http://www.sec.gov/Archives/edgar/data/1811414/000119312520308489/d89618dex31.htm" TargetMode="External"/><Relationship Id="rId69" Type="http://schemas.openxmlformats.org/officeDocument/2006/relationships/hyperlink" Target="http://www.sec.gov/Archives/edgar/data/1811414/000119312520308489/d89618dex32.htm" TargetMode="External"/><Relationship Id="rId70" Type="http://schemas.openxmlformats.org/officeDocument/2006/relationships/hyperlink" Target="http://www.sec.gov/Archives/edgar/data/1811414/000119312520308489/d89618dex41.htm" TargetMode="External"/><Relationship Id="rId71" Type="http://schemas.openxmlformats.org/officeDocument/2006/relationships/hyperlink" Target="http://www.sec.gov/Archives/edgar/data/1811414/000156459020031281/cik1811414-ex41_12.htm" TargetMode="External"/><Relationship Id="rId72" Type="http://schemas.openxmlformats.org/officeDocument/2006/relationships/hyperlink" Target="http://www.sec.gov/Archives/edgar/data/1811414/000119312521043298/d949664dex41.htm" TargetMode="External"/><Relationship Id="rId73" Type="http://schemas.openxmlformats.org/officeDocument/2006/relationships/hyperlink" Target="http://www.sec.gov/Archives/edgar/data/0001811414/000095017022002330/qs-ex4_4.htm" TargetMode="External"/><Relationship Id="rId74" Type="http://schemas.openxmlformats.org/officeDocument/2006/relationships/hyperlink" Target="http://www.sec.gov/Archives/edgar/data/1811414/000156459020042442/kcac-ex103_63.htm" TargetMode="External"/><Relationship Id="rId75" Type="http://schemas.openxmlformats.org/officeDocument/2006/relationships/hyperlink" Target="http://www.sec.gov/Archives/edgar/data/1811414/000156459020042442/kcac-ex105_60.htm" TargetMode="External"/><Relationship Id="rId76" Type="http://schemas.openxmlformats.org/officeDocument/2006/relationships/hyperlink" Target="http://www.sec.gov/Archives/edgar/data/1811414/000119312520308489/d89618dex103.htm" TargetMode="External"/><Relationship Id="rId77" Type="http://schemas.openxmlformats.org/officeDocument/2006/relationships/hyperlink" Target="http://www.sec.gov/Archives/edgar/data/1811414/000156459020042442/kcac-ex104_7.htm" TargetMode="External"/><Relationship Id="rId78" Type="http://schemas.openxmlformats.org/officeDocument/2006/relationships/hyperlink" Target="http://www.sec.gov/Archives/edgar/data/1811414/000156459020042442/kcac-ex101_59.htm" TargetMode="External"/><Relationship Id="rId79" Type="http://schemas.openxmlformats.org/officeDocument/2006/relationships/hyperlink" Target="http://www.sec.gov/Archives/edgar/data/1811414/000156459020042442/kcac-ex102_62.htm" TargetMode="External"/><Relationship Id="rId80" Type="http://schemas.openxmlformats.org/officeDocument/2006/relationships/hyperlink" Target="http://www.sec.gov/Archives/edgar/data/1811414/000119312520308489/d89618dex107.htm" TargetMode="External"/><Relationship Id="rId81" Type="http://schemas.openxmlformats.org/officeDocument/2006/relationships/hyperlink" Target="http://www.sec.gov/Archives/edgar/data/1811414/000119312520308489/d89618dex108.htm" TargetMode="External"/><Relationship Id="rId82" Type="http://schemas.openxmlformats.org/officeDocument/2006/relationships/hyperlink" Target="http://www.sec.gov/Archives/edgar/data/1811414/000119312520308489/d89618dex109.htm" TargetMode="External"/><Relationship Id="rId83" Type="http://schemas.openxmlformats.org/officeDocument/2006/relationships/hyperlink" Target="http://www.sec.gov/Archives/edgar/data/1811414/000119312520308489/d89618dex1010.htm" TargetMode="External"/><Relationship Id="rId84" Type="http://schemas.openxmlformats.org/officeDocument/2006/relationships/hyperlink" Target="http://www.sec.gov/Archives/edgar/data/1811414/000119312520308489/d89618dex1011.htm" TargetMode="External"/><Relationship Id="rId85" Type="http://schemas.openxmlformats.org/officeDocument/2006/relationships/hyperlink" Target="http://www.sec.gov/Archives/edgar/data/1811414/000119312520308489/d89618dex1012.htm" TargetMode="External"/><Relationship Id="rId86" Type="http://schemas.openxmlformats.org/officeDocument/2006/relationships/hyperlink" Target="http://www.sec.gov/Archives/edgar/data/0001811414/000095017022002330/qs-ex10_13.htm" TargetMode="External"/><Relationship Id="rId87" Type="http://schemas.openxmlformats.org/officeDocument/2006/relationships/hyperlink" Target="http://www.sec.gov/Archives/edgar/data/0001811414/000114036121037019/ny20000701x4_def14a.htm" TargetMode="External"/><Relationship Id="rId90" Type="http://schemas.openxmlformats.org/officeDocument/2006/relationships/hyperlink" Target="http://www.sec.gov/Archives/edgar/data/1811414/000156459020042442/kcac-ex106_57.htm" TargetMode="External"/><Relationship Id="rId91" Type="http://schemas.openxmlformats.org/officeDocument/2006/relationships/hyperlink" Target="http://www.sec.gov/Archives/edgar/data/1811414/000156459020042442/kcac-ex107_55.htm" TargetMode="External"/><Relationship Id="rId92" Type="http://schemas.openxmlformats.org/officeDocument/2006/relationships/hyperlink" Target="http://www.sec.gov/Archives/edgar/data/1811414/000156459020042442/kcac-ex108_58.htm" TargetMode="External"/><Relationship Id="rId93" Type="http://schemas.openxmlformats.org/officeDocument/2006/relationships/hyperlink" Target="http://www.sec.gov/Archives/edgar/data/1811414/000156459020042442/kcac-ex109_8.htm" TargetMode="External"/><Relationship Id="rId94" Type="http://schemas.openxmlformats.org/officeDocument/2006/relationships/hyperlink" Target="http://www.sec.gov/Archives/edgar/data/1811414/000156459020042442/kcac-ex1010_6.htm" TargetMode="External"/><Relationship Id="rId95" Type="http://schemas.openxmlformats.org/officeDocument/2006/relationships/hyperlink" Target="http://www.sec.gov/Archives/edgar/data/0001811414/000119312520249736/d14810dex1013.htm" TargetMode="External"/><Relationship Id="rId96" Type="http://schemas.openxmlformats.org/officeDocument/2006/relationships/hyperlink" Target="http://www.sec.gov/Archives/edgar/data/0001811414/000119312520249736/d14810dex1014.htm" TargetMode="External"/><Relationship Id="rId97" Type="http://schemas.openxmlformats.org/officeDocument/2006/relationships/hyperlink" Target="http://www.sec.gov/Archives/edgar/data/0001811414/000119312520249736/d14810dex1016.htm" TargetMode="External"/><Relationship Id="rId98" Type="http://schemas.openxmlformats.org/officeDocument/2006/relationships/hyperlink" Target="http://www.sec.gov/Archives/edgar/data/0001811414/000119312520249736/d14810dex1017.htm" TargetMode="External"/><Relationship Id="rId99" Type="http://schemas.openxmlformats.org/officeDocument/2006/relationships/hyperlink" Target="http://www.sec.gov/Archives/edgar/data/0001811414/000095017022002330/qs-ex10_25.htm" TargetMode="External"/><Relationship Id="rId100" Type="http://schemas.openxmlformats.org/officeDocument/2006/relationships/hyperlink" Target="http://www.sec.gov/Archives/edgar/data/0001811414/000119312520249736/d14810dex1018.htm" TargetMode="External"/><Relationship Id="rId101" Type="http://schemas.openxmlformats.org/officeDocument/2006/relationships/hyperlink" Target="http://www.sec.gov/Archives/edgar/data/0001811414/000119312520249736/d14810dex1019.htm" TargetMode="External"/><Relationship Id="rId102" Type="http://schemas.openxmlformats.org/officeDocument/2006/relationships/hyperlink" Target="http://www.sec.gov/Archives/edgar/data/0001811414/000119312520249736/d14810dex1020.htm" TargetMode="External"/><Relationship Id="rId103" Type="http://schemas.openxmlformats.org/officeDocument/2006/relationships/hyperlink" Target="http://www.sec.gov/Archives/edgar/data/0001811414/000119312520249736/d14810dex1021.htm" TargetMode="External"/><Relationship Id="rId104" Type="http://schemas.openxmlformats.org/officeDocument/2006/relationships/hyperlink" Target="http://www.sec.gov/Archives/edgar/data/0001811414/000119312520249736/d14810dex1022.htm" TargetMode="External"/><Relationship Id="rId105" Type="http://schemas.openxmlformats.org/officeDocument/2006/relationships/hyperlink" Target="http://www.sec.gov/Archives/edgar/data/0001811414/000119312520249736/d14810dex1023.htm" TargetMode="External"/><Relationship Id="rId107" Type="http://schemas.openxmlformats.org/officeDocument/2006/relationships/hyperlink" Target="http://www.sec.gov/Archives/edgar/data/0001811414/000119312520249736/d14810dex1024.htm" TargetMode="External"/><Relationship Id="rId108" Type="http://schemas.openxmlformats.org/officeDocument/2006/relationships/hyperlink" Target="http://www.sec.gov/Archives/edgar/data/1811414/000119312520326213/d53940dex1030.htm" TargetMode="External"/><Relationship Id="rId109" Type="http://schemas.openxmlformats.org/officeDocument/2006/relationships/hyperlink" Target="http://www.sec.gov/Archives/edgar/data/1811414/000119312521081348/d157069dex101.htm" TargetMode="External"/><Relationship Id="rId110" Type="http://schemas.openxmlformats.org/officeDocument/2006/relationships/hyperlink" Target="http://www.sec.gov/Archives/edgar/data/1811414/000119312521081348/d157069dex102.htm" TargetMode="External"/><Relationship Id="rId111" Type="http://schemas.openxmlformats.org/officeDocument/2006/relationships/hyperlink" Target="http://www.sec.gov/Archives/edgar/data/1811414/000119312521103682/d131254dex11.htm" TargetMode="External"/><Relationship Id="rId112" Type="http://schemas.openxmlformats.org/officeDocument/2006/relationships/hyperlink" Target="http://www.sec.gov/Archives/edgar/data/1811414/000119312521155547/d183504dex1034.htm" TargetMode="External"/><Relationship Id="rId113" Type="http://schemas.openxmlformats.org/officeDocument/2006/relationships/hyperlink" Target="http://www.sec.gov/Archives/edgar/data/1811414/000119312521162243/d265540dex101.htm" TargetMode="External"/><Relationship Id="rId114" Type="http://schemas.openxmlformats.org/officeDocument/2006/relationships/hyperlink" Target="http://www.sec.gov/Archives/edgar/data/1811414/000119312521202146/d191380dex101.htm" TargetMode="External"/><Relationship Id="rId115" Type="http://schemas.openxmlformats.org/officeDocument/2006/relationships/hyperlink" Target="http://www.sec.gov/Archives/edgar/data/1811414/000119312521202146/d191380dex102.htm" TargetMode="External"/><Relationship Id="rId116" Type="http://schemas.openxmlformats.org/officeDocument/2006/relationships/hyperlink" Target="http://www.sec.gov/Archives/edgar/data/1811414/000119312521321678/d251781dex101.htm" TargetMode="External"/><Relationship Id="rId117" Type="http://schemas.openxmlformats.org/officeDocument/2006/relationships/hyperlink" Target="http://www.sec.gov/Archives/edgar/data/0001811414/000119312521321678/d251781dex102.htm" TargetMode="External"/><Relationship Id="rId118" Type="http://schemas.openxmlformats.org/officeDocument/2006/relationships/hyperlink" Target="http://www.sec.gov/Archives/edgar/data/1811414/000095017021005264/qs-ex10_1.htm" TargetMode="External"/><Relationship Id="rId119" Type="http://schemas.openxmlformats.org/officeDocument/2006/relationships/hyperlink" Target="http://www.sec.gov/Archives/edgar/data/1811414/000119312520316983/d55251dex161.htm" TargetMode="External"/><Relationship Id="rId120" Type="http://schemas.openxmlformats.org/officeDocument/2006/relationships/hyperlink" Target="http://www.sec.gov/Archives/edgar/data/0001811414/000095017022002330/qs-ex21_1.htm" TargetMode="External"/><Relationship Id="rId121" Type="http://schemas.openxmlformats.org/officeDocument/2006/relationships/hyperlink" Target="http://www.sec.gov/Archives/edgar/data/0001811414/000095017022002330/qs-ex23_1.htm" TargetMode="External"/><Relationship Id="rId122" Type="http://schemas.openxmlformats.org/officeDocument/2006/relationships/hyperlink" Target="http://www.sec.gov/ix?doc=/Archives/edgar/data/1811414/000156459021007621/qs-10k_20201231.htm#POWER_ATTORNEY" TargetMode="External"/><Relationship Id="rId123" Type="http://schemas.openxmlformats.org/officeDocument/2006/relationships/hyperlink" Target="http://www.sec.gov/Archives/edgar/data/0001811414/000095017022002330/qs-ex31_1.htm" TargetMode="External"/><Relationship Id="rId124" Type="http://schemas.openxmlformats.org/officeDocument/2006/relationships/hyperlink" Target="http://www.sec.gov/Archives/edgar/data/0001811414/000095017022002330/qs-ex31_2.htm" TargetMode="External"/><Relationship Id="rId125" Type="http://schemas.openxmlformats.org/officeDocument/2006/relationships/hyperlink" Target="http://www.sec.gov/Archives/edgar/data/0001811414/000095017022002330/qs-ex3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2022-04-06T15:09:48Z</dcterms:created>
  <dcterms:modified xsi:type="dcterms:W3CDTF">2022-04-06T15:09:48Z</dcterms:modified>
</cp:coreProperties>
</file>