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7044055" cy="5246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524637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540"/>
          </w:cols>
          <w:pgMar w:left="460" w:top="225"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Singh Mohit</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right="620"/>
        <w:spacing w:after="0" w:line="395" w:lineRule="auto"/>
        <w:rPr>
          <w:sz w:val="20"/>
          <w:szCs w:val="20"/>
          <w:color w:val="auto"/>
        </w:rPr>
      </w:pPr>
      <w:r>
        <w:rPr>
          <w:rFonts w:ascii="Arial" w:cs="Arial" w:eastAsia="Arial" w:hAnsi="Arial"/>
          <w:sz w:val="16"/>
          <w:szCs w:val="16"/>
          <w:color w:val="0000FF"/>
        </w:rPr>
        <w:t>C/O QUANTUMSCAPE CORPORATION 1730 TECHNOLOGY DRIVE</w:t>
      </w:r>
    </w:p>
    <w:p>
      <w:pPr>
        <w:spacing w:after="0" w:line="154"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2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95110</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QuantumScape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QS</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96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660" w:type="dxa"/>
            <w:vAlign w:val="bottom"/>
            <w:tcBorders>
              <w:bottom w:val="single" w:sz="8" w:color="0000EE"/>
            </w:tcBorders>
          </w:tcPr>
          <w:p>
            <w:pPr>
              <w:spacing w:after="0"/>
              <w:rPr>
                <w:sz w:val="3"/>
                <w:szCs w:val="3"/>
                <w:color w:val="auto"/>
              </w:rPr>
            </w:pPr>
          </w:p>
        </w:tc>
        <w:tc>
          <w:tcPr>
            <w:tcW w:w="1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660" w:type="dxa"/>
            <w:vAlign w:val="bottom"/>
            <w:tcBorders>
              <w:bottom w:val="single" w:sz="8" w:color="2C2C2C"/>
            </w:tcBorders>
          </w:tcPr>
          <w:p>
            <w:pPr>
              <w:spacing w:after="0"/>
              <w:rPr>
                <w:sz w:val="6"/>
                <w:szCs w:val="6"/>
                <w:color w:val="auto"/>
              </w:rPr>
            </w:pPr>
          </w:p>
        </w:tc>
        <w:tc>
          <w:tcPr>
            <w:tcW w:w="196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1860" w:type="dxa"/>
            <w:vAlign w:val="bottom"/>
            <w:gridSpan w:val="3"/>
          </w:tcPr>
          <w:p>
            <w:pPr>
              <w:ind w:left="80"/>
              <w:spacing w:after="0"/>
              <w:rPr>
                <w:sz w:val="20"/>
                <w:szCs w:val="20"/>
                <w:color w:val="auto"/>
              </w:rPr>
            </w:pPr>
            <w:r>
              <w:rPr>
                <w:rFonts w:ascii="Arial" w:cs="Arial" w:eastAsia="Arial" w:hAnsi="Arial"/>
                <w:sz w:val="17"/>
                <w:szCs w:val="17"/>
                <w:color w:val="0000FF"/>
              </w:rPr>
              <w:t>11/16/2023</w:t>
            </w:r>
          </w:p>
        </w:tc>
        <w:tc>
          <w:tcPr>
            <w:tcW w:w="1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200"/>
              <w:spacing w:after="0"/>
              <w:rPr>
                <w:sz w:val="20"/>
                <w:szCs w:val="20"/>
                <w:color w:val="auto"/>
              </w:rPr>
            </w:pPr>
            <w:r>
              <w:rPr>
                <w:rFonts w:ascii="Arial" w:cs="Arial" w:eastAsia="Arial" w:hAnsi="Arial"/>
                <w:sz w:val="17"/>
                <w:szCs w:val="17"/>
                <w:color w:val="0000FF"/>
              </w:rPr>
              <w:t>Chief Development Officer</w:t>
            </w: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9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660" w:type="dxa"/>
            <w:vAlign w:val="bottom"/>
            <w:tcBorders>
              <w:bottom w:val="single" w:sz="8" w:color="2C2C2C"/>
            </w:tcBorders>
          </w:tcPr>
          <w:p>
            <w:pPr>
              <w:spacing w:after="0"/>
              <w:rPr>
                <w:sz w:val="8"/>
                <w:szCs w:val="8"/>
                <w:color w:val="auto"/>
              </w:rPr>
            </w:pPr>
          </w:p>
        </w:tc>
        <w:tc>
          <w:tcPr>
            <w:tcW w:w="19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34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160"/>
          </w:cols>
          <w:pgMar w:left="460" w:top="225"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tcPr>
          <w:p>
            <w:pPr>
              <w:ind w:left="6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ind w:left="640"/>
              <w:spacing w:after="0" w:line="131"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80" w:type="dxa"/>
            <w:vAlign w:val="bottom"/>
            <w:tcBorders>
              <w:bottom w:val="single" w:sz="8" w:color="2C2C2C"/>
            </w:tcBorders>
          </w:tcPr>
          <w:p>
            <w:pPr>
              <w:jc w:val="right"/>
              <w:ind w:right="89"/>
              <w:spacing w:after="0"/>
              <w:rPr>
                <w:sz w:val="20"/>
                <w:szCs w:val="20"/>
                <w:color w:val="auto"/>
              </w:rPr>
            </w:pPr>
            <w:r>
              <w:rPr>
                <w:rFonts w:ascii="Arial" w:cs="Arial" w:eastAsia="Arial" w:hAnsi="Arial"/>
                <w:sz w:val="17"/>
                <w:szCs w:val="17"/>
                <w:color w:val="0000FF"/>
              </w:rPr>
              <w:t>11/16/2023</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F</w:t>
            </w:r>
            <w:r>
              <w:rPr>
                <w:rFonts w:ascii="Arial" w:cs="Arial" w:eastAsia="Arial" w:hAnsi="Arial"/>
                <w:sz w:val="11"/>
                <w:szCs w:val="11"/>
                <w:color w:val="008000"/>
              </w:rPr>
              <w:t>(1)</w:t>
            </w:r>
          </w:p>
        </w:tc>
        <w:tc>
          <w:tcPr>
            <w:tcW w:w="740" w:type="dxa"/>
            <w:vAlign w:val="bottom"/>
            <w:tcBorders>
              <w:bottom w:val="single" w:sz="8" w:color="2C2C2C"/>
            </w:tcBorders>
          </w:tcPr>
          <w:p>
            <w:pPr>
              <w:jc w:val="right"/>
              <w:ind w:right="49"/>
              <w:spacing w:after="0"/>
              <w:rPr>
                <w:sz w:val="20"/>
                <w:szCs w:val="20"/>
                <w:color w:val="auto"/>
              </w:rPr>
            </w:pPr>
            <w:r>
              <w:rPr>
                <w:rFonts w:ascii="Arial" w:cs="Arial" w:eastAsia="Arial" w:hAnsi="Arial"/>
                <w:sz w:val="17"/>
                <w:szCs w:val="17"/>
                <w:color w:val="0000FF"/>
              </w:rPr>
              <w:t>12,468</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5.8941</w:t>
            </w:r>
            <w:r>
              <w:rPr>
                <w:rFonts w:ascii="Arial" w:cs="Arial" w:eastAsia="Arial" w:hAnsi="Arial"/>
                <w:sz w:val="22"/>
                <w:szCs w:val="22"/>
                <w:color w:val="008000"/>
                <w:w w:val="93"/>
                <w:vertAlign w:val="superscript"/>
              </w:rPr>
              <w:t>(2)</w:t>
            </w:r>
          </w:p>
        </w:tc>
        <w:tc>
          <w:tcPr>
            <w:tcW w:w="1140" w:type="dxa"/>
            <w:vAlign w:val="bottom"/>
            <w:tcBorders>
              <w:bottom w:val="single" w:sz="8" w:color="2C2C2C"/>
            </w:tcBorders>
          </w:tcPr>
          <w:p>
            <w:pPr>
              <w:jc w:val="right"/>
              <w:ind w:right="214"/>
              <w:spacing w:after="0"/>
              <w:rPr>
                <w:sz w:val="20"/>
                <w:szCs w:val="20"/>
                <w:color w:val="auto"/>
              </w:rPr>
            </w:pPr>
            <w:r>
              <w:rPr>
                <w:rFonts w:ascii="Arial" w:cs="Arial" w:eastAsia="Arial" w:hAnsi="Arial"/>
                <w:sz w:val="17"/>
                <w:szCs w:val="17"/>
                <w:color w:val="0000FF"/>
              </w:rPr>
              <w:t>650,767</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80" w:type="dxa"/>
            <w:vAlign w:val="bottom"/>
            <w:tcBorders>
              <w:bottom w:val="single" w:sz="8" w:color="2C2C2C"/>
            </w:tcBorders>
          </w:tcPr>
          <w:p>
            <w:pPr>
              <w:jc w:val="right"/>
              <w:ind w:right="89"/>
              <w:spacing w:after="0"/>
              <w:rPr>
                <w:sz w:val="20"/>
                <w:szCs w:val="20"/>
                <w:color w:val="auto"/>
              </w:rPr>
            </w:pPr>
            <w:r>
              <w:rPr>
                <w:rFonts w:ascii="Arial" w:cs="Arial" w:eastAsia="Arial" w:hAnsi="Arial"/>
                <w:sz w:val="17"/>
                <w:szCs w:val="17"/>
                <w:color w:val="0000FF"/>
              </w:rPr>
              <w:t>11/17/2023</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F</w:t>
            </w:r>
            <w:r>
              <w:rPr>
                <w:rFonts w:ascii="Arial" w:cs="Arial" w:eastAsia="Arial" w:hAnsi="Arial"/>
                <w:sz w:val="11"/>
                <w:szCs w:val="11"/>
                <w:color w:val="008000"/>
              </w:rPr>
              <w:t>(1)</w:t>
            </w:r>
          </w:p>
        </w:tc>
        <w:tc>
          <w:tcPr>
            <w:tcW w:w="740" w:type="dxa"/>
            <w:vAlign w:val="bottom"/>
            <w:tcBorders>
              <w:bottom w:val="single" w:sz="8" w:color="2C2C2C"/>
            </w:tcBorders>
          </w:tcPr>
          <w:p>
            <w:pPr>
              <w:jc w:val="right"/>
              <w:ind w:right="89"/>
              <w:spacing w:after="0"/>
              <w:rPr>
                <w:sz w:val="20"/>
                <w:szCs w:val="20"/>
                <w:color w:val="auto"/>
              </w:rPr>
            </w:pPr>
            <w:r>
              <w:rPr>
                <w:rFonts w:ascii="Arial" w:cs="Arial" w:eastAsia="Arial" w:hAnsi="Arial"/>
                <w:sz w:val="17"/>
                <w:szCs w:val="17"/>
                <w:color w:val="0000FF"/>
              </w:rPr>
              <w:t>8,710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5.9169</w:t>
            </w:r>
            <w:r>
              <w:rPr>
                <w:rFonts w:ascii="Arial" w:cs="Arial" w:eastAsia="Arial" w:hAnsi="Arial"/>
                <w:sz w:val="22"/>
                <w:szCs w:val="22"/>
                <w:color w:val="008000"/>
                <w:w w:val="93"/>
                <w:vertAlign w:val="superscript"/>
              </w:rPr>
              <w:t>(3)</w:t>
            </w:r>
          </w:p>
        </w:tc>
        <w:tc>
          <w:tcPr>
            <w:tcW w:w="1140" w:type="dxa"/>
            <w:vAlign w:val="bottom"/>
            <w:tcBorders>
              <w:bottom w:val="single" w:sz="8" w:color="2C2C2C"/>
            </w:tcBorders>
          </w:tcPr>
          <w:p>
            <w:pPr>
              <w:jc w:val="center"/>
              <w:ind w:right="134"/>
              <w:spacing w:after="0"/>
              <w:rPr>
                <w:sz w:val="20"/>
                <w:szCs w:val="20"/>
                <w:color w:val="auto"/>
              </w:rPr>
            </w:pPr>
            <w:r>
              <w:rPr>
                <w:rFonts w:ascii="Arial" w:cs="Arial" w:eastAsia="Arial" w:hAnsi="Arial"/>
                <w:sz w:val="17"/>
                <w:szCs w:val="17"/>
                <w:color w:val="0000FF"/>
              </w:rPr>
              <w:t>642,057</w:t>
            </w:r>
            <w:r>
              <w:rPr>
                <w:rFonts w:ascii="Arial" w:cs="Arial" w:eastAsia="Arial" w:hAnsi="Arial"/>
                <w:sz w:val="22"/>
                <w:szCs w:val="22"/>
                <w:color w:val="008000"/>
                <w:vertAlign w:val="superscript"/>
              </w:rPr>
              <w:t>(4)</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7"/>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7"/>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a sale to cover tax obligations on the release of restricted stock units ("RSUs").</w:t>
      </w:r>
    </w:p>
    <w:p>
      <w:pPr>
        <w:spacing w:after="0" w:line="50" w:lineRule="exact"/>
        <w:rPr>
          <w:rFonts w:ascii="Arial" w:cs="Arial" w:eastAsia="Arial" w:hAnsi="Arial"/>
          <w:sz w:val="13"/>
          <w:szCs w:val="13"/>
          <w:color w:val="008000"/>
        </w:rPr>
      </w:pPr>
    </w:p>
    <w:p>
      <w:pPr>
        <w:ind w:left="40" w:right="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$5.83 to $6.14,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to this Form 4.</w:t>
      </w:r>
    </w:p>
    <w:p>
      <w:pPr>
        <w:spacing w:after="0" w:line="25" w:lineRule="exact"/>
        <w:rPr>
          <w:rFonts w:ascii="Arial" w:cs="Arial" w:eastAsia="Arial" w:hAnsi="Arial"/>
          <w:sz w:val="13"/>
          <w:szCs w:val="13"/>
          <w:color w:val="008000"/>
        </w:rPr>
      </w:pPr>
    </w:p>
    <w:p>
      <w:pPr>
        <w:ind w:left="40" w:right="10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$5.81 to $6.0105,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to this Form 4.</w:t>
      </w:r>
    </w:p>
    <w:p>
      <w:pPr>
        <w:spacing w:after="0" w:line="25" w:lineRule="exact"/>
        <w:rPr>
          <w:rFonts w:ascii="Arial" w:cs="Arial" w:eastAsia="Arial" w:hAnsi="Arial"/>
          <w:sz w:val="13"/>
          <w:szCs w:val="13"/>
          <w:color w:val="008000"/>
        </w:rPr>
      </w:pPr>
    </w:p>
    <w:p>
      <w:pPr>
        <w:ind w:left="40" w:right="18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553,527 shares represented by RSUs. Each RSU represents the Reporting Person's right to receive one share of Class A Common Stock of the Issuer. A portion of the RSUs vest each quarter, subject to the Reporting Person's continued service as of each vesting date.</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Arial" w:cs="Arial" w:eastAsia="Arial" w:hAnsi="Arial"/>
                <w:sz w:val="17"/>
                <w:szCs w:val="17"/>
                <w:color w:val="0000FF"/>
              </w:rPr>
              <w:t>/s/ Michael O. McCarthy III,</w:t>
            </w: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11/20/2023</w:t>
            </w: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restart"/>
          </w:tcPr>
          <w:p>
            <w:pPr>
              <w:spacing w:after="0" w:line="194" w:lineRule="exact"/>
              <w:rPr>
                <w:sz w:val="20"/>
                <w:szCs w:val="20"/>
                <w:color w:val="auto"/>
              </w:rPr>
            </w:pPr>
            <w:r>
              <w:rPr>
                <w:rFonts w:ascii="Arial" w:cs="Arial" w:eastAsia="Arial" w:hAnsi="Arial"/>
                <w:sz w:val="17"/>
                <w:szCs w:val="17"/>
                <w:color w:val="0000FF"/>
              </w:rPr>
              <w:t>attorney-in-fact</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25"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34019" TargetMode="External"/><Relationship Id="rId13" Type="http://schemas.openxmlformats.org/officeDocument/2006/relationships/hyperlink" Target="http://www.sec.gov/cgi-bin/browse-edgar?action=getcompany&amp;CIK=00018114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2023-11-20T16:53:40Z</dcterms:created>
  <dcterms:modified xsi:type="dcterms:W3CDTF">2023-11-20T16:53:40Z</dcterms:modified>
</cp:coreProperties>
</file>