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Huppertz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QuantumScape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QS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34,423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100,686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2024,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vest on the earlier of the one-year anniversary of the date the RSUs were granted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39,082 shares represented by RSUs. Each RSU represents the Reporting Person's right to receive one share of Class A Common Stock of the Issuer per the applicable vesting schedule, subject to the Reporting Person's continued service as of each vesting date.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9268"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2024-06-12T16:08:18Z</dcterms:created>
  <dcterms:modified xsi:type="dcterms:W3CDTF">2024-06-12T16:08:18Z</dcterms:modified>
</cp:coreProperties>
</file>