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Singh Mohit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
        <w:spacing w:after="0" w:line="335" w:lineRule="auto"/>
        <w:rPr>
          <w:sz w:val="20"/>
          <w:szCs w:val="20"/>
          <w:color w:val="auto"/>
        </w:rPr>
      </w:pPr>
      <w:r>
        <w:rPr>
          <w:rFonts w:ascii="Arial" w:cs="Arial" w:eastAsia="Arial" w:hAnsi="Arial"/>
          <w:sz w:val="16"/>
          <w:szCs w:val="16"/>
          <w:color w:val="0000FF"/>
        </w:rPr>
        <w:t>C/O QUANTUMSCAPE CORPORATION 1730 TECHNOLOGY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QuantumScape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QS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Chief Development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7"/>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260" w:type="dxa"/>
            <w:vAlign w:val="bottom"/>
          </w:tcPr>
          <w:p>
            <w:pPr>
              <w:spacing w:after="0"/>
              <w:rPr>
                <w:sz w:val="11"/>
                <w:szCs w:val="11"/>
                <w:color w:val="auto"/>
              </w:rPr>
            </w:pPr>
          </w:p>
        </w:tc>
        <w:tc>
          <w:tcPr>
            <w:tcW w:w="3500" w:type="dxa"/>
            <w:vAlign w:val="bottom"/>
            <w:gridSpan w:val="9"/>
          </w:tcPr>
          <w:p>
            <w:pPr>
              <w:ind w:left="16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gridSpan w:val="4"/>
          </w:tcPr>
          <w:p>
            <w:pPr>
              <w:ind w:left="160"/>
              <w:spacing w:after="0" w:line="178" w:lineRule="exact"/>
              <w:rPr>
                <w:sz w:val="20"/>
                <w:szCs w:val="20"/>
                <w:color w:val="auto"/>
              </w:rPr>
            </w:pPr>
            <w:r>
              <w:rPr>
                <w:rFonts w:ascii="Arial" w:cs="Arial" w:eastAsia="Arial" w:hAnsi="Arial"/>
                <w:sz w:val="17"/>
                <w:szCs w:val="17"/>
                <w:color w:val="0000FF"/>
              </w:rPr>
              <w:t>02/24/2022</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SAN JOSE</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95110</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220,416</w:t>
            </w:r>
            <w:r>
              <w:rPr>
                <w:rFonts w:ascii="Arial" w:cs="Arial" w:eastAsia="Arial" w:hAnsi="Arial"/>
                <w:sz w:val="22"/>
                <w:szCs w:val="22"/>
                <w:color w:val="008000"/>
                <w:vertAlign w:val="superscript"/>
              </w:rPr>
              <w:t>(1)(2)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201,086 shares represented by restricted stock units ("RSUs"). Each RSU represents the Reporting Person's right to receive one share of Class A Common Stock of the Issuer. A portion of the RSUs vest each quarter, subject to the Reporting Person's continued service as of each vesting date.</w:t>
      </w:r>
    </w:p>
    <w:p>
      <w:pPr>
        <w:spacing w:after="0" w:line="15" w:lineRule="exact"/>
        <w:rPr>
          <w:rFonts w:ascii="Arial" w:cs="Arial" w:eastAsia="Arial" w:hAnsi="Arial"/>
          <w:sz w:val="13"/>
          <w:szCs w:val="13"/>
          <w:color w:val="008000"/>
        </w:rPr>
      </w:pPr>
    </w:p>
    <w:p>
      <w:pPr>
        <w:ind w:left="40" w:right="5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24, 2022, the Reporting Person filed a Form 4 which inadvertently reported that, following the exercise of an option and sale of the underlying stock, that the Reporting Person held 239,599 shares of common stock. In fact, as reported in this amendment, the reporting person owned 220,416 shares of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O. McCarthy, III,</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03/01/2022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as attorney 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4019" TargetMode="External"/><Relationship Id="rId13"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2022-03-01T16:25:05Z</dcterms:created>
  <dcterms:modified xsi:type="dcterms:W3CDTF">2022-03-01T16:25:05Z</dcterms:modified>
</cp:coreProperties>
</file>