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0001587067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QuantumScape Corp</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1730 TECHNOLOGY DRIVE</w:t>
      </w:r>
    </w:p>
    <w:p>
      <w:pPr>
        <w:spacing w:after="0" w:line="1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SAN JOSE</w:t>
      </w:r>
    </w:p>
    <w:p>
      <w:pPr>
        <w:ind w:left="5"/>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ind w:left="5" w:right="1920" w:hanging="5"/>
        <w:spacing w:after="0" w:line="295" w:lineRule="auto"/>
        <w:tabs>
          <w:tab w:leader="none" w:pos="527"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452-2000 Sivaram Srinivasan</w:t>
      </w:r>
    </w:p>
    <w:p>
      <w:pPr>
        <w:spacing w:after="0" w:line="1" w:lineRule="exact"/>
        <w:rPr>
          <w:sz w:val="24"/>
          <w:szCs w:val="24"/>
          <w:color w:val="auto"/>
        </w:rPr>
      </w:pPr>
    </w:p>
    <w:p>
      <w:pPr>
        <w:sectPr>
          <w:pgSz w:w="11900" w:h="16843" w:orient="portrait"/>
          <w:cols w:equalWidth="0" w:num="2">
            <w:col w:w="6915" w:space="720"/>
            <w:col w:w="36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Plaza,38th</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67369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496649.93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578338434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2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05/15/2026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9"/>
              </w:rPr>
              <w:t>117083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gridSpan w:val="2"/>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Sivaram Srinivasan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02/18/2026 246631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1762055.18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Sivaram Srinivasan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02/19/2026 37175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263042.87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Sivaram Srinivasan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02/25/2026 77143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543765.58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7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The number of shares to be sold represents an estimate of the amount necessary to cover tax obligations on the</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release of restricted stock units.</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20" w:val="left"/>
        </w:tabs>
        <w:rPr>
          <w:sz w:val="20"/>
          <w:szCs w:val="20"/>
          <w:color w:val="auto"/>
        </w:rPr>
      </w:pPr>
      <w:r>
        <w:rPr>
          <w:rFonts w:ascii="Times New Roman" w:cs="Times New Roman" w:eastAsia="Times New Roman" w:hAnsi="Times New Roman"/>
          <w:sz w:val="22"/>
          <w:szCs w:val="22"/>
          <w:color w:val="auto"/>
        </w:rPr>
        <w:t>Signature</w:t>
        <w:tab/>
        <w:t>/s/ Sivaram Srinivasan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2026-05-18T19:30:56Z</dcterms:created>
  <dcterms:modified xsi:type="dcterms:W3CDTF">2026-05-18T19:30:56Z</dcterms:modified>
</cp:coreProperties>
</file>